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C5C849">
      <w:pPr>
        <w:wordWrap w:val="0"/>
        <w:spacing w:line="360" w:lineRule="auto"/>
        <w:jc w:val="right"/>
        <w:rPr>
          <w:rFonts w:hint="default" w:ascii="Times New Roman" w:hAnsi="Times New Roman" w:cs="Times New Roman"/>
          <w:bCs/>
          <w:color w:val="000000" w:themeColor="text1"/>
          <w:spacing w:val="36"/>
          <w:sz w:val="28"/>
          <w:szCs w:val="28"/>
        </w:rPr>
      </w:pPr>
    </w:p>
    <w:p w14:paraId="3FD8EA12">
      <w:pPr>
        <w:spacing w:line="360" w:lineRule="auto"/>
        <w:jc w:val="center"/>
        <w:rPr>
          <w:rFonts w:hint="default" w:ascii="Times New Roman" w:hAnsi="Times New Roman" w:cs="Times New Roman"/>
          <w:b/>
          <w:bCs/>
          <w:color w:val="000000" w:themeColor="text1"/>
          <w:spacing w:val="36"/>
          <w:sz w:val="72"/>
          <w:szCs w:val="72"/>
        </w:rPr>
      </w:pPr>
    </w:p>
    <w:p w14:paraId="3F28E0B5">
      <w:pPr>
        <w:spacing w:line="360" w:lineRule="auto"/>
        <w:jc w:val="center"/>
        <w:rPr>
          <w:rFonts w:hint="default" w:ascii="Times New Roman" w:hAnsi="Times New Roman" w:cs="Times New Roman"/>
          <w:b/>
          <w:bCs/>
          <w:color w:val="000000" w:themeColor="text1"/>
          <w:spacing w:val="36"/>
          <w:sz w:val="72"/>
          <w:szCs w:val="72"/>
        </w:rPr>
      </w:pPr>
    </w:p>
    <w:p w14:paraId="3A25D3BA">
      <w:pPr>
        <w:spacing w:line="360" w:lineRule="auto"/>
        <w:jc w:val="center"/>
        <w:rPr>
          <w:rFonts w:hint="default" w:ascii="Times New Roman" w:hAnsi="Times New Roman" w:cs="Times New Roman"/>
          <w:b/>
          <w:bCs/>
          <w:color w:val="000000" w:themeColor="text1"/>
          <w:spacing w:val="36"/>
          <w:sz w:val="44"/>
          <w:szCs w:val="44"/>
        </w:rPr>
      </w:pPr>
      <w:r>
        <w:rPr>
          <w:rFonts w:hint="default" w:ascii="Times New Roman" w:hAnsi="Times New Roman" w:cs="Times New Roman"/>
          <w:b/>
          <w:bCs/>
          <w:color w:val="000000" w:themeColor="text1"/>
          <w:spacing w:val="36"/>
          <w:sz w:val="44"/>
          <w:szCs w:val="44"/>
        </w:rPr>
        <w:t>腾冲市“顺颐府”住宅建设项目（一期）</w:t>
      </w:r>
    </w:p>
    <w:p w14:paraId="6A2B300C">
      <w:pPr>
        <w:spacing w:line="360" w:lineRule="auto"/>
        <w:jc w:val="center"/>
        <w:rPr>
          <w:rFonts w:hint="default" w:ascii="Times New Roman" w:hAnsi="Times New Roman" w:cs="Times New Roman"/>
          <w:b/>
          <w:bCs/>
          <w:color w:val="000000" w:themeColor="text1"/>
          <w:spacing w:val="36"/>
          <w:sz w:val="44"/>
          <w:szCs w:val="44"/>
        </w:rPr>
      </w:pPr>
      <w:r>
        <w:rPr>
          <w:rFonts w:hint="default" w:ascii="Times New Roman" w:hAnsi="Times New Roman" w:cs="Times New Roman"/>
          <w:b/>
          <w:bCs/>
          <w:color w:val="000000" w:themeColor="text1"/>
          <w:spacing w:val="36"/>
          <w:sz w:val="44"/>
          <w:szCs w:val="44"/>
        </w:rPr>
        <w:t>竣工环境保护验收监测报告表</w:t>
      </w:r>
    </w:p>
    <w:p w14:paraId="5384BEB5">
      <w:pPr>
        <w:spacing w:line="360" w:lineRule="auto"/>
        <w:ind w:firstLine="560"/>
        <w:jc w:val="center"/>
        <w:rPr>
          <w:rFonts w:hint="default" w:ascii="Times New Roman" w:hAnsi="Times New Roman" w:cs="Times New Roman"/>
          <w:b/>
          <w:color w:val="000000" w:themeColor="text1"/>
          <w:sz w:val="32"/>
          <w:szCs w:val="32"/>
        </w:rPr>
      </w:pPr>
    </w:p>
    <w:p w14:paraId="5ED35C96">
      <w:pPr>
        <w:spacing w:line="360" w:lineRule="auto"/>
        <w:rPr>
          <w:rFonts w:hint="default" w:ascii="Times New Roman" w:hAnsi="Times New Roman" w:cs="Times New Roman"/>
          <w:color w:val="000000" w:themeColor="text1"/>
        </w:rPr>
      </w:pPr>
    </w:p>
    <w:p w14:paraId="5D4E5DC8">
      <w:pPr>
        <w:spacing w:line="360" w:lineRule="auto"/>
        <w:ind w:firstLine="143" w:firstLineChars="51"/>
        <w:jc w:val="center"/>
        <w:rPr>
          <w:rFonts w:hint="default" w:ascii="Times New Roman" w:hAnsi="Times New Roman" w:cs="Times New Roman"/>
          <w:b/>
          <w:color w:val="000000" w:themeColor="text1"/>
          <w:sz w:val="28"/>
          <w:szCs w:val="28"/>
        </w:rPr>
      </w:pPr>
    </w:p>
    <w:p w14:paraId="0D1C1BBE">
      <w:pPr>
        <w:spacing w:line="360" w:lineRule="auto"/>
        <w:ind w:firstLine="143" w:firstLineChars="51"/>
        <w:jc w:val="center"/>
        <w:rPr>
          <w:rFonts w:hint="default" w:ascii="Times New Roman" w:hAnsi="Times New Roman" w:cs="Times New Roman"/>
          <w:b/>
          <w:color w:val="000000" w:themeColor="text1"/>
          <w:sz w:val="28"/>
          <w:szCs w:val="28"/>
        </w:rPr>
      </w:pPr>
    </w:p>
    <w:p w14:paraId="67DD876F">
      <w:pPr>
        <w:spacing w:line="360" w:lineRule="auto"/>
        <w:ind w:firstLine="143" w:firstLineChars="51"/>
        <w:jc w:val="center"/>
        <w:rPr>
          <w:rFonts w:hint="default" w:ascii="Times New Roman" w:hAnsi="Times New Roman" w:cs="Times New Roman"/>
          <w:b/>
          <w:color w:val="000000" w:themeColor="text1"/>
          <w:sz w:val="28"/>
          <w:szCs w:val="28"/>
        </w:rPr>
      </w:pPr>
    </w:p>
    <w:p w14:paraId="2A48F17E">
      <w:pPr>
        <w:spacing w:line="360" w:lineRule="auto"/>
        <w:ind w:firstLine="143" w:firstLineChars="51"/>
        <w:jc w:val="center"/>
        <w:rPr>
          <w:rFonts w:hint="default" w:ascii="Times New Roman" w:hAnsi="Times New Roman" w:cs="Times New Roman"/>
          <w:b/>
          <w:color w:val="000000" w:themeColor="text1"/>
          <w:sz w:val="28"/>
          <w:szCs w:val="28"/>
        </w:rPr>
      </w:pPr>
    </w:p>
    <w:p w14:paraId="7141786A">
      <w:pPr>
        <w:spacing w:line="360" w:lineRule="auto"/>
        <w:rPr>
          <w:rFonts w:hint="default" w:ascii="Times New Roman" w:hAnsi="Times New Roman" w:cs="Times New Roman"/>
          <w:b/>
          <w:color w:val="000000" w:themeColor="text1"/>
          <w:sz w:val="28"/>
          <w:szCs w:val="28"/>
        </w:rPr>
      </w:pPr>
    </w:p>
    <w:p w14:paraId="713C14BB">
      <w:pPr>
        <w:spacing w:line="360" w:lineRule="auto"/>
        <w:ind w:firstLine="143" w:firstLineChars="51"/>
        <w:jc w:val="center"/>
        <w:rPr>
          <w:rFonts w:hint="default" w:ascii="Times New Roman" w:hAnsi="Times New Roman" w:cs="Times New Roman"/>
          <w:b/>
          <w:color w:val="000000" w:themeColor="text1"/>
          <w:sz w:val="28"/>
          <w:szCs w:val="28"/>
        </w:rPr>
      </w:pPr>
    </w:p>
    <w:p w14:paraId="25ADE443">
      <w:pPr>
        <w:tabs>
          <w:tab w:val="left" w:pos="3380"/>
        </w:tabs>
        <w:spacing w:line="360" w:lineRule="auto"/>
        <w:ind w:firstLine="143" w:firstLineChars="51"/>
        <w:jc w:val="left"/>
        <w:rPr>
          <w:rFonts w:hint="default" w:ascii="Times New Roman" w:hAnsi="Times New Roman" w:cs="Times New Roman"/>
          <w:b/>
          <w:color w:val="000000" w:themeColor="text1"/>
          <w:sz w:val="28"/>
          <w:szCs w:val="28"/>
          <w:lang w:eastAsia="zh-CN"/>
        </w:rPr>
      </w:pPr>
      <w:r>
        <w:rPr>
          <w:rFonts w:hint="default" w:ascii="Times New Roman" w:hAnsi="Times New Roman" w:cs="Times New Roman"/>
          <w:b/>
          <w:color w:val="000000" w:themeColor="text1"/>
          <w:sz w:val="28"/>
          <w:szCs w:val="28"/>
          <w:lang w:eastAsia="zh-CN"/>
        </w:rPr>
        <w:tab/>
      </w:r>
    </w:p>
    <w:p w14:paraId="020CD26B">
      <w:pPr>
        <w:pStyle w:val="2"/>
        <w:rPr>
          <w:rFonts w:hint="default" w:ascii="Times New Roman" w:hAnsi="Times New Roman" w:cs="Times New Roman"/>
          <w:color w:val="000000" w:themeColor="text1"/>
          <w:lang w:eastAsia="zh-CN"/>
        </w:rPr>
      </w:pPr>
    </w:p>
    <w:p w14:paraId="040A892A">
      <w:pPr>
        <w:spacing w:line="360" w:lineRule="auto"/>
        <w:jc w:val="both"/>
        <w:rPr>
          <w:rFonts w:hint="default" w:ascii="Times New Roman" w:hAnsi="Times New Roman" w:cs="Times New Roman"/>
          <w:b/>
          <w:color w:val="000000" w:themeColor="text1"/>
          <w:sz w:val="28"/>
          <w:szCs w:val="28"/>
        </w:rPr>
      </w:pPr>
    </w:p>
    <w:p w14:paraId="74F4B98A">
      <w:pPr>
        <w:pStyle w:val="35"/>
        <w:spacing w:line="360" w:lineRule="auto"/>
        <w:jc w:val="center"/>
        <w:rPr>
          <w:rFonts w:hint="default" w:ascii="Times New Roman" w:hAnsi="Times New Roman" w:cs="Times New Roman"/>
          <w:b/>
          <w:bCs/>
          <w:color w:val="000000" w:themeColor="text1"/>
          <w:sz w:val="28"/>
          <w:szCs w:val="28"/>
        </w:rPr>
      </w:pPr>
      <w:r>
        <w:rPr>
          <w:rFonts w:hint="default" w:ascii="Times New Roman" w:hAnsi="Times New Roman" w:cs="Times New Roman"/>
          <w:b/>
          <w:bCs/>
          <w:color w:val="000000" w:themeColor="text1"/>
          <w:sz w:val="28"/>
          <w:szCs w:val="28"/>
          <w:lang w:val="en-US" w:eastAsia="zh-CN"/>
        </w:rPr>
        <w:t>建设单位</w:t>
      </w:r>
      <w:r>
        <w:rPr>
          <w:rFonts w:hint="default" w:ascii="Times New Roman" w:hAnsi="Times New Roman" w:cs="Times New Roman"/>
          <w:b/>
          <w:bCs/>
          <w:color w:val="000000" w:themeColor="text1"/>
          <w:sz w:val="28"/>
          <w:szCs w:val="28"/>
        </w:rPr>
        <w:t>：腾冲广恒信达房地产开发有限责任公司</w:t>
      </w:r>
    </w:p>
    <w:p w14:paraId="6CA7FA4E">
      <w:pPr>
        <w:pStyle w:val="35"/>
        <w:spacing w:line="360" w:lineRule="auto"/>
        <w:jc w:val="center"/>
        <w:rPr>
          <w:rFonts w:hint="default" w:ascii="Times New Roman" w:hAnsi="Times New Roman" w:eastAsia="宋体" w:cs="Times New Roman"/>
          <w:b/>
          <w:bCs/>
          <w:color w:val="000000" w:themeColor="text1"/>
          <w:sz w:val="28"/>
          <w:szCs w:val="28"/>
          <w:lang w:val="en-US" w:eastAsia="zh-CN"/>
        </w:rPr>
      </w:pPr>
      <w:r>
        <w:rPr>
          <w:rFonts w:hint="default" w:ascii="Times New Roman" w:hAnsi="Times New Roman" w:cs="Times New Roman"/>
          <w:b/>
          <w:bCs/>
          <w:color w:val="000000" w:themeColor="text1"/>
          <w:sz w:val="28"/>
          <w:szCs w:val="28"/>
        </w:rPr>
        <w:t>编制单位：腾冲广恒信达房地产开发有限责任公司</w:t>
      </w:r>
    </w:p>
    <w:p w14:paraId="271BE300">
      <w:pPr>
        <w:pStyle w:val="35"/>
        <w:spacing w:line="360" w:lineRule="auto"/>
        <w:jc w:val="center"/>
        <w:rPr>
          <w:rFonts w:hint="default" w:ascii="Times New Roman" w:hAnsi="Times New Roman" w:cs="Times New Roman"/>
          <w:b/>
          <w:bCs/>
          <w:color w:val="000000" w:themeColor="text1"/>
          <w:sz w:val="28"/>
          <w:szCs w:val="28"/>
        </w:rPr>
      </w:pPr>
    </w:p>
    <w:p w14:paraId="0C78210D">
      <w:pPr>
        <w:spacing w:line="400" w:lineRule="exact"/>
        <w:rPr>
          <w:rFonts w:hint="default" w:ascii="Times New Roman" w:hAnsi="Times New Roman" w:cs="Times New Roman"/>
          <w:bCs/>
          <w:color w:val="000000" w:themeColor="text1"/>
          <w:sz w:val="28"/>
          <w:szCs w:val="28"/>
        </w:rPr>
      </w:pPr>
    </w:p>
    <w:p w14:paraId="1208144A">
      <w:pPr>
        <w:spacing w:line="400" w:lineRule="exact"/>
        <w:rPr>
          <w:rFonts w:hint="default" w:ascii="Times New Roman" w:hAnsi="Times New Roman" w:cs="Times New Roman"/>
          <w:bCs/>
          <w:color w:val="000000" w:themeColor="text1"/>
          <w:sz w:val="28"/>
          <w:szCs w:val="28"/>
        </w:rPr>
      </w:pPr>
    </w:p>
    <w:p w14:paraId="304EA06A">
      <w:pPr>
        <w:rPr>
          <w:rFonts w:hint="default" w:ascii="Times New Roman" w:hAnsi="Times New Roman" w:cs="Times New Roman"/>
          <w:color w:val="000000" w:themeColor="text1"/>
        </w:rPr>
      </w:pPr>
    </w:p>
    <w:p w14:paraId="519505AA">
      <w:pPr>
        <w:rPr>
          <w:rFonts w:hint="default" w:ascii="Times New Roman" w:hAnsi="Times New Roman" w:cs="Times New Roman"/>
          <w:color w:val="000000" w:themeColor="text1"/>
        </w:rPr>
      </w:pPr>
    </w:p>
    <w:p w14:paraId="4C80B931">
      <w:pPr>
        <w:pStyle w:val="24"/>
        <w:jc w:val="center"/>
        <w:rPr>
          <w:rFonts w:hint="default" w:ascii="Times New Roman" w:hAnsi="Times New Roman" w:cs="Times New Roman"/>
          <w:b/>
          <w:bCs/>
          <w:color w:val="000000" w:themeColor="text1"/>
          <w:sz w:val="28"/>
          <w:szCs w:val="28"/>
        </w:rPr>
      </w:pPr>
      <w:r>
        <w:rPr>
          <w:rFonts w:hint="default" w:ascii="Times New Roman" w:hAnsi="Times New Roman" w:cs="Times New Roman"/>
          <w:b/>
          <w:bCs/>
          <w:color w:val="000000" w:themeColor="text1"/>
          <w:sz w:val="28"/>
          <w:szCs w:val="28"/>
        </w:rPr>
        <w:t>202</w:t>
      </w:r>
      <w:r>
        <w:rPr>
          <w:rFonts w:hint="eastAsia" w:ascii="Times New Roman" w:hAnsi="Times New Roman" w:cs="Times New Roman"/>
          <w:b/>
          <w:bCs/>
          <w:color w:val="000000" w:themeColor="text1"/>
          <w:sz w:val="28"/>
          <w:szCs w:val="28"/>
          <w:lang w:val="en-US" w:eastAsia="zh-CN"/>
        </w:rPr>
        <w:t>5</w:t>
      </w:r>
      <w:r>
        <w:rPr>
          <w:rFonts w:hint="default" w:ascii="Times New Roman" w:hAnsi="Times New Roman" w:cs="Times New Roman"/>
          <w:b/>
          <w:bCs/>
          <w:color w:val="000000" w:themeColor="text1"/>
          <w:sz w:val="28"/>
          <w:szCs w:val="28"/>
        </w:rPr>
        <w:t>年</w:t>
      </w:r>
      <w:r>
        <w:rPr>
          <w:rFonts w:hint="eastAsia" w:ascii="Times New Roman" w:hAnsi="Times New Roman" w:cs="Times New Roman"/>
          <w:b/>
          <w:bCs/>
          <w:color w:val="000000" w:themeColor="text1"/>
          <w:sz w:val="28"/>
          <w:szCs w:val="28"/>
          <w:lang w:val="en-US" w:eastAsia="zh-CN"/>
        </w:rPr>
        <w:t>6</w:t>
      </w:r>
      <w:r>
        <w:rPr>
          <w:rFonts w:hint="default" w:ascii="Times New Roman" w:hAnsi="Times New Roman" w:cs="Times New Roman"/>
          <w:b/>
          <w:bCs/>
          <w:color w:val="000000" w:themeColor="text1"/>
          <w:sz w:val="28"/>
          <w:szCs w:val="28"/>
        </w:rPr>
        <w:t>月</w:t>
      </w:r>
    </w:p>
    <w:p w14:paraId="5FE5A68E">
      <w:pPr>
        <w:rPr>
          <w:rFonts w:hint="default" w:ascii="Times New Roman" w:hAnsi="Times New Roman" w:cs="Times New Roman"/>
          <w:color w:val="000000" w:themeColor="text1"/>
        </w:rPr>
      </w:pPr>
    </w:p>
    <w:p w14:paraId="35DAA8D9">
      <w:pPr>
        <w:pStyle w:val="29"/>
        <w:spacing w:line="360" w:lineRule="auto"/>
        <w:jc w:val="left"/>
        <w:rPr>
          <w:rFonts w:hint="default" w:ascii="Times New Roman" w:hAnsi="Times New Roman" w:cs="Times New Roman"/>
          <w:b/>
          <w:color w:val="000000" w:themeColor="text1"/>
          <w:sz w:val="28"/>
          <w:szCs w:val="28"/>
        </w:rPr>
      </w:pPr>
    </w:p>
    <w:p w14:paraId="6806F762">
      <w:pPr>
        <w:pStyle w:val="29"/>
        <w:spacing w:line="360" w:lineRule="auto"/>
        <w:jc w:val="left"/>
        <w:rPr>
          <w:rFonts w:hint="default" w:ascii="Times New Roman" w:hAnsi="Times New Roman" w:cs="Times New Roman"/>
          <w:b/>
          <w:bCs/>
          <w:color w:val="000000" w:themeColor="text1"/>
          <w:sz w:val="28"/>
          <w:szCs w:val="28"/>
        </w:rPr>
      </w:pPr>
      <w:r>
        <w:rPr>
          <w:rFonts w:hint="eastAsia" w:ascii="Times New Roman" w:hAnsi="Times New Roman" w:cs="Times New Roman"/>
          <w:b/>
          <w:color w:val="000000" w:themeColor="text1"/>
          <w:sz w:val="28"/>
          <w:szCs w:val="28"/>
          <w:lang w:val="en-US" w:eastAsia="zh-CN"/>
        </w:rPr>
        <w:t>编制</w:t>
      </w:r>
      <w:r>
        <w:rPr>
          <w:rFonts w:hint="default" w:ascii="Times New Roman" w:hAnsi="Times New Roman" w:cs="Times New Roman"/>
          <w:b/>
          <w:color w:val="000000" w:themeColor="text1"/>
          <w:sz w:val="28"/>
          <w:szCs w:val="28"/>
          <w:lang w:val="en-US" w:eastAsia="zh-CN"/>
        </w:rPr>
        <w:t>单位</w:t>
      </w:r>
      <w:r>
        <w:rPr>
          <w:rFonts w:hint="default" w:ascii="Times New Roman" w:hAnsi="Times New Roman" w:cs="Times New Roman"/>
          <w:b/>
          <w:color w:val="000000" w:themeColor="text1"/>
          <w:sz w:val="28"/>
          <w:szCs w:val="28"/>
        </w:rPr>
        <w:t>：</w:t>
      </w:r>
      <w:r>
        <w:rPr>
          <w:rFonts w:hint="default" w:ascii="Times New Roman" w:hAnsi="Times New Roman" w:cs="Times New Roman"/>
          <w:b/>
          <w:bCs/>
          <w:color w:val="000000" w:themeColor="text1"/>
          <w:sz w:val="28"/>
          <w:szCs w:val="28"/>
        </w:rPr>
        <w:t>腾冲广恒信达房地产开发有限责任公司</w:t>
      </w:r>
    </w:p>
    <w:p w14:paraId="45485BCA">
      <w:pPr>
        <w:pStyle w:val="29"/>
        <w:spacing w:line="360" w:lineRule="auto"/>
        <w:jc w:val="left"/>
        <w:rPr>
          <w:rFonts w:hint="default" w:ascii="Times New Roman" w:hAnsi="Times New Roman" w:cs="Times New Roman"/>
          <w:color w:val="000000" w:themeColor="text1"/>
          <w:sz w:val="28"/>
          <w:szCs w:val="28"/>
        </w:rPr>
      </w:pPr>
      <w:r>
        <w:rPr>
          <w:rFonts w:hint="default" w:ascii="Times New Roman" w:hAnsi="Times New Roman" w:cs="Times New Roman"/>
          <w:b/>
          <w:color w:val="000000" w:themeColor="text1"/>
          <w:sz w:val="28"/>
          <w:szCs w:val="28"/>
        </w:rPr>
        <w:t>法</w:t>
      </w:r>
      <w:r>
        <w:rPr>
          <w:rFonts w:hint="eastAsia" w:ascii="Times New Roman" w:hAnsi="Times New Roman" w:cs="Times New Roman"/>
          <w:b/>
          <w:color w:val="000000" w:themeColor="text1"/>
          <w:sz w:val="28"/>
          <w:szCs w:val="28"/>
          <w:lang w:val="en-US" w:eastAsia="zh-CN"/>
        </w:rPr>
        <w:t xml:space="preserve">    </w:t>
      </w:r>
      <w:r>
        <w:rPr>
          <w:rFonts w:hint="default" w:ascii="Times New Roman" w:hAnsi="Times New Roman" w:cs="Times New Roman"/>
          <w:b/>
          <w:color w:val="000000" w:themeColor="text1"/>
          <w:sz w:val="28"/>
          <w:szCs w:val="28"/>
        </w:rPr>
        <w:t>人</w:t>
      </w:r>
      <w:r>
        <w:rPr>
          <w:rFonts w:hint="eastAsia" w:ascii="Times New Roman" w:hAnsi="Times New Roman" w:cs="Times New Roman"/>
          <w:b/>
          <w:color w:val="000000" w:themeColor="text1"/>
          <w:sz w:val="28"/>
          <w:szCs w:val="28"/>
          <w:lang w:eastAsia="zh-CN"/>
        </w:rPr>
        <w:t>：</w:t>
      </w:r>
    </w:p>
    <w:p w14:paraId="53D69CCC">
      <w:pPr>
        <w:spacing w:line="360" w:lineRule="auto"/>
        <w:jc w:val="left"/>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项目负责人</w:t>
      </w:r>
      <w:r>
        <w:rPr>
          <w:rFonts w:hint="eastAsia" w:ascii="Times New Roman" w:hAnsi="Times New Roman" w:cs="Times New Roman"/>
          <w:b/>
          <w:color w:val="000000" w:themeColor="text1"/>
          <w:sz w:val="28"/>
          <w:szCs w:val="28"/>
          <w:lang w:eastAsia="zh-CN"/>
        </w:rPr>
        <w:t>：</w:t>
      </w:r>
    </w:p>
    <w:p w14:paraId="62E49844">
      <w:pPr>
        <w:spacing w:line="360" w:lineRule="auto"/>
        <w:jc w:val="left"/>
        <w:rPr>
          <w:rFonts w:hint="default" w:ascii="Times New Roman" w:hAnsi="Times New Roman" w:cs="Times New Roman"/>
          <w:b/>
          <w:color w:val="000000" w:themeColor="text1"/>
          <w:sz w:val="28"/>
          <w:szCs w:val="28"/>
        </w:rPr>
      </w:pPr>
      <w:r>
        <w:rPr>
          <w:rFonts w:hint="eastAsia" w:ascii="Times New Roman" w:hAnsi="Times New Roman" w:cs="Times New Roman"/>
          <w:b/>
          <w:color w:val="000000" w:themeColor="text1"/>
          <w:sz w:val="28"/>
          <w:szCs w:val="28"/>
          <w:lang w:val="en-US" w:eastAsia="zh-CN"/>
        </w:rPr>
        <w:t>编制人员</w:t>
      </w:r>
      <w:r>
        <w:rPr>
          <w:rFonts w:hint="eastAsia" w:ascii="Times New Roman" w:hAnsi="Times New Roman" w:cs="Times New Roman"/>
          <w:b/>
          <w:color w:val="000000" w:themeColor="text1"/>
          <w:sz w:val="28"/>
          <w:szCs w:val="28"/>
          <w:lang w:eastAsia="zh-CN"/>
        </w:rPr>
        <w:t>：</w:t>
      </w:r>
    </w:p>
    <w:p w14:paraId="2515A788">
      <w:pPr>
        <w:pStyle w:val="29"/>
        <w:jc w:val="left"/>
        <w:rPr>
          <w:rFonts w:hint="default" w:ascii="Times New Roman" w:hAnsi="Times New Roman" w:cs="Times New Roman"/>
          <w:b/>
          <w:color w:val="000000" w:themeColor="text1"/>
          <w:sz w:val="28"/>
          <w:szCs w:val="28"/>
        </w:rPr>
      </w:pPr>
    </w:p>
    <w:p w14:paraId="755BA870">
      <w:pPr>
        <w:pStyle w:val="29"/>
        <w:jc w:val="left"/>
        <w:rPr>
          <w:rFonts w:hint="default" w:ascii="Times New Roman" w:hAnsi="Times New Roman" w:cs="Times New Roman"/>
          <w:b/>
          <w:color w:val="000000" w:themeColor="text1"/>
          <w:sz w:val="28"/>
          <w:szCs w:val="28"/>
        </w:rPr>
      </w:pPr>
    </w:p>
    <w:p w14:paraId="26B3903F">
      <w:pPr>
        <w:rPr>
          <w:rFonts w:hint="default" w:ascii="Times New Roman" w:hAnsi="Times New Roman" w:cs="Times New Roman"/>
          <w:color w:val="000000" w:themeColor="text1"/>
        </w:rPr>
      </w:pPr>
    </w:p>
    <w:p w14:paraId="4270DEDF">
      <w:pPr>
        <w:rPr>
          <w:rFonts w:hint="default" w:ascii="Times New Roman" w:hAnsi="Times New Roman" w:cs="Times New Roman"/>
          <w:color w:val="000000" w:themeColor="text1"/>
        </w:rPr>
      </w:pPr>
    </w:p>
    <w:p w14:paraId="0D7C5E6E">
      <w:pPr>
        <w:rPr>
          <w:rFonts w:hint="default" w:ascii="Times New Roman" w:hAnsi="Times New Roman" w:cs="Times New Roman"/>
          <w:color w:val="000000" w:themeColor="text1"/>
        </w:rPr>
      </w:pPr>
    </w:p>
    <w:p w14:paraId="025125EF">
      <w:pPr>
        <w:rPr>
          <w:rFonts w:hint="default" w:ascii="Times New Roman" w:hAnsi="Times New Roman" w:cs="Times New Roman"/>
          <w:color w:val="000000" w:themeColor="text1"/>
        </w:rPr>
      </w:pPr>
    </w:p>
    <w:p w14:paraId="519F2FDC">
      <w:pPr>
        <w:rPr>
          <w:rFonts w:hint="default" w:ascii="Times New Roman" w:hAnsi="Times New Roman" w:cs="Times New Roman"/>
          <w:color w:val="000000" w:themeColor="text1"/>
        </w:rPr>
      </w:pPr>
    </w:p>
    <w:p w14:paraId="7CEC5FCD">
      <w:pPr>
        <w:rPr>
          <w:rFonts w:hint="default" w:ascii="Times New Roman" w:hAnsi="Times New Roman" w:cs="Times New Roman"/>
          <w:color w:val="000000" w:themeColor="text1"/>
        </w:rPr>
      </w:pPr>
    </w:p>
    <w:p w14:paraId="1A39FB23">
      <w:pPr>
        <w:rPr>
          <w:rFonts w:hint="default" w:ascii="Times New Roman" w:hAnsi="Times New Roman" w:cs="Times New Roman"/>
          <w:color w:val="000000" w:themeColor="text1"/>
        </w:rPr>
      </w:pPr>
    </w:p>
    <w:p w14:paraId="341B47B2">
      <w:pPr>
        <w:rPr>
          <w:rFonts w:hint="default" w:ascii="Times New Roman" w:hAnsi="Times New Roman" w:cs="Times New Roman"/>
          <w:color w:val="000000" w:themeColor="text1"/>
        </w:rPr>
      </w:pPr>
    </w:p>
    <w:p w14:paraId="05B0C689">
      <w:pPr>
        <w:rPr>
          <w:rFonts w:hint="default" w:ascii="Times New Roman" w:hAnsi="Times New Roman" w:cs="Times New Roman"/>
          <w:color w:val="000000" w:themeColor="text1"/>
        </w:rPr>
      </w:pPr>
    </w:p>
    <w:p w14:paraId="02568F9E">
      <w:pPr>
        <w:rPr>
          <w:rFonts w:hint="default" w:ascii="Times New Roman" w:hAnsi="Times New Roman" w:cs="Times New Roman"/>
          <w:color w:val="000000" w:themeColor="text1"/>
        </w:rPr>
      </w:pPr>
    </w:p>
    <w:p w14:paraId="47684966">
      <w:pPr>
        <w:rPr>
          <w:rFonts w:hint="default" w:ascii="Times New Roman" w:hAnsi="Times New Roman" w:cs="Times New Roman"/>
          <w:color w:val="000000" w:themeColor="text1"/>
        </w:rPr>
      </w:pPr>
    </w:p>
    <w:p w14:paraId="0F49A3BB">
      <w:pPr>
        <w:rPr>
          <w:rFonts w:hint="default" w:ascii="Times New Roman" w:hAnsi="Times New Roman" w:cs="Times New Roman"/>
          <w:color w:val="000000" w:themeColor="text1"/>
        </w:rPr>
      </w:pPr>
    </w:p>
    <w:p w14:paraId="0F44BE2F">
      <w:pPr>
        <w:pStyle w:val="29"/>
        <w:jc w:val="left"/>
        <w:rPr>
          <w:rFonts w:hint="default" w:ascii="Times New Roman" w:hAnsi="Times New Roman" w:cs="Times New Roman"/>
          <w:b/>
          <w:color w:val="000000" w:themeColor="text1"/>
          <w:sz w:val="28"/>
          <w:szCs w:val="28"/>
        </w:rPr>
      </w:pPr>
    </w:p>
    <w:p w14:paraId="0734800D">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监测单位：云南速测环境科技有限公司</w:t>
      </w:r>
    </w:p>
    <w:p w14:paraId="387993AB">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参加人员：何玉琼、王烨华</w:t>
      </w:r>
      <w:r>
        <w:rPr>
          <w:rFonts w:hint="eastAsia" w:ascii="Times New Roman" w:hAnsi="Times New Roman" w:eastAsia="宋体" w:cs="Times New Roman"/>
          <w:b/>
          <w:color w:val="000000" w:themeColor="text1"/>
          <w:sz w:val="28"/>
          <w:szCs w:val="28"/>
          <w:lang w:val="en-US" w:eastAsia="zh-CN"/>
        </w:rPr>
        <w:t>、</w:t>
      </w:r>
      <w:r>
        <w:rPr>
          <w:rFonts w:hint="default" w:ascii="Times New Roman" w:hAnsi="Times New Roman" w:eastAsia="宋体" w:cs="Times New Roman"/>
          <w:b/>
          <w:color w:val="000000" w:themeColor="text1"/>
          <w:sz w:val="28"/>
          <w:szCs w:val="28"/>
          <w:lang w:val="en-US" w:eastAsia="zh-CN"/>
        </w:rPr>
        <w:t>何松</w:t>
      </w:r>
    </w:p>
    <w:p w14:paraId="201187C8">
      <w:pPr>
        <w:pStyle w:val="29"/>
        <w:spacing w:line="360" w:lineRule="auto"/>
        <w:jc w:val="left"/>
        <w:rPr>
          <w:rFonts w:hint="default" w:ascii="Times New Roman" w:hAnsi="Times New Roman" w:eastAsia="宋体" w:cs="Times New Roman"/>
          <w:b/>
          <w:color w:val="000000" w:themeColor="text1"/>
          <w:sz w:val="28"/>
          <w:szCs w:val="28"/>
          <w:lang w:val="en-US" w:eastAsia="zh-CN"/>
        </w:rPr>
      </w:pPr>
    </w:p>
    <w:p w14:paraId="6FC20524">
      <w:pPr>
        <w:rPr>
          <w:rFonts w:hint="default" w:ascii="Times New Roman" w:hAnsi="Times New Roman" w:cs="Times New Roman"/>
          <w:color w:val="000000" w:themeColor="text1"/>
        </w:rPr>
      </w:pPr>
    </w:p>
    <w:p w14:paraId="7B09CDCB">
      <w:pPr>
        <w:pStyle w:val="2"/>
        <w:rPr>
          <w:rFonts w:hint="default"/>
          <w:color w:val="000000" w:themeColor="text1"/>
        </w:rPr>
      </w:pPr>
    </w:p>
    <w:p w14:paraId="5A517094">
      <w:pPr>
        <w:rPr>
          <w:rFonts w:hint="default" w:ascii="Times New Roman" w:hAnsi="Times New Roman" w:cs="Times New Roman"/>
          <w:color w:val="000000" w:themeColor="text1"/>
        </w:rPr>
      </w:pPr>
    </w:p>
    <w:p w14:paraId="19B1ED74">
      <w:pPr>
        <w:rPr>
          <w:rFonts w:hint="default" w:ascii="Times New Roman" w:hAnsi="Times New Roman" w:cs="Times New Roman"/>
          <w:color w:val="000000" w:themeColor="text1"/>
        </w:rPr>
      </w:pPr>
    </w:p>
    <w:p w14:paraId="640B774B">
      <w:pPr>
        <w:rPr>
          <w:rFonts w:hint="default" w:ascii="Times New Roman" w:hAnsi="Times New Roman" w:cs="Times New Roman"/>
          <w:color w:val="000000" w:themeColor="text1"/>
        </w:rPr>
      </w:pPr>
    </w:p>
    <w:p w14:paraId="22806E6C">
      <w:pPr>
        <w:rPr>
          <w:rFonts w:hint="default" w:ascii="Times New Roman" w:hAnsi="Times New Roman" w:cs="Times New Roman"/>
          <w:color w:val="000000" w:themeColor="text1"/>
        </w:rPr>
      </w:pPr>
    </w:p>
    <w:p w14:paraId="35FC01B5">
      <w:pPr>
        <w:rPr>
          <w:rFonts w:hint="default" w:ascii="Times New Roman" w:hAnsi="Times New Roman" w:cs="Times New Roman"/>
          <w:color w:val="000000" w:themeColor="text1"/>
        </w:rPr>
      </w:pPr>
    </w:p>
    <w:p w14:paraId="5117C271">
      <w:pPr>
        <w:rPr>
          <w:rFonts w:hint="default" w:ascii="Times New Roman" w:hAnsi="Times New Roman" w:cs="Times New Roman"/>
          <w:color w:val="000000" w:themeColor="text1"/>
        </w:rPr>
      </w:pPr>
    </w:p>
    <w:p w14:paraId="5CAC987B">
      <w:pPr>
        <w:rPr>
          <w:rFonts w:hint="default"/>
          <w:color w:val="000000" w:themeColor="text1"/>
        </w:rPr>
      </w:pPr>
    </w:p>
    <w:p w14:paraId="33B41DCD">
      <w:pPr>
        <w:pStyle w:val="2"/>
        <w:rPr>
          <w:rFonts w:hint="default"/>
          <w:color w:val="000000" w:themeColor="text1"/>
        </w:rPr>
      </w:pPr>
    </w:p>
    <w:p w14:paraId="64200B90">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编制单位联系方式</w:t>
      </w:r>
    </w:p>
    <w:p w14:paraId="07638D21">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电话：13453869678</w:t>
      </w:r>
    </w:p>
    <w:p w14:paraId="461BC429">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传真：——</w:t>
      </w:r>
    </w:p>
    <w:p w14:paraId="53036DEC">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地址：云南省腾冲市火山社区</w:t>
      </w:r>
    </w:p>
    <w:p w14:paraId="771E7F55">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邮编：67910</w:t>
      </w:r>
      <w:r>
        <w:rPr>
          <w:rFonts w:hint="eastAsia" w:ascii="Times New Roman" w:hAnsi="Times New Roman" w:eastAsia="宋体" w:cs="Times New Roman"/>
          <w:b/>
          <w:color w:val="000000" w:themeColor="text1"/>
          <w:sz w:val="28"/>
          <w:szCs w:val="28"/>
          <w:lang w:val="en-US" w:eastAsia="zh-CN"/>
        </w:rPr>
        <w:t>0</w:t>
      </w:r>
    </w:p>
    <w:p w14:paraId="2C75CA29">
      <w:pPr>
        <w:pStyle w:val="29"/>
        <w:spacing w:line="360" w:lineRule="auto"/>
        <w:jc w:val="left"/>
        <w:rPr>
          <w:rFonts w:hint="default" w:ascii="Times New Roman" w:hAnsi="Times New Roman" w:eastAsia="宋体" w:cs="Times New Roman"/>
          <w:b/>
          <w:color w:val="000000" w:themeColor="text1"/>
          <w:sz w:val="28"/>
          <w:szCs w:val="28"/>
          <w:lang w:val="en-US" w:eastAsia="zh-CN"/>
        </w:rPr>
      </w:pPr>
    </w:p>
    <w:p w14:paraId="0745CDB2">
      <w:pPr>
        <w:spacing w:line="360" w:lineRule="auto"/>
        <w:jc w:val="center"/>
        <w:rPr>
          <w:rFonts w:hint="default" w:ascii="Times New Roman" w:hAnsi="Times New Roman" w:cs="Times New Roman"/>
          <w:b/>
          <w:color w:val="000000" w:themeColor="text1"/>
        </w:rPr>
      </w:pPr>
      <w:r>
        <w:rPr>
          <w:rFonts w:hint="default" w:ascii="Times New Roman" w:hAnsi="Times New Roman" w:cs="Times New Roman"/>
          <w:bCs/>
          <w:color w:val="000000" w:themeColor="text1"/>
          <w:sz w:val="30"/>
          <w:szCs w:val="30"/>
        </w:rPr>
        <w:br w:type="page"/>
      </w:r>
      <w:r>
        <w:rPr>
          <w:rFonts w:hint="default" w:ascii="Times New Roman" w:hAnsi="Times New Roman" w:cs="Times New Roman"/>
          <w:b/>
          <w:color w:val="000000" w:themeColor="text1"/>
          <w:sz w:val="36"/>
          <w:szCs w:val="36"/>
        </w:rPr>
        <w:t>目   录</w:t>
      </w:r>
    </w:p>
    <w:p w14:paraId="09594051">
      <w:pPr>
        <w:pStyle w:val="29"/>
        <w:rPr>
          <w:rFonts w:hint="default" w:ascii="Times New Roman" w:hAnsi="Times New Roman" w:cs="Times New Roman"/>
          <w:color w:val="000000" w:themeColor="text1"/>
        </w:rPr>
      </w:pPr>
    </w:p>
    <w:p w14:paraId="4799B045">
      <w:pPr>
        <w:pStyle w:val="29"/>
        <w:tabs>
          <w:tab w:val="right" w:leader="dot" w:pos="9062"/>
        </w:tabs>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b/>
          <w:bCs/>
          <w:color w:val="000000" w:themeColor="text1"/>
          <w:sz w:val="24"/>
          <w:szCs w:val="24"/>
        </w:rPr>
        <w:fldChar w:fldCharType="begin"/>
      </w:r>
      <w:r>
        <w:rPr>
          <w:rFonts w:hint="default" w:ascii="Times New Roman" w:hAnsi="Times New Roman" w:cs="Times New Roman"/>
          <w:b/>
          <w:bCs/>
          <w:color w:val="000000" w:themeColor="text1"/>
          <w:sz w:val="24"/>
          <w:szCs w:val="24"/>
        </w:rPr>
        <w:instrText xml:space="preserve"> TOC \o "1-3" \h \z \u </w:instrText>
      </w:r>
      <w:r>
        <w:rPr>
          <w:rFonts w:hint="default" w:ascii="Times New Roman" w:hAnsi="Times New Roman" w:cs="Times New Roman"/>
          <w:b/>
          <w:bCs/>
          <w:color w:val="000000" w:themeColor="text1"/>
          <w:sz w:val="24"/>
          <w:szCs w:val="24"/>
        </w:rPr>
        <w:fldChar w:fldCharType="separate"/>
      </w:r>
    </w:p>
    <w:p w14:paraId="2C337111">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"_Toc527116041"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表一</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_Toc527116041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1</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75A4856E">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"_Toc527116042"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表二</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_Toc527116042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5</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45ABBE5D">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"_Toc527116043"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表三</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_Toc527116043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15</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74946A52">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"_Toc527116044"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表四</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_Toc527116044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23</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569E78E6">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"_Toc527116045"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表五</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_Toc527116045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32</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2CE45225">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"_Toc527116046"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表六</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_Toc527116046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34</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0DEC19D9">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"_Toc527116047"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表七</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_Toc527116047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36</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2FFC75B4">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"_Toc527116048"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kern w:val="1"/>
          <w:sz w:val="24"/>
          <w:szCs w:val="24"/>
        </w:rPr>
        <w:t>表八</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_Toc527116048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41</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3327FE8D">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"_Toc527116049"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color w:val="000000" w:themeColor="text1"/>
          <w:sz w:val="24"/>
          <w:szCs w:val="24"/>
        </w:rPr>
        <w:t>建设项目竣工环境保护“三同时”验收登记表</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_Toc527116049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44</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4007B1ED">
      <w:pPr>
        <w:spacing w:line="360" w:lineRule="auto"/>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fldChar w:fldCharType="end"/>
      </w:r>
    </w:p>
    <w:p w14:paraId="6770BA23">
      <w:pPr>
        <w:spacing w:line="384" w:lineRule="auto"/>
        <w:rPr>
          <w:rFonts w:hint="default" w:ascii="Times New Roman" w:hAnsi="Times New Roman" w:cs="Times New Roman"/>
          <w:b/>
          <w:bCs/>
          <w:color w:val="000000" w:themeColor="text1"/>
          <w:sz w:val="24"/>
          <w:szCs w:val="24"/>
        </w:rPr>
      </w:pPr>
    </w:p>
    <w:p w14:paraId="7D0775B3">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b/>
          <w:bCs/>
          <w:color w:val="000000" w:themeColor="text1"/>
          <w:sz w:val="24"/>
          <w:szCs w:val="24"/>
          <w:highlight w:val="none"/>
        </w:rPr>
      </w:pPr>
      <w:r>
        <w:rPr>
          <w:rFonts w:hint="default" w:ascii="Times New Roman" w:hAnsi="Times New Roman" w:cs="Times New Roman"/>
          <w:color w:val="000000" w:themeColor="text1"/>
          <w:szCs w:val="24"/>
        </w:rPr>
        <w:br w:type="page"/>
      </w:r>
      <w:r>
        <w:rPr>
          <w:rFonts w:hint="default" w:ascii="Times New Roman" w:hAnsi="Times New Roman" w:cs="Times New Roman"/>
          <w:b/>
          <w:bCs/>
          <w:color w:val="000000" w:themeColor="text1"/>
          <w:sz w:val="24"/>
          <w:szCs w:val="24"/>
          <w:highlight w:val="none"/>
        </w:rPr>
        <w:t>附件：</w:t>
      </w:r>
    </w:p>
    <w:p w14:paraId="21692041">
      <w:pPr>
        <w:keepNext w:val="0"/>
        <w:keepLines w:val="0"/>
        <w:pageBreakBefore w:val="0"/>
        <w:widowControl w:val="0"/>
        <w:wordWrap/>
        <w:topLinePunct w:val="0"/>
        <w:autoSpaceDE/>
        <w:autoSpaceDN/>
        <w:bidi w:val="0"/>
        <w:adjustRightInd/>
        <w:snapToGrid/>
        <w:spacing w:line="360" w:lineRule="auto"/>
        <w:ind w:left="960" w:hanging="960" w:hangingChars="400"/>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kern w:val="1"/>
          <w:sz w:val="24"/>
          <w:szCs w:val="24"/>
          <w:highlight w:val="none"/>
        </w:rPr>
        <w:t>附件</w:t>
      </w:r>
      <w:r>
        <w:rPr>
          <w:rFonts w:hint="eastAsia" w:ascii="Times New Roman" w:hAnsi="Times New Roman" w:cs="Times New Roman"/>
          <w:color w:val="000000" w:themeColor="text1"/>
          <w:kern w:val="1"/>
          <w:sz w:val="24"/>
          <w:szCs w:val="24"/>
          <w:highlight w:val="none"/>
          <w:lang w:val="en-US" w:eastAsia="zh-CN"/>
        </w:rPr>
        <w:t>1</w:t>
      </w:r>
      <w:r>
        <w:rPr>
          <w:rFonts w:hint="default" w:ascii="Times New Roman" w:hAnsi="Times New Roman" w:cs="Times New Roman"/>
          <w:color w:val="000000" w:themeColor="text1"/>
          <w:kern w:val="1"/>
          <w:sz w:val="24"/>
          <w:szCs w:val="24"/>
          <w:highlight w:val="none"/>
          <w:lang w:eastAsia="zh-CN"/>
        </w:rPr>
        <w:t>：</w:t>
      </w:r>
      <w:r>
        <w:rPr>
          <w:rFonts w:hint="eastAsia" w:ascii="Times New Roman" w:hAnsi="Times New Roman" w:cs="Times New Roman"/>
          <w:snapToGrid w:val="0"/>
          <w:color w:val="000000" w:themeColor="text1"/>
          <w:sz w:val="24"/>
          <w:szCs w:val="24"/>
          <w:highlight w:val="none"/>
          <w:lang w:val="en-US" w:eastAsia="zh-CN"/>
        </w:rPr>
        <w:t>保山市生态环境局腾冲分局</w:t>
      </w:r>
      <w:r>
        <w:rPr>
          <w:rFonts w:hint="default" w:ascii="Times New Roman" w:hAnsi="Times New Roman" w:cs="Times New Roman"/>
          <w:snapToGrid w:val="0"/>
          <w:color w:val="000000" w:themeColor="text1"/>
          <w:sz w:val="24"/>
          <w:szCs w:val="24"/>
          <w:highlight w:val="none"/>
        </w:rPr>
        <w:t>关于</w:t>
      </w:r>
      <w:r>
        <w:rPr>
          <w:rFonts w:hint="default" w:ascii="Times New Roman" w:hAnsi="Times New Roman" w:cs="Times New Roman"/>
          <w:color w:val="000000" w:themeColor="text1"/>
          <w:sz w:val="24"/>
          <w:szCs w:val="24"/>
          <w:highlight w:val="none"/>
        </w:rPr>
        <w:t>《腾冲市“</w:t>
      </w:r>
      <w:r>
        <w:rPr>
          <w:rFonts w:hint="eastAsia" w:ascii="Times New Roman" w:hAnsi="Times New Roman" w:cs="Times New Roman"/>
          <w:color w:val="000000" w:themeColor="text1"/>
          <w:sz w:val="24"/>
          <w:szCs w:val="24"/>
          <w:highlight w:val="none"/>
          <w:lang w:val="en-US" w:eastAsia="zh-CN"/>
        </w:rPr>
        <w:t>顺颐府</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住宅</w:t>
      </w:r>
      <w:r>
        <w:rPr>
          <w:rFonts w:hint="default" w:ascii="Times New Roman" w:hAnsi="Times New Roman" w:cs="Times New Roman"/>
          <w:color w:val="000000" w:themeColor="text1"/>
          <w:sz w:val="24"/>
          <w:szCs w:val="24"/>
          <w:highlight w:val="none"/>
        </w:rPr>
        <w:t>建设项</w:t>
      </w:r>
      <w:r>
        <w:rPr>
          <w:rFonts w:hint="default" w:ascii="Times New Roman" w:hAnsi="Times New Roman" w:cs="Times New Roman"/>
          <w:bCs/>
          <w:color w:val="000000" w:themeColor="text1"/>
          <w:sz w:val="24"/>
          <w:highlight w:val="none"/>
        </w:rPr>
        <w:t>目</w:t>
      </w:r>
      <w:r>
        <w:rPr>
          <w:rFonts w:hint="eastAsia" w:ascii="Times New Roman" w:hAnsi="Times New Roman" w:cs="Times New Roman"/>
          <w:bCs/>
          <w:color w:val="000000" w:themeColor="text1"/>
          <w:sz w:val="24"/>
          <w:highlight w:val="none"/>
          <w:lang w:eastAsia="zh-CN"/>
        </w:rPr>
        <w:t>（</w:t>
      </w:r>
      <w:r>
        <w:rPr>
          <w:rFonts w:hint="eastAsia" w:ascii="Times New Roman" w:hAnsi="Times New Roman" w:cs="Times New Roman"/>
          <w:bCs/>
          <w:color w:val="000000" w:themeColor="text1"/>
          <w:sz w:val="24"/>
          <w:highlight w:val="none"/>
          <w:lang w:val="en-US" w:eastAsia="zh-CN"/>
        </w:rPr>
        <w:t>一期</w:t>
      </w:r>
      <w:r>
        <w:rPr>
          <w:rFonts w:hint="eastAsia" w:ascii="Times New Roman" w:hAnsi="Times New Roman" w:cs="Times New Roman"/>
          <w:bCs/>
          <w:color w:val="000000" w:themeColor="text1"/>
          <w:sz w:val="24"/>
          <w:highlight w:val="none"/>
          <w:lang w:eastAsia="zh-CN"/>
        </w:rPr>
        <w:t>）</w:t>
      </w:r>
      <w:r>
        <w:rPr>
          <w:rFonts w:hint="default" w:ascii="Times New Roman" w:hAnsi="Times New Roman" w:cs="Times New Roman"/>
          <w:color w:val="000000" w:themeColor="text1"/>
          <w:sz w:val="24"/>
          <w:szCs w:val="24"/>
          <w:highlight w:val="none"/>
        </w:rPr>
        <w:t>环境影响报告表》的行政许可决定书（腾环准〔201</w:t>
      </w:r>
      <w:r>
        <w:rPr>
          <w:rFonts w:hint="default"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highlight w:val="none"/>
          <w:lang w:val="en-US" w:eastAsia="zh-CN"/>
        </w:rPr>
        <w:t>21</w:t>
      </w:r>
      <w:r>
        <w:rPr>
          <w:rFonts w:hint="default" w:ascii="Times New Roman" w:hAnsi="Times New Roman" w:cs="Times New Roman"/>
          <w:color w:val="000000" w:themeColor="text1"/>
          <w:sz w:val="24"/>
          <w:szCs w:val="24"/>
          <w:highlight w:val="none"/>
        </w:rPr>
        <w:t>号）</w:t>
      </w:r>
    </w:p>
    <w:p w14:paraId="7CD03496">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eastAsia" w:ascii="Times New Roman" w:hAnsi="Times New Roman" w:cs="Times New Roman"/>
          <w:bCs/>
          <w:color w:val="000000" w:themeColor="text1"/>
          <w:kern w:val="1"/>
          <w:sz w:val="24"/>
          <w:szCs w:val="24"/>
          <w:highlight w:val="none"/>
          <w:lang w:val="en-US" w:eastAsia="zh-CN"/>
        </w:rPr>
      </w:pPr>
      <w:r>
        <w:rPr>
          <w:rFonts w:hint="default" w:ascii="Times New Roman" w:hAnsi="Times New Roman" w:cs="Times New Roman"/>
          <w:bCs/>
          <w:color w:val="000000" w:themeColor="text1"/>
          <w:kern w:val="1"/>
          <w:sz w:val="24"/>
          <w:szCs w:val="24"/>
          <w:highlight w:val="none"/>
          <w:lang w:val="en-US" w:eastAsia="zh-CN"/>
        </w:rPr>
        <w:t>附件</w:t>
      </w:r>
      <w:r>
        <w:rPr>
          <w:rFonts w:hint="eastAsia" w:ascii="Times New Roman" w:hAnsi="Times New Roman" w:cs="Times New Roman"/>
          <w:bCs/>
          <w:color w:val="000000" w:themeColor="text1"/>
          <w:kern w:val="1"/>
          <w:sz w:val="24"/>
          <w:szCs w:val="24"/>
          <w:highlight w:val="none"/>
          <w:lang w:val="en-US" w:eastAsia="zh-CN"/>
        </w:rPr>
        <w:t>2</w:t>
      </w:r>
      <w:r>
        <w:rPr>
          <w:rFonts w:hint="default" w:ascii="Times New Roman" w:hAnsi="Times New Roman" w:cs="Times New Roman"/>
          <w:bCs/>
          <w:color w:val="000000" w:themeColor="text1"/>
          <w:kern w:val="1"/>
          <w:sz w:val="24"/>
          <w:szCs w:val="24"/>
          <w:highlight w:val="none"/>
          <w:lang w:val="en-US" w:eastAsia="zh-CN"/>
        </w:rPr>
        <w:t>：本项目202</w:t>
      </w:r>
      <w:r>
        <w:rPr>
          <w:rFonts w:hint="eastAsia" w:ascii="Times New Roman" w:hAnsi="Times New Roman" w:cs="Times New Roman"/>
          <w:bCs/>
          <w:color w:val="000000" w:themeColor="text1"/>
          <w:kern w:val="1"/>
          <w:sz w:val="24"/>
          <w:szCs w:val="24"/>
          <w:highlight w:val="none"/>
          <w:lang w:val="en-US" w:eastAsia="zh-CN"/>
        </w:rPr>
        <w:t>4</w:t>
      </w:r>
      <w:r>
        <w:rPr>
          <w:rFonts w:hint="default" w:ascii="Times New Roman" w:hAnsi="Times New Roman" w:cs="Times New Roman"/>
          <w:bCs/>
          <w:color w:val="000000" w:themeColor="text1"/>
          <w:kern w:val="1"/>
          <w:sz w:val="24"/>
          <w:szCs w:val="24"/>
          <w:highlight w:val="none"/>
          <w:lang w:val="en-US" w:eastAsia="zh-CN"/>
        </w:rPr>
        <w:t>年</w:t>
      </w:r>
      <w:r>
        <w:rPr>
          <w:rFonts w:hint="eastAsia" w:ascii="Times New Roman" w:hAnsi="Times New Roman" w:cs="Times New Roman"/>
          <w:bCs/>
          <w:color w:val="000000" w:themeColor="text1"/>
          <w:kern w:val="1"/>
          <w:sz w:val="24"/>
          <w:szCs w:val="24"/>
          <w:highlight w:val="none"/>
          <w:lang w:val="en-US" w:eastAsia="zh-CN"/>
        </w:rPr>
        <w:t>11月</w:t>
      </w:r>
      <w:r>
        <w:rPr>
          <w:rFonts w:hint="default" w:ascii="Times New Roman" w:hAnsi="Times New Roman" w:cs="Times New Roman"/>
          <w:bCs/>
          <w:color w:val="000000" w:themeColor="text1"/>
          <w:kern w:val="1"/>
          <w:sz w:val="24"/>
          <w:szCs w:val="24"/>
          <w:highlight w:val="none"/>
          <w:lang w:val="en-US" w:eastAsia="zh-CN"/>
        </w:rPr>
        <w:t>-</w:t>
      </w:r>
      <w:r>
        <w:rPr>
          <w:rFonts w:hint="eastAsia" w:ascii="Times New Roman" w:hAnsi="Times New Roman" w:cs="Times New Roman"/>
          <w:bCs/>
          <w:color w:val="000000" w:themeColor="text1"/>
          <w:kern w:val="1"/>
          <w:sz w:val="24"/>
          <w:szCs w:val="24"/>
          <w:highlight w:val="none"/>
          <w:lang w:val="en-US" w:eastAsia="zh-CN"/>
        </w:rPr>
        <w:t>2025年2</w:t>
      </w:r>
      <w:r>
        <w:rPr>
          <w:rFonts w:hint="default" w:ascii="Times New Roman" w:hAnsi="Times New Roman" w:cs="Times New Roman"/>
          <w:bCs/>
          <w:color w:val="000000" w:themeColor="text1"/>
          <w:kern w:val="1"/>
          <w:sz w:val="24"/>
          <w:szCs w:val="24"/>
          <w:highlight w:val="none"/>
          <w:lang w:val="en-US" w:eastAsia="zh-CN"/>
        </w:rPr>
        <w:t>月</w:t>
      </w:r>
      <w:r>
        <w:rPr>
          <w:rFonts w:hint="eastAsia" w:ascii="Times New Roman" w:hAnsi="Times New Roman" w:cs="Times New Roman"/>
          <w:bCs/>
          <w:color w:val="000000" w:themeColor="text1"/>
          <w:kern w:val="1"/>
          <w:sz w:val="24"/>
          <w:szCs w:val="24"/>
          <w:highlight w:val="none"/>
          <w:lang w:val="en-US" w:eastAsia="zh-CN"/>
        </w:rPr>
        <w:t>用水量说明</w:t>
      </w:r>
    </w:p>
    <w:p w14:paraId="4D90CE4C">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eastAsia" w:ascii="Times New Roman" w:hAnsi="Times New Roman" w:cs="Times New Roman"/>
          <w:bCs/>
          <w:color w:val="000000" w:themeColor="text1"/>
          <w:kern w:val="1"/>
          <w:sz w:val="24"/>
          <w:szCs w:val="24"/>
          <w:highlight w:val="yellow"/>
          <w:lang w:val="en-US" w:eastAsia="zh-CN"/>
        </w:rPr>
      </w:pPr>
      <w:r>
        <w:rPr>
          <w:rFonts w:hint="eastAsia" w:ascii="Times New Roman" w:hAnsi="Times New Roman" w:cs="Times New Roman"/>
          <w:bCs/>
          <w:color w:val="000000" w:themeColor="text1"/>
          <w:kern w:val="1"/>
          <w:sz w:val="24"/>
          <w:szCs w:val="24"/>
          <w:highlight w:val="none"/>
          <w:lang w:val="en-US" w:eastAsia="zh-CN"/>
        </w:rPr>
        <w:t>附件3：垃圾清运协议及台账</w:t>
      </w:r>
    </w:p>
    <w:p w14:paraId="4A25AC81">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eastAsia" w:ascii="Times New Roman" w:hAnsi="Times New Roman" w:cs="Times New Roman"/>
          <w:bCs/>
          <w:color w:val="000000" w:themeColor="text1"/>
          <w:kern w:val="1"/>
          <w:sz w:val="24"/>
          <w:szCs w:val="24"/>
          <w:highlight w:val="none"/>
          <w:lang w:val="en-US" w:eastAsia="zh-CN"/>
        </w:rPr>
      </w:pPr>
      <w:r>
        <w:rPr>
          <w:rFonts w:hint="eastAsia" w:ascii="Times New Roman" w:hAnsi="Times New Roman" w:cs="Times New Roman"/>
          <w:bCs/>
          <w:color w:val="000000" w:themeColor="text1"/>
          <w:kern w:val="1"/>
          <w:sz w:val="24"/>
          <w:szCs w:val="24"/>
          <w:highlight w:val="none"/>
          <w:lang w:val="en-US" w:eastAsia="zh-CN"/>
        </w:rPr>
        <w:t>附件4：化粪池污泥清运台账</w:t>
      </w:r>
    </w:p>
    <w:p w14:paraId="13D2D422">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eastAsia" w:ascii="Times New Roman" w:hAnsi="Times New Roman" w:cs="Times New Roman"/>
          <w:bCs/>
          <w:color w:val="000000" w:themeColor="text1"/>
          <w:kern w:val="1"/>
          <w:sz w:val="24"/>
          <w:szCs w:val="24"/>
          <w:highlight w:val="none"/>
          <w:lang w:val="en-US" w:eastAsia="zh-CN"/>
        </w:rPr>
      </w:pPr>
      <w:r>
        <w:rPr>
          <w:rFonts w:hint="eastAsia" w:ascii="Times New Roman" w:hAnsi="Times New Roman" w:cs="Times New Roman"/>
          <w:bCs/>
          <w:color w:val="000000" w:themeColor="text1"/>
          <w:kern w:val="1"/>
          <w:sz w:val="24"/>
          <w:szCs w:val="24"/>
          <w:highlight w:val="none"/>
          <w:lang w:val="en-US" w:eastAsia="zh-CN"/>
        </w:rPr>
        <w:t>附件5：污水处理站运行管理台账及药剂添加记录表</w:t>
      </w:r>
    </w:p>
    <w:p w14:paraId="6C63624B">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default" w:ascii="Times New Roman" w:hAnsi="Times New Roman" w:cs="Times New Roman"/>
          <w:bCs/>
          <w:color w:val="000000" w:themeColor="text1"/>
          <w:kern w:val="1"/>
          <w:sz w:val="24"/>
          <w:szCs w:val="24"/>
          <w:highlight w:val="none"/>
        </w:rPr>
      </w:pPr>
      <w:r>
        <w:rPr>
          <w:rFonts w:hint="default" w:ascii="Times New Roman" w:hAnsi="Times New Roman" w:cs="Times New Roman"/>
          <w:bCs/>
          <w:color w:val="000000" w:themeColor="text1"/>
          <w:kern w:val="1"/>
          <w:sz w:val="24"/>
          <w:szCs w:val="24"/>
          <w:highlight w:val="none"/>
          <w:lang w:val="en-US" w:eastAsia="zh-CN"/>
        </w:rPr>
        <w:t>附件</w:t>
      </w:r>
      <w:r>
        <w:rPr>
          <w:rFonts w:hint="eastAsia" w:ascii="Times New Roman" w:hAnsi="Times New Roman" w:cs="Times New Roman"/>
          <w:bCs/>
          <w:color w:val="000000" w:themeColor="text1"/>
          <w:kern w:val="1"/>
          <w:sz w:val="24"/>
          <w:szCs w:val="24"/>
          <w:highlight w:val="none"/>
          <w:lang w:val="en-US" w:eastAsia="zh-CN"/>
        </w:rPr>
        <w:t>6</w:t>
      </w:r>
      <w:r>
        <w:rPr>
          <w:rFonts w:hint="default" w:ascii="Times New Roman" w:hAnsi="Times New Roman" w:cs="Times New Roman"/>
          <w:bCs/>
          <w:color w:val="000000" w:themeColor="text1"/>
          <w:kern w:val="1"/>
          <w:sz w:val="24"/>
          <w:szCs w:val="24"/>
          <w:highlight w:val="none"/>
          <w:lang w:val="en-US" w:eastAsia="zh-CN"/>
        </w:rPr>
        <w:t>：云南速测环境科技有限公司</w:t>
      </w:r>
      <w:r>
        <w:rPr>
          <w:rFonts w:hint="default" w:ascii="Times New Roman" w:hAnsi="Times New Roman" w:cs="Times New Roman"/>
          <w:bCs/>
          <w:color w:val="000000" w:themeColor="text1"/>
          <w:kern w:val="1"/>
          <w:sz w:val="24"/>
          <w:szCs w:val="24"/>
          <w:highlight w:val="none"/>
        </w:rPr>
        <w:t>的监测报告（</w:t>
      </w:r>
      <w:r>
        <w:rPr>
          <w:rFonts w:hint="eastAsia" w:ascii="Times New Roman" w:hAnsi="Times New Roman" w:cs="Times New Roman"/>
          <w:bCs/>
          <w:color w:val="000000" w:themeColor="text1"/>
          <w:kern w:val="1"/>
          <w:sz w:val="24"/>
          <w:szCs w:val="24"/>
          <w:highlight w:val="none"/>
          <w:lang w:val="en-US" w:eastAsia="zh-CN"/>
        </w:rPr>
        <w:t>SCKJ25030502</w:t>
      </w:r>
      <w:r>
        <w:rPr>
          <w:rFonts w:hint="default" w:ascii="Times New Roman" w:hAnsi="Times New Roman" w:cs="Times New Roman"/>
          <w:bCs/>
          <w:color w:val="000000" w:themeColor="text1"/>
          <w:kern w:val="1"/>
          <w:sz w:val="24"/>
          <w:szCs w:val="24"/>
          <w:highlight w:val="none"/>
        </w:rPr>
        <w:t>）</w:t>
      </w:r>
    </w:p>
    <w:p w14:paraId="6FA115B1">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b w:val="0"/>
          <w:bCs w:val="0"/>
          <w:color w:val="000000" w:themeColor="text1"/>
          <w:kern w:val="1"/>
          <w:sz w:val="24"/>
          <w:szCs w:val="24"/>
          <w:highlight w:val="none"/>
        </w:rPr>
      </w:pPr>
      <w:r>
        <w:rPr>
          <w:rFonts w:hint="default" w:ascii="Times New Roman" w:hAnsi="Times New Roman" w:cs="Times New Roman"/>
          <w:b w:val="0"/>
          <w:bCs w:val="0"/>
          <w:color w:val="000000" w:themeColor="text1"/>
          <w:kern w:val="1"/>
          <w:sz w:val="24"/>
          <w:szCs w:val="24"/>
          <w:highlight w:val="none"/>
        </w:rPr>
        <w:t>附件</w:t>
      </w:r>
      <w:r>
        <w:rPr>
          <w:rFonts w:hint="eastAsia" w:ascii="Times New Roman" w:hAnsi="Times New Roman" w:cs="Times New Roman"/>
          <w:b w:val="0"/>
          <w:bCs w:val="0"/>
          <w:color w:val="000000" w:themeColor="text1"/>
          <w:kern w:val="1"/>
          <w:sz w:val="24"/>
          <w:szCs w:val="24"/>
          <w:highlight w:val="none"/>
          <w:lang w:val="en-US" w:eastAsia="zh-CN"/>
        </w:rPr>
        <w:t>7</w:t>
      </w:r>
      <w:r>
        <w:rPr>
          <w:rFonts w:hint="default" w:ascii="Times New Roman" w:hAnsi="Times New Roman" w:cs="Times New Roman"/>
          <w:b w:val="0"/>
          <w:bCs w:val="0"/>
          <w:color w:val="000000" w:themeColor="text1"/>
          <w:kern w:val="1"/>
          <w:sz w:val="24"/>
          <w:szCs w:val="24"/>
          <w:highlight w:val="none"/>
        </w:rPr>
        <w:t>：营业执照</w:t>
      </w:r>
    </w:p>
    <w:p w14:paraId="0FC5822A">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eastAsia="宋体" w:cs="Times New Roman"/>
          <w:b w:val="0"/>
          <w:bCs w:val="0"/>
          <w:color w:val="000000" w:themeColor="text1"/>
          <w:kern w:val="1"/>
          <w:sz w:val="24"/>
          <w:szCs w:val="24"/>
          <w:highlight w:val="none"/>
          <w:lang w:val="en-US" w:eastAsia="zh-CN"/>
        </w:rPr>
      </w:pPr>
      <w:bookmarkStart w:id="67" w:name="_GoBack"/>
      <w:r>
        <w:rPr>
          <w:rFonts w:hint="eastAsia" w:ascii="Times New Roman" w:hAnsi="Times New Roman" w:cs="Times New Roman"/>
          <w:b w:val="0"/>
          <w:bCs w:val="0"/>
          <w:color w:val="000000" w:themeColor="text1"/>
          <w:kern w:val="1"/>
          <w:sz w:val="24"/>
          <w:szCs w:val="24"/>
          <w:highlight w:val="none"/>
          <w:lang w:val="en-US" w:eastAsia="zh-CN"/>
        </w:rPr>
        <w:t>附件8：项目验收意见及附录</w:t>
      </w:r>
    </w:p>
    <w:bookmarkEnd w:id="67"/>
    <w:p w14:paraId="3690A695">
      <w:pPr>
        <w:keepNext w:val="0"/>
        <w:keepLines w:val="0"/>
        <w:pageBreakBefore w:val="0"/>
        <w:widowControl w:val="0"/>
        <w:wordWrap/>
        <w:topLinePunct w:val="0"/>
        <w:autoSpaceDE/>
        <w:autoSpaceDN/>
        <w:bidi w:val="0"/>
        <w:adjustRightInd/>
        <w:snapToGrid/>
        <w:spacing w:line="360" w:lineRule="auto"/>
        <w:textAlignment w:val="auto"/>
        <w:rPr>
          <w:rFonts w:hint="eastAsia" w:ascii="Times New Roman" w:hAnsi="Times New Roman" w:eastAsia="宋体" w:cs="Times New Roman"/>
          <w:color w:val="000000" w:themeColor="text1"/>
          <w:sz w:val="24"/>
          <w:szCs w:val="24"/>
          <w:highlight w:val="yellow"/>
          <w:lang w:val="en-US" w:eastAsia="zh-CN"/>
        </w:rPr>
      </w:pPr>
    </w:p>
    <w:p w14:paraId="52187B9B">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b/>
          <w:bCs/>
          <w:color w:val="000000" w:themeColor="text1"/>
          <w:sz w:val="24"/>
          <w:szCs w:val="24"/>
          <w:highlight w:val="none"/>
        </w:rPr>
      </w:pPr>
      <w:r>
        <w:rPr>
          <w:rFonts w:hint="default" w:ascii="Times New Roman" w:hAnsi="Times New Roman" w:cs="Times New Roman"/>
          <w:b/>
          <w:bCs/>
          <w:color w:val="000000" w:themeColor="text1"/>
          <w:sz w:val="24"/>
          <w:szCs w:val="24"/>
          <w:highlight w:val="none"/>
        </w:rPr>
        <w:t>附图：</w:t>
      </w:r>
    </w:p>
    <w:p w14:paraId="21A29D97">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附图1：本项目交通地理位置图</w:t>
      </w:r>
    </w:p>
    <w:p w14:paraId="3F4BD50B">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附图2：本项目周边关系示意图</w:t>
      </w:r>
    </w:p>
    <w:p w14:paraId="663F065F">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附图3：本项目区域水系图</w:t>
      </w:r>
    </w:p>
    <w:p w14:paraId="08C92887">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附图4：本项目总平面布置图</w:t>
      </w:r>
    </w:p>
    <w:p w14:paraId="2C83D601">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附图5：本项目排水管网布置图</w:t>
      </w:r>
    </w:p>
    <w:p w14:paraId="34691906">
      <w:pPr>
        <w:pStyle w:val="25"/>
        <w:keepNext w:val="0"/>
        <w:keepLines w:val="0"/>
        <w:pageBreakBefore w:val="0"/>
        <w:widowControl w:val="0"/>
        <w:wordWrap/>
        <w:topLinePunct w:val="0"/>
        <w:autoSpaceDE/>
        <w:autoSpaceDN/>
        <w:bidi w:val="0"/>
        <w:adjustRightInd/>
        <w:snapToGrid/>
        <w:ind w:firstLine="0"/>
        <w:textAlignment w:val="auto"/>
        <w:rPr>
          <w:rFonts w:hint="default" w:ascii="Times New Roman" w:hAnsi="Times New Roman" w:cs="Times New Roman"/>
          <w:color w:val="000000" w:themeColor="text1"/>
          <w:szCs w:val="24"/>
          <w:highlight w:val="none"/>
        </w:rPr>
      </w:pPr>
      <w:r>
        <w:rPr>
          <w:rFonts w:hint="default" w:ascii="Times New Roman" w:hAnsi="Times New Roman" w:cs="Times New Roman"/>
          <w:color w:val="000000" w:themeColor="text1"/>
          <w:szCs w:val="24"/>
          <w:highlight w:val="none"/>
        </w:rPr>
        <w:t>附图6：本项目监测点位布置图</w:t>
      </w:r>
    </w:p>
    <w:p w14:paraId="0EB453A3">
      <w:pPr>
        <w:pStyle w:val="25"/>
        <w:keepNext w:val="0"/>
        <w:keepLines w:val="0"/>
        <w:pageBreakBefore w:val="0"/>
        <w:widowControl w:val="0"/>
        <w:wordWrap/>
        <w:topLinePunct w:val="0"/>
        <w:autoSpaceDE/>
        <w:autoSpaceDN/>
        <w:bidi w:val="0"/>
        <w:adjustRightInd/>
        <w:snapToGrid/>
        <w:ind w:firstLine="0"/>
        <w:textAlignment w:val="auto"/>
        <w:rPr>
          <w:rFonts w:hint="eastAsia" w:ascii="Times New Roman" w:hAnsi="Times New Roman"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附图7：</w:t>
      </w:r>
      <w:r>
        <w:rPr>
          <w:rFonts w:hint="default" w:ascii="Times New Roman" w:hAnsi="Times New Roman" w:cs="Times New Roman"/>
          <w:color w:val="000000" w:themeColor="text1"/>
          <w:sz w:val="24"/>
          <w:szCs w:val="24"/>
        </w:rPr>
        <w:t>腾冲市“顺颐府”住宅建设</w:t>
      </w:r>
      <w:r>
        <w:rPr>
          <w:rFonts w:hint="eastAsia" w:ascii="Times New Roman" w:hAnsi="Times New Roman" w:cs="Times New Roman"/>
          <w:color w:val="000000" w:themeColor="text1"/>
          <w:szCs w:val="24"/>
          <w:lang w:val="en-US" w:eastAsia="zh-CN"/>
        </w:rPr>
        <w:t>项目分期关系图</w:t>
      </w:r>
    </w:p>
    <w:p w14:paraId="362AC69A">
      <w:pPr>
        <w:pStyle w:val="25"/>
        <w:keepNext w:val="0"/>
        <w:keepLines w:val="0"/>
        <w:pageBreakBefore w:val="0"/>
        <w:widowControl w:val="0"/>
        <w:wordWrap/>
        <w:topLinePunct w:val="0"/>
        <w:autoSpaceDE/>
        <w:autoSpaceDN/>
        <w:bidi w:val="0"/>
        <w:adjustRightInd/>
        <w:snapToGrid/>
        <w:ind w:firstLine="0"/>
        <w:textAlignment w:val="auto"/>
        <w:rPr>
          <w:rFonts w:hint="default" w:ascii="Times New Roman" w:hAnsi="Times New Roman" w:eastAsia="宋体" w:cs="Times New Roman"/>
          <w:color w:val="000000" w:themeColor="text1"/>
          <w:szCs w:val="24"/>
          <w:lang w:val="en-US" w:eastAsia="zh-CN"/>
        </w:rPr>
        <w:sectPr>
          <w:headerReference r:id="rId3" w:type="default"/>
          <w:footerReference r:id="rId4" w:type="default"/>
          <w:pgSz w:w="11906" w:h="16838"/>
          <w:pgMar w:top="1440" w:right="1416" w:bottom="1440" w:left="1418" w:header="851" w:footer="992" w:gutter="0"/>
          <w:pgBorders>
            <w:top w:val="none" w:sz="0" w:space="0"/>
            <w:left w:val="none" w:sz="0" w:space="0"/>
            <w:bottom w:val="none" w:sz="0" w:space="0"/>
            <w:right w:val="none" w:sz="0" w:space="0"/>
          </w:pgBorders>
          <w:pgNumType w:start="1"/>
          <w:cols w:space="720" w:num="1"/>
          <w:docGrid w:linePitch="312" w:charSpace="0"/>
        </w:sectPr>
      </w:pPr>
      <w:r>
        <w:rPr>
          <w:rFonts w:hint="eastAsia" w:ascii="Times New Roman" w:hAnsi="Times New Roman" w:cs="Times New Roman"/>
          <w:color w:val="000000" w:themeColor="text1"/>
          <w:szCs w:val="24"/>
          <w:lang w:val="en-US" w:eastAsia="zh-CN"/>
        </w:rPr>
        <w:t>附图8：</w:t>
      </w:r>
      <w:r>
        <w:rPr>
          <w:rFonts w:hint="default" w:ascii="Times New Roman" w:hAnsi="Times New Roman" w:cs="Times New Roman"/>
          <w:color w:val="000000" w:themeColor="text1"/>
          <w:sz w:val="24"/>
          <w:szCs w:val="24"/>
        </w:rPr>
        <w:t>腾冲市“顺颐府”住宅建设</w:t>
      </w:r>
      <w:r>
        <w:rPr>
          <w:rFonts w:hint="eastAsia" w:ascii="Times New Roman" w:hAnsi="Times New Roman" w:cs="Times New Roman"/>
          <w:color w:val="000000" w:themeColor="text1"/>
          <w:szCs w:val="24"/>
          <w:lang w:val="en-US" w:eastAsia="zh-CN"/>
        </w:rPr>
        <w:t>项目管网布设图</w:t>
      </w:r>
    </w:p>
    <w:p w14:paraId="104F9A37">
      <w:pPr>
        <w:spacing w:beforeLines="50" w:afterLines="50" w:line="360" w:lineRule="auto"/>
        <w:jc w:val="center"/>
        <w:outlineLvl w:val="0"/>
        <w:rPr>
          <w:rFonts w:hint="default" w:ascii="Times New Roman" w:hAnsi="Times New Roman" w:cs="Times New Roman"/>
          <w:b/>
          <w:bCs/>
          <w:color w:val="000000" w:themeColor="text1"/>
          <w:sz w:val="24"/>
          <w:szCs w:val="24"/>
        </w:rPr>
      </w:pPr>
      <w:bookmarkStart w:id="0" w:name="_Toc448701754"/>
      <w:bookmarkStart w:id="1" w:name="_Toc527116040"/>
      <w:bookmarkStart w:id="2" w:name="_Toc447039456"/>
      <w:bookmarkStart w:id="3" w:name="_Toc239736721"/>
      <w:bookmarkStart w:id="4" w:name="_Toc448678770"/>
      <w:r>
        <w:rPr>
          <w:rFonts w:hint="default" w:ascii="Times New Roman" w:hAnsi="Times New Roman" w:cs="Times New Roman"/>
          <w:b/>
          <w:bCs/>
          <w:color w:val="000000" w:themeColor="text1"/>
          <w:sz w:val="30"/>
          <w:szCs w:val="30"/>
        </w:rPr>
        <w:t>前  言</w:t>
      </w:r>
      <w:bookmarkEnd w:id="0"/>
      <w:bookmarkEnd w:id="1"/>
      <w:bookmarkEnd w:id="2"/>
      <w:bookmarkEnd w:id="3"/>
      <w:bookmarkEnd w:id="4"/>
    </w:p>
    <w:p w14:paraId="3E8519D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腾冲市“顺颐府”住宅建设项目由腾冲广恒信达房地产开发有限责任公司（后文简称“</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rPr>
        <w:t>”）投资建设，项目位于腾冲市宝峰社区。腾冲市“顺颐府”住宅建设项目总投资2</w:t>
      </w:r>
      <w:r>
        <w:rPr>
          <w:rFonts w:hint="eastAsia" w:ascii="Times New Roman" w:hAnsi="Times New Roman" w:cs="Times New Roman"/>
          <w:color w:val="000000" w:themeColor="text1"/>
          <w:sz w:val="24"/>
          <w:szCs w:val="24"/>
          <w:lang w:val="en-US" w:eastAsia="zh-CN"/>
        </w:rPr>
        <w:t>4279</w:t>
      </w:r>
      <w:r>
        <w:rPr>
          <w:rFonts w:hint="default" w:ascii="Times New Roman" w:hAnsi="Times New Roman" w:cs="Times New Roman"/>
          <w:color w:val="000000" w:themeColor="text1"/>
          <w:sz w:val="24"/>
          <w:szCs w:val="24"/>
        </w:rPr>
        <w:t>万元，总建筑面积</w:t>
      </w:r>
      <w:r>
        <w:rPr>
          <w:rFonts w:hint="eastAsia" w:ascii="Times New Roman" w:hAnsi="Times New Roman" w:cs="Times New Roman"/>
          <w:color w:val="000000" w:themeColor="text1"/>
          <w:sz w:val="24"/>
          <w:szCs w:val="24"/>
          <w:lang w:val="en-US" w:eastAsia="zh-CN"/>
        </w:rPr>
        <w:t>94806</w:t>
      </w:r>
      <w:r>
        <w:rPr>
          <w:rFonts w:hint="default" w:ascii="Times New Roman" w:hAnsi="Times New Roman" w:cs="Times New Roman"/>
          <w:color w:val="000000" w:themeColor="text1"/>
          <w:sz w:val="24"/>
          <w:szCs w:val="24"/>
        </w:rPr>
        <w:t>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color w:val="000000" w:themeColor="text1"/>
          <w:sz w:val="24"/>
          <w:szCs w:val="24"/>
        </w:rPr>
        <w:t>，主要建设内容包括：高层住宅、</w:t>
      </w:r>
      <w:r>
        <w:rPr>
          <w:rFonts w:hint="eastAsia" w:ascii="Times New Roman" w:hAnsi="Times New Roman" w:cs="Times New Roman"/>
          <w:color w:val="000000" w:themeColor="text1"/>
          <w:sz w:val="24"/>
          <w:szCs w:val="24"/>
          <w:lang w:eastAsia="zh-CN"/>
        </w:rPr>
        <w:t>低层</w:t>
      </w:r>
      <w:r>
        <w:rPr>
          <w:rFonts w:hint="default" w:ascii="Times New Roman" w:hAnsi="Times New Roman" w:cs="Times New Roman"/>
          <w:color w:val="000000" w:themeColor="text1"/>
          <w:sz w:val="24"/>
          <w:szCs w:val="24"/>
        </w:rPr>
        <w:t>住宅、产权式公寓、商业式公寓、会所及相应配套设施建设，</w:t>
      </w:r>
      <w:r>
        <w:rPr>
          <w:rFonts w:ascii="Times New Roman" w:hAnsiTheme="minorEastAsia" w:eastAsiaTheme="minorEastAsia"/>
          <w:color w:val="000000" w:themeColor="text1"/>
          <w:sz w:val="24"/>
          <w:szCs w:val="24"/>
        </w:rPr>
        <w:t>由于项目投入资金较大，建设单位无法一次完成备案的全部建设内容，为快速启动推进项目进程，项目</w:t>
      </w:r>
      <w:r>
        <w:rPr>
          <w:rFonts w:hint="eastAsia" w:ascii="Times New Roman" w:hAnsiTheme="minorEastAsia" w:eastAsiaTheme="minorEastAsia"/>
          <w:color w:val="000000" w:themeColor="text1"/>
          <w:sz w:val="24"/>
          <w:szCs w:val="24"/>
          <w:lang w:eastAsia="zh-CN"/>
        </w:rPr>
        <w:t>将</w:t>
      </w:r>
      <w:r>
        <w:rPr>
          <w:rFonts w:ascii="Times New Roman" w:hAnsiTheme="minorEastAsia" w:eastAsiaTheme="minorEastAsia"/>
          <w:color w:val="000000" w:themeColor="text1"/>
          <w:sz w:val="24"/>
          <w:szCs w:val="24"/>
        </w:rPr>
        <w:t>分期进行开发建设。</w:t>
      </w:r>
      <w:r>
        <w:rPr>
          <w:rFonts w:hint="default" w:ascii="Times New Roman" w:hAnsiTheme="minorEastAsia" w:eastAsiaTheme="minorEastAsia"/>
          <w:color w:val="000000" w:themeColor="text1"/>
          <w:sz w:val="24"/>
          <w:szCs w:val="24"/>
        </w:rPr>
        <w:t>腾冲</w:t>
      </w:r>
      <w:r>
        <w:rPr>
          <w:rFonts w:hint="default" w:ascii="Times New Roman" w:hAnsi="Times New Roman" w:cs="Times New Roman" w:eastAsiaTheme="minorEastAsia"/>
          <w:color w:val="000000" w:themeColor="text1"/>
          <w:sz w:val="24"/>
          <w:szCs w:val="24"/>
        </w:rPr>
        <w:t>市“顺颐府”</w:t>
      </w:r>
      <w:r>
        <w:rPr>
          <w:rFonts w:hint="default" w:ascii="Times New Roman" w:hAnsiTheme="minorEastAsia" w:eastAsiaTheme="minorEastAsia"/>
          <w:color w:val="000000" w:themeColor="text1"/>
          <w:sz w:val="24"/>
          <w:szCs w:val="24"/>
        </w:rPr>
        <w:t>住宅建设项目</w:t>
      </w:r>
      <w:r>
        <w:rPr>
          <w:rFonts w:hint="default" w:ascii="Times New Roman" w:hAnsi="Times New Roman" w:cs="Times New Roman"/>
          <w:bCs/>
          <w:color w:val="000000" w:themeColor="text1"/>
          <w:sz w:val="24"/>
          <w:szCs w:val="24"/>
        </w:rPr>
        <w:t>共分</w:t>
      </w:r>
      <w:r>
        <w:rPr>
          <w:rFonts w:hint="default" w:ascii="Times New Roman" w:hAnsi="Times New Roman" w:cs="Times New Roman"/>
          <w:color w:val="000000" w:themeColor="text1"/>
          <w:sz w:val="24"/>
          <w:szCs w:val="24"/>
        </w:rPr>
        <w:t>为三期实施，一期项目主要建设4幢高层住宅及1个地下车库，占地面积为13897.75m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color w:val="000000" w:themeColor="text1"/>
          <w:sz w:val="24"/>
          <w:szCs w:val="24"/>
        </w:rPr>
        <w:t>（约20.85亩），总建筑面积为35012.72m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color w:val="000000" w:themeColor="text1"/>
          <w:sz w:val="24"/>
          <w:szCs w:val="24"/>
        </w:rPr>
        <w:t>，地下停车位260个，绿地率35%，投资金额为8107万元，建设时间2019年</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月~2020年7月；</w:t>
      </w:r>
      <w:r>
        <w:rPr>
          <w:rFonts w:ascii="Times New Roman" w:hAnsiTheme="minorEastAsia" w:eastAsiaTheme="minorEastAsia"/>
          <w:color w:val="000000" w:themeColor="text1"/>
          <w:sz w:val="24"/>
          <w:szCs w:val="24"/>
        </w:rPr>
        <w:t>二期项目主要建设</w:t>
      </w:r>
      <w:r>
        <w:rPr>
          <w:rFonts w:ascii="Times New Roman" w:hAnsi="Times New Roman" w:eastAsiaTheme="minorEastAsia"/>
          <w:color w:val="000000" w:themeColor="text1"/>
          <w:sz w:val="24"/>
          <w:szCs w:val="24"/>
        </w:rPr>
        <w:t>4</w:t>
      </w:r>
      <w:r>
        <w:rPr>
          <w:rFonts w:ascii="Times New Roman" w:hAnsiTheme="minorEastAsia" w:eastAsiaTheme="minorEastAsia"/>
          <w:color w:val="000000" w:themeColor="text1"/>
          <w:sz w:val="24"/>
          <w:szCs w:val="24"/>
        </w:rPr>
        <w:t>幢高层住宅，占地面积</w:t>
      </w:r>
      <w:r>
        <w:rPr>
          <w:rFonts w:ascii="Times New Roman" w:hAnsi="Times New Roman" w:eastAsiaTheme="minorEastAsia"/>
          <w:color w:val="000000" w:themeColor="text1"/>
          <w:sz w:val="24"/>
          <w:szCs w:val="24"/>
        </w:rPr>
        <w:t>13897.75m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（约</w:t>
      </w:r>
      <w:r>
        <w:rPr>
          <w:rFonts w:ascii="Times New Roman" w:hAnsi="Times New Roman" w:eastAsiaTheme="minorEastAsia"/>
          <w:color w:val="000000" w:themeColor="text1"/>
          <w:sz w:val="24"/>
          <w:szCs w:val="24"/>
        </w:rPr>
        <w:t>20.85</w:t>
      </w:r>
      <w:r>
        <w:rPr>
          <w:rFonts w:ascii="Times New Roman" w:hAnsiTheme="minorEastAsia" w:eastAsiaTheme="minorEastAsia"/>
          <w:color w:val="000000" w:themeColor="text1"/>
          <w:sz w:val="24"/>
          <w:szCs w:val="24"/>
        </w:rPr>
        <w:t>亩），总建筑面积为</w:t>
      </w:r>
      <w:r>
        <w:rPr>
          <w:rFonts w:ascii="Times New Roman" w:hAnsi="Times New Roman" w:eastAsiaTheme="minorEastAsia"/>
          <w:color w:val="000000" w:themeColor="text1"/>
          <w:sz w:val="24"/>
          <w:szCs w:val="24"/>
        </w:rPr>
        <w:t>38541.96m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，地下停车位</w:t>
      </w:r>
      <w:r>
        <w:rPr>
          <w:rFonts w:ascii="Times New Roman" w:hAnsi="Times New Roman" w:eastAsiaTheme="minorEastAsia"/>
          <w:color w:val="000000" w:themeColor="text1"/>
          <w:sz w:val="24"/>
          <w:szCs w:val="24"/>
        </w:rPr>
        <w:t>255</w:t>
      </w:r>
      <w:r>
        <w:rPr>
          <w:rFonts w:ascii="Times New Roman" w:hAnsiTheme="minorEastAsia" w:eastAsiaTheme="minorEastAsia"/>
          <w:color w:val="000000" w:themeColor="text1"/>
          <w:sz w:val="24"/>
          <w:szCs w:val="24"/>
        </w:rPr>
        <w:t>个，绿地率</w:t>
      </w:r>
      <w:r>
        <w:rPr>
          <w:rFonts w:ascii="Times New Roman" w:hAnsi="Times New Roman" w:eastAsiaTheme="minorEastAsia"/>
          <w:color w:val="000000" w:themeColor="text1"/>
          <w:sz w:val="24"/>
          <w:szCs w:val="24"/>
        </w:rPr>
        <w:t>35%</w:t>
      </w:r>
      <w:r>
        <w:rPr>
          <w:rFonts w:ascii="Times New Roman" w:hAnsiTheme="minorEastAsia" w:eastAsiaTheme="minorEastAsia"/>
          <w:color w:val="000000" w:themeColor="text1"/>
          <w:sz w:val="24"/>
          <w:szCs w:val="24"/>
        </w:rPr>
        <w:t>，投资金额</w:t>
      </w:r>
      <w:r>
        <w:rPr>
          <w:rFonts w:ascii="Times New Roman" w:hAnsi="Times New Roman" w:eastAsiaTheme="minorEastAsia"/>
          <w:color w:val="000000" w:themeColor="text1"/>
          <w:sz w:val="24"/>
          <w:szCs w:val="24"/>
        </w:rPr>
        <w:t>8107</w:t>
      </w:r>
      <w:r>
        <w:rPr>
          <w:rFonts w:ascii="Times New Roman" w:hAnsiTheme="minorEastAsia" w:eastAsiaTheme="minorEastAsia"/>
          <w:color w:val="000000" w:themeColor="text1"/>
          <w:sz w:val="24"/>
          <w:szCs w:val="24"/>
        </w:rPr>
        <w:t>万元，建设时间</w:t>
      </w:r>
      <w:r>
        <w:rPr>
          <w:rFonts w:ascii="Times New Roman" w:hAnsi="Times New Roman" w:eastAsiaTheme="minorEastAsia"/>
          <w:color w:val="000000" w:themeColor="text1"/>
          <w:sz w:val="24"/>
          <w:szCs w:val="24"/>
        </w:rPr>
        <w:t>2020</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ascii="Times New Roman" w:hAnsi="Times New Roman" w:eastAsiaTheme="minorEastAsia"/>
          <w:color w:val="000000" w:themeColor="text1"/>
          <w:sz w:val="24"/>
          <w:szCs w:val="24"/>
        </w:rPr>
        <w:t>~2021</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hint="default" w:ascii="Times New Roman" w:hAnsi="Times New Roman" w:cs="Times New Roman"/>
          <w:color w:val="000000" w:themeColor="text1"/>
          <w:sz w:val="24"/>
          <w:szCs w:val="24"/>
        </w:rPr>
        <w:t>；</w:t>
      </w:r>
      <w:r>
        <w:rPr>
          <w:rFonts w:ascii="Times New Roman" w:hAnsiTheme="minorEastAsia" w:eastAsiaTheme="minorEastAsia"/>
          <w:color w:val="000000" w:themeColor="text1"/>
          <w:sz w:val="24"/>
          <w:szCs w:val="24"/>
        </w:rPr>
        <w:t>三期项目主要建设</w:t>
      </w:r>
      <w:r>
        <w:rPr>
          <w:rFonts w:ascii="Times New Roman" w:hAnsi="Times New Roman" w:eastAsiaTheme="minorEastAsia"/>
          <w:color w:val="000000" w:themeColor="text1"/>
          <w:sz w:val="24"/>
          <w:szCs w:val="24"/>
        </w:rPr>
        <w:t>5</w:t>
      </w:r>
      <w:r>
        <w:rPr>
          <w:rFonts w:ascii="Times New Roman" w:hAnsiTheme="minorEastAsia" w:eastAsiaTheme="minorEastAsia"/>
          <w:color w:val="000000" w:themeColor="text1"/>
          <w:sz w:val="24"/>
          <w:szCs w:val="24"/>
        </w:rPr>
        <w:t>组团合院及一个地下车库，占地面积</w:t>
      </w:r>
      <w:r>
        <w:rPr>
          <w:rFonts w:ascii="Times New Roman" w:hAnsi="Times New Roman" w:eastAsiaTheme="minorEastAsia"/>
          <w:color w:val="000000" w:themeColor="text1"/>
          <w:sz w:val="24"/>
          <w:szCs w:val="24"/>
        </w:rPr>
        <w:t>27795.5m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（约</w:t>
      </w:r>
      <w:r>
        <w:rPr>
          <w:rFonts w:ascii="Times New Roman" w:hAnsi="Times New Roman" w:eastAsiaTheme="minorEastAsia"/>
          <w:color w:val="000000" w:themeColor="text1"/>
          <w:sz w:val="24"/>
          <w:szCs w:val="24"/>
        </w:rPr>
        <w:t>41.69</w:t>
      </w:r>
      <w:r>
        <w:rPr>
          <w:rFonts w:ascii="Times New Roman" w:hAnsiTheme="minorEastAsia" w:eastAsiaTheme="minorEastAsia"/>
          <w:color w:val="000000" w:themeColor="text1"/>
          <w:sz w:val="24"/>
          <w:szCs w:val="24"/>
        </w:rPr>
        <w:t>亩），总建筑面积为</w:t>
      </w:r>
      <w:r>
        <w:rPr>
          <w:rFonts w:ascii="Times New Roman" w:hAnsi="Times New Roman" w:eastAsiaTheme="minorEastAsia"/>
          <w:color w:val="000000" w:themeColor="text1"/>
          <w:sz w:val="24"/>
          <w:szCs w:val="24"/>
        </w:rPr>
        <w:t>22554.28m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，地下停车位</w:t>
      </w:r>
      <w:r>
        <w:rPr>
          <w:rFonts w:ascii="Times New Roman" w:hAnsi="Times New Roman" w:eastAsiaTheme="minorEastAsia"/>
          <w:color w:val="000000" w:themeColor="text1"/>
          <w:sz w:val="24"/>
          <w:szCs w:val="24"/>
        </w:rPr>
        <w:t>180</w:t>
      </w:r>
      <w:r>
        <w:rPr>
          <w:rFonts w:ascii="Times New Roman" w:hAnsiTheme="minorEastAsia" w:eastAsiaTheme="minorEastAsia"/>
          <w:color w:val="000000" w:themeColor="text1"/>
          <w:sz w:val="24"/>
          <w:szCs w:val="24"/>
        </w:rPr>
        <w:t>个，地上停车位</w:t>
      </w:r>
      <w:r>
        <w:rPr>
          <w:rFonts w:ascii="Times New Roman" w:hAnsi="Times New Roman" w:eastAsiaTheme="minorEastAsia"/>
          <w:color w:val="000000" w:themeColor="text1"/>
          <w:sz w:val="24"/>
          <w:szCs w:val="24"/>
        </w:rPr>
        <w:t>68</w:t>
      </w:r>
      <w:r>
        <w:rPr>
          <w:rFonts w:ascii="Times New Roman" w:hAnsiTheme="minorEastAsia" w:eastAsiaTheme="minorEastAsia"/>
          <w:color w:val="000000" w:themeColor="text1"/>
          <w:sz w:val="24"/>
          <w:szCs w:val="24"/>
        </w:rPr>
        <w:t>个，绿地率</w:t>
      </w:r>
      <w:r>
        <w:rPr>
          <w:rFonts w:ascii="Times New Roman" w:hAnsi="Times New Roman" w:eastAsiaTheme="minorEastAsia"/>
          <w:color w:val="000000" w:themeColor="text1"/>
          <w:sz w:val="24"/>
          <w:szCs w:val="24"/>
        </w:rPr>
        <w:t>35%</w:t>
      </w:r>
      <w:r>
        <w:rPr>
          <w:rFonts w:ascii="Times New Roman" w:hAnsiTheme="minorEastAsia" w:eastAsiaTheme="minorEastAsia"/>
          <w:color w:val="000000" w:themeColor="text1"/>
          <w:sz w:val="24"/>
          <w:szCs w:val="24"/>
        </w:rPr>
        <w:t>，投资金额</w:t>
      </w:r>
      <w:r>
        <w:rPr>
          <w:rFonts w:ascii="Times New Roman" w:hAnsi="Times New Roman" w:eastAsiaTheme="minorEastAsia"/>
          <w:color w:val="000000" w:themeColor="text1"/>
          <w:sz w:val="24"/>
          <w:szCs w:val="24"/>
        </w:rPr>
        <w:t>8065</w:t>
      </w:r>
      <w:r>
        <w:rPr>
          <w:rFonts w:ascii="Times New Roman" w:hAnsiTheme="minorEastAsia" w:eastAsiaTheme="minorEastAsia"/>
          <w:color w:val="000000" w:themeColor="text1"/>
          <w:sz w:val="24"/>
          <w:szCs w:val="24"/>
        </w:rPr>
        <w:t>万元，建设时间</w:t>
      </w:r>
      <w:r>
        <w:rPr>
          <w:rFonts w:ascii="Times New Roman" w:hAnsi="Times New Roman" w:eastAsiaTheme="minorEastAsia"/>
          <w:color w:val="000000" w:themeColor="text1"/>
          <w:sz w:val="24"/>
          <w:szCs w:val="24"/>
        </w:rPr>
        <w:t>2021</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ascii="Times New Roman" w:hAnsi="Times New Roman" w:eastAsiaTheme="minorEastAsia"/>
          <w:color w:val="000000" w:themeColor="text1"/>
          <w:sz w:val="24"/>
          <w:szCs w:val="24"/>
        </w:rPr>
        <w:t>~2022</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hint="default" w:ascii="Times New Roman" w:hAnsi="Times New Roman" w:cs="Times New Roman"/>
          <w:color w:val="000000" w:themeColor="text1"/>
          <w:sz w:val="24"/>
          <w:szCs w:val="24"/>
        </w:rPr>
        <w:t>。</w:t>
      </w:r>
      <w:r>
        <w:rPr>
          <w:rFonts w:hint="default" w:ascii="Times New Roman" w:hAnsi="Times New Roman" w:cs="Times New Roman"/>
          <w:snapToGrid w:val="0"/>
          <w:color w:val="000000" w:themeColor="text1"/>
          <w:sz w:val="24"/>
          <w:szCs w:val="24"/>
        </w:rPr>
        <w:t>根据国家相关法律法规的规定，</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snapToGrid w:val="0"/>
          <w:color w:val="000000" w:themeColor="text1"/>
          <w:sz w:val="24"/>
          <w:szCs w:val="24"/>
        </w:rPr>
        <w:t>委托环评编制单位昆明煤炭设计研究院于2</w:t>
      </w:r>
      <w:r>
        <w:rPr>
          <w:rFonts w:hint="eastAsia" w:ascii="Times New Roman" w:hAnsi="Times New Roman" w:cs="Times New Roman"/>
          <w:snapToGrid w:val="0"/>
          <w:color w:val="000000" w:themeColor="text1"/>
          <w:sz w:val="24"/>
          <w:szCs w:val="24"/>
          <w:lang w:val="en-US" w:eastAsia="zh-CN"/>
        </w:rPr>
        <w:t>019</w:t>
      </w:r>
      <w:r>
        <w:rPr>
          <w:rFonts w:hint="default" w:ascii="Times New Roman" w:hAnsi="Times New Roman" w:cs="Times New Roman"/>
          <w:snapToGrid w:val="0"/>
          <w:color w:val="000000" w:themeColor="text1"/>
          <w:sz w:val="24"/>
          <w:szCs w:val="24"/>
        </w:rPr>
        <w:t>年</w:t>
      </w:r>
      <w:r>
        <w:rPr>
          <w:rFonts w:hint="eastAsia" w:ascii="Times New Roman" w:hAnsi="Times New Roman" w:cs="Times New Roman"/>
          <w:snapToGrid w:val="0"/>
          <w:color w:val="000000" w:themeColor="text1"/>
          <w:sz w:val="24"/>
          <w:szCs w:val="24"/>
          <w:lang w:val="en-US" w:eastAsia="zh-CN"/>
        </w:rPr>
        <w:t>7</w:t>
      </w:r>
      <w:r>
        <w:rPr>
          <w:rFonts w:hint="default" w:ascii="Times New Roman" w:hAnsi="Times New Roman" w:cs="Times New Roman"/>
          <w:snapToGrid w:val="0"/>
          <w:color w:val="000000" w:themeColor="text1"/>
          <w:sz w:val="24"/>
          <w:szCs w:val="24"/>
        </w:rPr>
        <w:t>月编制了《腾冲市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一</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二</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建设项目（三期）环境影响报告表》，并于201</w:t>
      </w:r>
      <w:r>
        <w:rPr>
          <w:rFonts w:hint="eastAsia" w:ascii="Times New Roman" w:hAnsi="Times New Roman" w:cs="Times New Roman"/>
          <w:snapToGrid w:val="0"/>
          <w:color w:val="000000" w:themeColor="text1"/>
          <w:sz w:val="24"/>
          <w:szCs w:val="24"/>
          <w:lang w:val="en-US" w:eastAsia="zh-CN"/>
        </w:rPr>
        <w:t>9</w:t>
      </w:r>
      <w:r>
        <w:rPr>
          <w:rFonts w:hint="default" w:ascii="Times New Roman" w:hAnsi="Times New Roman" w:cs="Times New Roman"/>
          <w:snapToGrid w:val="0"/>
          <w:color w:val="000000" w:themeColor="text1"/>
          <w:sz w:val="24"/>
          <w:szCs w:val="24"/>
        </w:rPr>
        <w:t>年</w:t>
      </w:r>
      <w:r>
        <w:rPr>
          <w:rFonts w:hint="eastAsia" w:ascii="Times New Roman" w:hAnsi="Times New Roman" w:cs="Times New Roman"/>
          <w:snapToGrid w:val="0"/>
          <w:color w:val="000000" w:themeColor="text1"/>
          <w:sz w:val="24"/>
          <w:szCs w:val="24"/>
          <w:lang w:val="en-US" w:eastAsia="zh-CN"/>
        </w:rPr>
        <w:t>8</w:t>
      </w:r>
      <w:r>
        <w:rPr>
          <w:rFonts w:hint="default" w:ascii="Times New Roman" w:hAnsi="Times New Roman" w:cs="Times New Roman"/>
          <w:snapToGrid w:val="0"/>
          <w:color w:val="000000" w:themeColor="text1"/>
          <w:sz w:val="24"/>
          <w:szCs w:val="24"/>
        </w:rPr>
        <w:t>月</w:t>
      </w:r>
      <w:r>
        <w:rPr>
          <w:rFonts w:hint="eastAsia" w:ascii="Times New Roman" w:hAnsi="Times New Roman" w:cs="Times New Roman"/>
          <w:snapToGrid w:val="0"/>
          <w:color w:val="000000" w:themeColor="text1"/>
          <w:sz w:val="24"/>
          <w:szCs w:val="24"/>
          <w:lang w:val="en-US" w:eastAsia="zh-CN"/>
        </w:rPr>
        <w:t>8</w:t>
      </w:r>
      <w:r>
        <w:rPr>
          <w:rFonts w:hint="default" w:ascii="Times New Roman" w:hAnsi="Times New Roman" w:cs="Times New Roman"/>
          <w:snapToGrid w:val="0"/>
          <w:color w:val="000000" w:themeColor="text1"/>
          <w:sz w:val="24"/>
          <w:szCs w:val="24"/>
        </w:rPr>
        <w:t>日取得腾冲市环境保护局对《腾冲市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一</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二</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建设项目（三期）环境影响报告表》的行政许可决定书（腾环准〔201</w:t>
      </w:r>
      <w:r>
        <w:rPr>
          <w:rFonts w:hint="eastAsia" w:ascii="Times New Roman" w:hAnsi="Times New Roman" w:cs="Times New Roman"/>
          <w:snapToGrid w:val="0"/>
          <w:color w:val="000000" w:themeColor="text1"/>
          <w:sz w:val="24"/>
          <w:szCs w:val="24"/>
          <w:lang w:val="en-US" w:eastAsia="zh-CN"/>
        </w:rPr>
        <w:t>9</w:t>
      </w:r>
      <w:r>
        <w:rPr>
          <w:rFonts w:hint="default" w:ascii="Times New Roman" w:hAnsi="Times New Roman" w:cs="Times New Roman"/>
          <w:snapToGrid w:val="0"/>
          <w:color w:val="000000" w:themeColor="text1"/>
          <w:sz w:val="24"/>
          <w:szCs w:val="24"/>
        </w:rPr>
        <w:t>〕</w:t>
      </w:r>
      <w:r>
        <w:rPr>
          <w:rFonts w:hint="eastAsia" w:ascii="Times New Roman" w:hAnsi="Times New Roman" w:cs="Times New Roman"/>
          <w:snapToGrid w:val="0"/>
          <w:color w:val="000000" w:themeColor="text1"/>
          <w:sz w:val="24"/>
          <w:szCs w:val="24"/>
          <w:lang w:val="en-US" w:eastAsia="zh-CN"/>
        </w:rPr>
        <w:t>21</w:t>
      </w:r>
      <w:r>
        <w:rPr>
          <w:rFonts w:hint="default" w:ascii="Times New Roman" w:hAnsi="Times New Roman" w:cs="Times New Roman"/>
          <w:snapToGrid w:val="0"/>
          <w:color w:val="000000" w:themeColor="text1"/>
          <w:sz w:val="24"/>
          <w:szCs w:val="24"/>
        </w:rPr>
        <w:t>~</w:t>
      </w:r>
      <w:r>
        <w:rPr>
          <w:rFonts w:hint="eastAsia" w:ascii="Times New Roman" w:hAnsi="Times New Roman" w:cs="Times New Roman"/>
          <w:snapToGrid w:val="0"/>
          <w:color w:val="000000" w:themeColor="text1"/>
          <w:sz w:val="24"/>
          <w:szCs w:val="24"/>
          <w:lang w:val="en-US" w:eastAsia="zh-CN"/>
        </w:rPr>
        <w:t>23</w:t>
      </w:r>
      <w:r>
        <w:rPr>
          <w:rFonts w:hint="default" w:ascii="Times New Roman" w:hAnsi="Times New Roman" w:cs="Times New Roman"/>
          <w:snapToGrid w:val="0"/>
          <w:color w:val="000000" w:themeColor="text1"/>
          <w:sz w:val="24"/>
          <w:szCs w:val="24"/>
        </w:rPr>
        <w:t>号）。</w:t>
      </w:r>
    </w:p>
    <w:p w14:paraId="31715EC3">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本次验收</w:t>
      </w:r>
      <w:r>
        <w:rPr>
          <w:rFonts w:hint="default" w:ascii="Times New Roman" w:hAnsi="Times New Roman" w:cs="Times New Roman"/>
          <w:color w:val="000000" w:themeColor="text1"/>
          <w:sz w:val="24"/>
          <w:szCs w:val="24"/>
          <w:lang w:val="en-US" w:eastAsia="zh-CN"/>
        </w:rPr>
        <w:t>以</w:t>
      </w:r>
      <w:r>
        <w:rPr>
          <w:rFonts w:hint="default" w:ascii="Times New Roman" w:hAnsi="Times New Roman" w:cs="Times New Roman"/>
          <w:color w:val="000000" w:themeColor="text1"/>
          <w:sz w:val="24"/>
          <w:szCs w:val="24"/>
        </w:rPr>
        <w:t>《腾冲市</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顺颐府</w:t>
      </w:r>
      <w:r>
        <w:rPr>
          <w:rFonts w:hint="default"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住宅</w:t>
      </w:r>
      <w:r>
        <w:rPr>
          <w:rFonts w:hint="default" w:ascii="Times New Roman" w:hAnsi="Times New Roman" w:cs="Times New Roman"/>
          <w:color w:val="000000" w:themeColor="text1"/>
          <w:sz w:val="24"/>
          <w:szCs w:val="24"/>
        </w:rPr>
        <w:t>建设项目</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一期</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环境影响报告表》中的建设内容及</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关于《腾冲市</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顺颐府</w:t>
      </w:r>
      <w:r>
        <w:rPr>
          <w:rFonts w:hint="default"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住宅</w:t>
      </w:r>
      <w:r>
        <w:rPr>
          <w:rFonts w:hint="default" w:ascii="Times New Roman" w:hAnsi="Times New Roman" w:cs="Times New Roman"/>
          <w:color w:val="000000" w:themeColor="text1"/>
          <w:sz w:val="24"/>
          <w:szCs w:val="24"/>
        </w:rPr>
        <w:t>建设项目</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一期</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环境影响报告表》的行政许可决定书（腾环准</w:t>
      </w:r>
      <w:r>
        <w:rPr>
          <w:rFonts w:hint="default" w:ascii="Times New Roman" w:hAnsi="Times New Roman" w:cs="Times New Roman"/>
          <w:snapToGrid w:val="0"/>
          <w:color w:val="000000" w:themeColor="text1"/>
          <w:sz w:val="24"/>
          <w:szCs w:val="24"/>
        </w:rPr>
        <w:t>〔201</w:t>
      </w:r>
      <w:r>
        <w:rPr>
          <w:rFonts w:hint="eastAsia" w:ascii="Times New Roman" w:hAnsi="Times New Roman" w:cs="Times New Roman"/>
          <w:snapToGrid w:val="0"/>
          <w:color w:val="000000" w:themeColor="text1"/>
          <w:sz w:val="24"/>
          <w:szCs w:val="24"/>
          <w:lang w:val="en-US" w:eastAsia="zh-CN"/>
        </w:rPr>
        <w:t>9</w:t>
      </w:r>
      <w:r>
        <w:rPr>
          <w:rFonts w:hint="default" w:ascii="Times New Roman" w:hAnsi="Times New Roman" w:cs="Times New Roman"/>
          <w:snapToGrid w:val="0"/>
          <w:color w:val="000000" w:themeColor="text1"/>
          <w:sz w:val="24"/>
          <w:szCs w:val="24"/>
        </w:rPr>
        <w:t>〕</w:t>
      </w:r>
      <w:r>
        <w:rPr>
          <w:rFonts w:hint="eastAsia" w:ascii="Times New Roman" w:hAnsi="Times New Roman" w:cs="Times New Roman"/>
          <w:snapToGrid w:val="0"/>
          <w:color w:val="000000" w:themeColor="text1"/>
          <w:sz w:val="24"/>
          <w:szCs w:val="24"/>
          <w:lang w:val="en-US" w:eastAsia="zh-CN"/>
        </w:rPr>
        <w:t>21</w:t>
      </w:r>
      <w:r>
        <w:rPr>
          <w:rFonts w:hint="default" w:ascii="Times New Roman" w:hAnsi="Times New Roman" w:cs="Times New Roman"/>
          <w:color w:val="000000" w:themeColor="text1"/>
          <w:sz w:val="24"/>
          <w:szCs w:val="24"/>
        </w:rPr>
        <w:t>号）中审批的内容为依据进行验收工作。根据项目情况及实际建设内容，本次验收范围及具体内容为：4幢高层住宅</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1个地下车库</w:t>
      </w:r>
      <w:r>
        <w:rPr>
          <w:rFonts w:ascii="Times New Roman" w:hAnsiTheme="minorEastAsia" w:eastAsiaTheme="minorEastAsia"/>
          <w:color w:val="000000" w:themeColor="text1"/>
          <w:sz w:val="24"/>
        </w:rPr>
        <w:t>及相应配套设施建设</w:t>
      </w:r>
      <w:r>
        <w:rPr>
          <w:rFonts w:hint="default" w:ascii="Times New Roman" w:hAnsi="Times New Roman" w:cs="Times New Roman"/>
          <w:bCs/>
          <w:color w:val="000000" w:themeColor="text1"/>
          <w:sz w:val="24"/>
          <w:szCs w:val="24"/>
        </w:rPr>
        <w:t>，</w:t>
      </w:r>
      <w:r>
        <w:rPr>
          <w:rFonts w:hint="eastAsia" w:ascii="Times New Roman" w:hAnsi="Times New Roman" w:cs="Times New Roman"/>
          <w:bCs/>
          <w:color w:val="000000" w:themeColor="text1"/>
          <w:sz w:val="24"/>
          <w:szCs w:val="24"/>
          <w:lang w:val="en-US" w:eastAsia="zh-CN"/>
        </w:rPr>
        <w:t>占地面积为</w:t>
      </w:r>
      <w:r>
        <w:rPr>
          <w:rFonts w:hint="default" w:ascii="Times New Roman" w:hAnsi="Times New Roman" w:cs="Times New Roman"/>
          <w:color w:val="000000" w:themeColor="text1"/>
          <w:sz w:val="24"/>
          <w:szCs w:val="24"/>
        </w:rPr>
        <w:t>13897.75m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color w:val="000000" w:themeColor="text1"/>
          <w:sz w:val="24"/>
          <w:szCs w:val="24"/>
        </w:rPr>
        <w:t>（约20.85亩）</w:t>
      </w:r>
      <w:r>
        <w:rPr>
          <w:rFonts w:hint="default" w:ascii="Times New Roman" w:hAnsi="Times New Roman" w:cs="Times New Roman"/>
          <w:bCs/>
          <w:color w:val="000000" w:themeColor="text1"/>
          <w:sz w:val="24"/>
          <w:szCs w:val="24"/>
        </w:rPr>
        <w:t>，</w:t>
      </w:r>
      <w:r>
        <w:rPr>
          <w:rFonts w:hint="default" w:ascii="Times New Roman" w:hAnsi="Times New Roman" w:cs="Times New Roman"/>
          <w:color w:val="000000" w:themeColor="text1"/>
          <w:sz w:val="24"/>
          <w:szCs w:val="24"/>
        </w:rPr>
        <w:t>总建筑面积为</w:t>
      </w:r>
      <w:r>
        <w:rPr>
          <w:rFonts w:hint="eastAsia" w:ascii="Times New Roman" w:hAnsi="Times New Roman" w:cs="Times New Roman"/>
          <w:color w:val="000000" w:themeColor="text1"/>
          <w:sz w:val="24"/>
          <w:lang w:val="en-US" w:eastAsia="zh-CN"/>
        </w:rPr>
        <w:t>35012.72</w:t>
      </w:r>
      <w:r>
        <w:rPr>
          <w:rFonts w:hint="default" w:ascii="Times New Roman" w:hAnsi="Times New Roman" w:cs="Times New Roman"/>
          <w:color w:val="000000" w:themeColor="text1"/>
          <w:sz w:val="24"/>
          <w:szCs w:val="24"/>
        </w:rPr>
        <w:t>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bCs/>
          <w:color w:val="000000" w:themeColor="text1"/>
          <w:sz w:val="24"/>
          <w:szCs w:val="24"/>
        </w:rPr>
        <w:t>，</w:t>
      </w:r>
      <w:r>
        <w:rPr>
          <w:rFonts w:hint="default" w:ascii="Times New Roman" w:hAnsi="Times New Roman" w:cs="Times New Roman"/>
          <w:color w:val="000000" w:themeColor="text1"/>
          <w:sz w:val="24"/>
          <w:szCs w:val="24"/>
          <w:highlight w:val="none"/>
        </w:rPr>
        <w:t>实际总投资</w:t>
      </w:r>
      <w:r>
        <w:rPr>
          <w:rFonts w:hint="eastAsia" w:ascii="Times New Roman" w:hAnsi="Times New Roman" w:cs="Times New Roman"/>
          <w:color w:val="000000" w:themeColor="text1"/>
          <w:sz w:val="24"/>
          <w:szCs w:val="24"/>
          <w:highlight w:val="none"/>
          <w:lang w:val="en-US" w:eastAsia="zh-CN"/>
        </w:rPr>
        <w:t>8200万</w:t>
      </w:r>
      <w:r>
        <w:rPr>
          <w:rFonts w:hint="default" w:ascii="Times New Roman" w:hAnsi="Times New Roman" w:cs="Times New Roman"/>
          <w:color w:val="000000" w:themeColor="text1"/>
          <w:sz w:val="24"/>
          <w:szCs w:val="24"/>
          <w:highlight w:val="none"/>
        </w:rPr>
        <w:t>元，其中实际环保投资</w:t>
      </w:r>
      <w:r>
        <w:rPr>
          <w:rFonts w:hint="eastAsia" w:ascii="Times New Roman" w:hAnsi="Times New Roman" w:cs="Times New Roman"/>
          <w:bCs/>
          <w:color w:val="000000" w:themeColor="text1"/>
          <w:sz w:val="24"/>
          <w:highlight w:val="none"/>
          <w:lang w:val="en-US" w:eastAsia="zh-CN"/>
        </w:rPr>
        <w:t>196.11</w:t>
      </w:r>
      <w:r>
        <w:rPr>
          <w:rFonts w:hint="default" w:ascii="Times New Roman" w:hAnsi="Times New Roman" w:cs="Times New Roman"/>
          <w:color w:val="000000" w:themeColor="text1"/>
          <w:sz w:val="24"/>
          <w:szCs w:val="24"/>
          <w:highlight w:val="none"/>
        </w:rPr>
        <w:t>万元，占总投资的</w:t>
      </w:r>
      <w:r>
        <w:rPr>
          <w:rFonts w:hint="eastAsia" w:ascii="Times New Roman" w:hAnsi="Times New Roman" w:cs="Times New Roman"/>
          <w:color w:val="000000" w:themeColor="text1"/>
          <w:sz w:val="24"/>
          <w:szCs w:val="24"/>
          <w:highlight w:val="none"/>
          <w:lang w:val="en-US" w:eastAsia="zh-CN"/>
        </w:rPr>
        <w:t>2.39</w:t>
      </w:r>
      <w:r>
        <w:rPr>
          <w:rFonts w:hint="default" w:ascii="Times New Roman" w:hAnsi="Times New Roman" w:cs="Times New Roman"/>
          <w:color w:val="000000" w:themeColor="text1"/>
          <w:sz w:val="24"/>
          <w:szCs w:val="24"/>
          <w:highlight w:val="none"/>
        </w:rPr>
        <w:t>%。</w:t>
      </w:r>
    </w:p>
    <w:p w14:paraId="5CF92817">
      <w:pPr>
        <w:spacing w:line="360" w:lineRule="auto"/>
        <w:ind w:firstLine="480" w:firstLineChars="200"/>
        <w:rPr>
          <w:rFonts w:hint="default" w:ascii="Times New Roman" w:hAnsi="Times New Roman" w:cs="Times New Roman"/>
          <w:bCs/>
          <w:color w:val="000000" w:themeColor="text1"/>
          <w:sz w:val="24"/>
          <w:szCs w:val="24"/>
          <w:highlight w:val="none"/>
        </w:rPr>
      </w:pPr>
      <w:r>
        <w:rPr>
          <w:rFonts w:hint="eastAsia" w:ascii="Times New Roman" w:hAnsi="Times New Roman" w:cs="Times New Roman"/>
          <w:color w:val="000000" w:themeColor="text1"/>
          <w:sz w:val="24"/>
          <w:szCs w:val="24"/>
          <w:shd w:val="clear" w:color="auto" w:fill="FFFFFF"/>
          <w:lang w:val="en-US" w:eastAsia="zh-CN"/>
        </w:rPr>
        <w:t>我公司</w:t>
      </w:r>
      <w:r>
        <w:rPr>
          <w:rFonts w:hint="eastAsia" w:ascii="Times New Roman" w:hAnsi="Times New Roman" w:cs="Times New Roman"/>
          <w:bCs/>
          <w:color w:val="000000" w:themeColor="text1"/>
          <w:sz w:val="24"/>
          <w:szCs w:val="24"/>
          <w:highlight w:val="none"/>
          <w:lang w:val="en-US" w:eastAsia="zh-CN"/>
        </w:rPr>
        <w:t>内部规划的</w:t>
      </w:r>
      <w:r>
        <w:rPr>
          <w:rFonts w:hint="default" w:ascii="Times New Roman" w:hAnsi="Times New Roman" w:cs="Times New Roman"/>
          <w:color w:val="000000" w:themeColor="text1"/>
          <w:sz w:val="24"/>
          <w:szCs w:val="24"/>
        </w:rPr>
        <w:t>腾冲市“顺颐府”住宅建设项目</w:t>
      </w:r>
      <w:r>
        <w:rPr>
          <w:rFonts w:hint="eastAsia" w:ascii="Times New Roman" w:hAnsi="Times New Roman" w:cs="Times New Roman"/>
          <w:color w:val="000000" w:themeColor="text1"/>
          <w:sz w:val="24"/>
          <w:szCs w:val="24"/>
          <w:lang w:val="en-US" w:eastAsia="zh-CN"/>
        </w:rPr>
        <w:t>一期项目包含了环评中一期、二期、三期各一部分主体工程，因此</w:t>
      </w:r>
      <w:r>
        <w:rPr>
          <w:rFonts w:hint="eastAsia" w:ascii="Times New Roman" w:hAnsi="Times New Roman" w:cs="Times New Roman"/>
          <w:bCs/>
          <w:color w:val="000000" w:themeColor="text1"/>
          <w:sz w:val="24"/>
          <w:szCs w:val="24"/>
          <w:highlight w:val="none"/>
          <w:lang w:val="en-US" w:eastAsia="zh-CN"/>
        </w:rPr>
        <w:t>，</w:t>
      </w:r>
      <w:r>
        <w:rPr>
          <w:rFonts w:hint="default" w:ascii="Times New Roman" w:hAnsi="Times New Roman" w:cs="Times New Roman"/>
          <w:color w:val="000000" w:themeColor="text1"/>
          <w:sz w:val="24"/>
          <w:szCs w:val="24"/>
        </w:rPr>
        <w:t>腾冲市“顺颐府”住宅建设项目</w:t>
      </w:r>
      <w:r>
        <w:rPr>
          <w:rFonts w:hint="eastAsia" w:ascii="Times New Roman" w:hAnsi="Times New Roman" w:cs="Times New Roman"/>
          <w:color w:val="000000" w:themeColor="text1"/>
          <w:sz w:val="24"/>
          <w:szCs w:val="24"/>
          <w:lang w:val="en-US" w:eastAsia="zh-CN"/>
        </w:rPr>
        <w:t>一期、二期、三期同时进行建设。</w:t>
      </w:r>
      <w:r>
        <w:rPr>
          <w:rFonts w:hint="default" w:ascii="Times New Roman" w:hAnsi="Times New Roman" w:cs="Times New Roman"/>
          <w:bCs/>
          <w:color w:val="000000" w:themeColor="text1"/>
          <w:sz w:val="24"/>
          <w:szCs w:val="24"/>
          <w:highlight w:val="none"/>
        </w:rPr>
        <w:t>本项目于20</w:t>
      </w:r>
      <w:r>
        <w:rPr>
          <w:rFonts w:hint="eastAsia" w:ascii="Times New Roman" w:hAnsi="Times New Roman" w:cs="Times New Roman"/>
          <w:bCs/>
          <w:color w:val="000000" w:themeColor="text1"/>
          <w:sz w:val="24"/>
          <w:szCs w:val="24"/>
          <w:highlight w:val="none"/>
          <w:lang w:val="en-US" w:eastAsia="zh-CN"/>
        </w:rPr>
        <w:t>19</w:t>
      </w:r>
      <w:r>
        <w:rPr>
          <w:rFonts w:hint="default" w:ascii="Times New Roman" w:hAnsi="Times New Roman" w:cs="Times New Roman"/>
          <w:bCs/>
          <w:color w:val="000000" w:themeColor="text1"/>
          <w:sz w:val="24"/>
          <w:szCs w:val="24"/>
          <w:highlight w:val="none"/>
        </w:rPr>
        <w:t>年</w:t>
      </w:r>
      <w:r>
        <w:rPr>
          <w:rFonts w:hint="eastAsia" w:ascii="Times New Roman" w:hAnsi="Times New Roman" w:cs="Times New Roman"/>
          <w:bCs/>
          <w:color w:val="000000" w:themeColor="text1"/>
          <w:sz w:val="24"/>
          <w:szCs w:val="24"/>
          <w:highlight w:val="none"/>
          <w:lang w:val="en-US" w:eastAsia="zh-CN"/>
        </w:rPr>
        <w:t>8</w:t>
      </w:r>
      <w:r>
        <w:rPr>
          <w:rFonts w:hint="default" w:ascii="Times New Roman" w:hAnsi="Times New Roman" w:cs="Times New Roman"/>
          <w:bCs/>
          <w:color w:val="000000" w:themeColor="text1"/>
          <w:sz w:val="24"/>
          <w:szCs w:val="24"/>
          <w:highlight w:val="none"/>
        </w:rPr>
        <w:t>月开始建设，本项目主体工程、辅助工程于202</w:t>
      </w:r>
      <w:r>
        <w:rPr>
          <w:rFonts w:hint="eastAsia" w:ascii="Times New Roman" w:hAnsi="Times New Roman" w:cs="Times New Roman"/>
          <w:bCs/>
          <w:color w:val="000000" w:themeColor="text1"/>
          <w:sz w:val="24"/>
          <w:szCs w:val="24"/>
          <w:highlight w:val="none"/>
          <w:lang w:val="en-US" w:eastAsia="zh-CN"/>
        </w:rPr>
        <w:t>4</w:t>
      </w:r>
      <w:r>
        <w:rPr>
          <w:rFonts w:hint="default" w:ascii="Times New Roman" w:hAnsi="Times New Roman" w:cs="Times New Roman"/>
          <w:bCs/>
          <w:color w:val="000000" w:themeColor="text1"/>
          <w:sz w:val="24"/>
          <w:szCs w:val="24"/>
          <w:highlight w:val="none"/>
        </w:rPr>
        <w:t>年</w:t>
      </w:r>
      <w:r>
        <w:rPr>
          <w:rFonts w:hint="default" w:ascii="Times New Roman" w:hAnsi="Times New Roman" w:cs="Times New Roman"/>
          <w:bCs/>
          <w:color w:val="000000" w:themeColor="text1"/>
          <w:sz w:val="24"/>
          <w:szCs w:val="24"/>
          <w:highlight w:val="none"/>
          <w:lang w:val="en-US" w:eastAsia="zh-CN"/>
        </w:rPr>
        <w:t>1</w:t>
      </w:r>
      <w:r>
        <w:rPr>
          <w:rFonts w:hint="eastAsia" w:ascii="Times New Roman" w:hAnsi="Times New Roman" w:cs="Times New Roman"/>
          <w:bCs/>
          <w:color w:val="000000" w:themeColor="text1"/>
          <w:sz w:val="24"/>
          <w:szCs w:val="24"/>
          <w:highlight w:val="none"/>
          <w:lang w:val="en-US" w:eastAsia="zh-CN"/>
        </w:rPr>
        <w:t>0</w:t>
      </w:r>
      <w:r>
        <w:rPr>
          <w:rFonts w:hint="default" w:ascii="Times New Roman" w:hAnsi="Times New Roman" w:cs="Times New Roman"/>
          <w:bCs/>
          <w:color w:val="000000" w:themeColor="text1"/>
          <w:sz w:val="24"/>
          <w:szCs w:val="24"/>
          <w:highlight w:val="none"/>
        </w:rPr>
        <w:t>月2日竣工</w:t>
      </w:r>
      <w:r>
        <w:rPr>
          <w:rFonts w:hint="default" w:ascii="Times New Roman" w:hAnsi="Times New Roman" w:cs="Times New Roman"/>
          <w:bCs/>
          <w:color w:val="000000" w:themeColor="text1"/>
          <w:sz w:val="24"/>
          <w:szCs w:val="24"/>
          <w:highlight w:val="none"/>
          <w:lang w:eastAsia="zh-CN"/>
        </w:rPr>
        <w:t>，</w:t>
      </w:r>
      <w:r>
        <w:rPr>
          <w:rFonts w:hint="default" w:ascii="Times New Roman" w:hAnsi="Times New Roman" w:cs="Times New Roman"/>
          <w:bCs/>
          <w:color w:val="000000" w:themeColor="text1"/>
          <w:sz w:val="24"/>
          <w:szCs w:val="24"/>
          <w:highlight w:val="none"/>
          <w:lang w:val="en-US" w:eastAsia="zh-CN"/>
        </w:rPr>
        <w:t>后</w:t>
      </w:r>
      <w:r>
        <w:rPr>
          <w:rFonts w:hint="default" w:ascii="Times New Roman" w:hAnsi="Times New Roman" w:cs="Times New Roman"/>
          <w:bCs/>
          <w:color w:val="000000" w:themeColor="text1"/>
          <w:sz w:val="24"/>
          <w:szCs w:val="24"/>
          <w:highlight w:val="none"/>
          <w:lang w:eastAsia="zh-CN"/>
        </w:rPr>
        <w:t>于202</w:t>
      </w:r>
      <w:r>
        <w:rPr>
          <w:rFonts w:hint="default" w:ascii="Times New Roman" w:hAnsi="Times New Roman" w:cs="Times New Roman"/>
          <w:bCs/>
          <w:color w:val="000000" w:themeColor="text1"/>
          <w:sz w:val="24"/>
          <w:szCs w:val="24"/>
          <w:highlight w:val="none"/>
          <w:lang w:val="en-US" w:eastAsia="zh-CN"/>
        </w:rPr>
        <w:t>4</w:t>
      </w:r>
      <w:r>
        <w:rPr>
          <w:rFonts w:hint="default" w:ascii="Times New Roman" w:hAnsi="Times New Roman" w:cs="Times New Roman"/>
          <w:bCs/>
          <w:color w:val="000000" w:themeColor="text1"/>
          <w:sz w:val="24"/>
          <w:szCs w:val="24"/>
          <w:highlight w:val="none"/>
          <w:lang w:eastAsia="zh-CN"/>
        </w:rPr>
        <w:t>年</w:t>
      </w:r>
      <w:r>
        <w:rPr>
          <w:rFonts w:hint="eastAsia" w:ascii="Times New Roman" w:hAnsi="Times New Roman" w:cs="Times New Roman"/>
          <w:bCs/>
          <w:color w:val="000000" w:themeColor="text1"/>
          <w:sz w:val="24"/>
          <w:szCs w:val="24"/>
          <w:highlight w:val="none"/>
          <w:lang w:val="en-US" w:eastAsia="zh-CN"/>
        </w:rPr>
        <w:t>10</w:t>
      </w:r>
      <w:r>
        <w:rPr>
          <w:rFonts w:hint="default" w:ascii="Times New Roman" w:hAnsi="Times New Roman" w:cs="Times New Roman"/>
          <w:bCs/>
          <w:color w:val="000000" w:themeColor="text1"/>
          <w:sz w:val="24"/>
          <w:szCs w:val="24"/>
          <w:highlight w:val="none"/>
          <w:lang w:eastAsia="zh-CN"/>
        </w:rPr>
        <w:t>月</w:t>
      </w:r>
      <w:r>
        <w:rPr>
          <w:rFonts w:hint="eastAsia" w:ascii="Times New Roman" w:hAnsi="Times New Roman" w:cs="Times New Roman"/>
          <w:bCs/>
          <w:color w:val="000000" w:themeColor="text1"/>
          <w:sz w:val="24"/>
          <w:szCs w:val="24"/>
          <w:highlight w:val="none"/>
          <w:lang w:val="en-US" w:eastAsia="zh-CN"/>
        </w:rPr>
        <w:t>20</w:t>
      </w:r>
      <w:r>
        <w:rPr>
          <w:rFonts w:hint="default" w:ascii="Times New Roman" w:hAnsi="Times New Roman" w:cs="Times New Roman"/>
          <w:bCs/>
          <w:color w:val="000000" w:themeColor="text1"/>
          <w:sz w:val="24"/>
          <w:szCs w:val="24"/>
          <w:highlight w:val="none"/>
          <w:lang w:val="en-US" w:eastAsia="zh-CN"/>
        </w:rPr>
        <w:t>日</w:t>
      </w:r>
      <w:r>
        <w:rPr>
          <w:rFonts w:hint="default" w:ascii="Times New Roman" w:hAnsi="Times New Roman" w:cs="Times New Roman"/>
          <w:bCs/>
          <w:color w:val="000000" w:themeColor="text1"/>
          <w:sz w:val="24"/>
          <w:szCs w:val="24"/>
          <w:highlight w:val="none"/>
          <w:lang w:eastAsia="zh-CN"/>
        </w:rPr>
        <w:t>对设备及环境保护设施进行调试</w:t>
      </w:r>
      <w:r>
        <w:rPr>
          <w:rFonts w:hint="default" w:ascii="Times New Roman" w:hAnsi="Times New Roman" w:cs="Times New Roman"/>
          <w:bCs/>
          <w:color w:val="000000" w:themeColor="text1"/>
          <w:sz w:val="24"/>
          <w:szCs w:val="24"/>
          <w:highlight w:val="none"/>
          <w:lang w:val="en-US" w:eastAsia="zh-CN"/>
        </w:rPr>
        <w:t>，至2024年</w:t>
      </w:r>
      <w:r>
        <w:rPr>
          <w:rFonts w:hint="eastAsia" w:ascii="Times New Roman" w:hAnsi="Times New Roman" w:cs="Times New Roman"/>
          <w:bCs/>
          <w:color w:val="000000" w:themeColor="text1"/>
          <w:sz w:val="24"/>
          <w:szCs w:val="24"/>
          <w:highlight w:val="none"/>
          <w:lang w:val="en-US" w:eastAsia="zh-CN"/>
        </w:rPr>
        <w:t>11</w:t>
      </w:r>
      <w:r>
        <w:rPr>
          <w:rFonts w:hint="default" w:ascii="Times New Roman" w:hAnsi="Times New Roman" w:cs="Times New Roman"/>
          <w:bCs/>
          <w:color w:val="000000" w:themeColor="text1"/>
          <w:sz w:val="24"/>
          <w:szCs w:val="24"/>
          <w:highlight w:val="none"/>
          <w:lang w:val="en-US" w:eastAsia="zh-CN"/>
        </w:rPr>
        <w:t>月</w:t>
      </w:r>
      <w:r>
        <w:rPr>
          <w:rFonts w:hint="eastAsia" w:ascii="Times New Roman" w:hAnsi="Times New Roman" w:cs="Times New Roman"/>
          <w:bCs/>
          <w:color w:val="000000" w:themeColor="text1"/>
          <w:sz w:val="24"/>
          <w:szCs w:val="24"/>
          <w:highlight w:val="none"/>
          <w:lang w:val="en-US" w:eastAsia="zh-CN"/>
        </w:rPr>
        <w:t>1</w:t>
      </w:r>
      <w:r>
        <w:rPr>
          <w:rFonts w:hint="default" w:ascii="Times New Roman" w:hAnsi="Times New Roman" w:cs="Times New Roman"/>
          <w:bCs/>
          <w:color w:val="000000" w:themeColor="text1"/>
          <w:sz w:val="24"/>
          <w:szCs w:val="24"/>
          <w:highlight w:val="none"/>
          <w:lang w:val="en-US" w:eastAsia="zh-CN"/>
        </w:rPr>
        <w:t>日</w:t>
      </w:r>
      <w:r>
        <w:rPr>
          <w:rFonts w:hint="default" w:ascii="Times New Roman" w:hAnsi="Times New Roman" w:cs="Times New Roman"/>
          <w:bCs/>
          <w:color w:val="000000" w:themeColor="text1"/>
          <w:sz w:val="24"/>
          <w:szCs w:val="24"/>
          <w:highlight w:val="none"/>
          <w:lang w:eastAsia="zh-CN"/>
        </w:rPr>
        <w:t>设备及环境保护设施</w:t>
      </w:r>
      <w:r>
        <w:rPr>
          <w:rFonts w:hint="default" w:ascii="Times New Roman" w:hAnsi="Times New Roman" w:cs="Times New Roman"/>
          <w:bCs/>
          <w:color w:val="000000" w:themeColor="text1"/>
          <w:sz w:val="24"/>
          <w:szCs w:val="24"/>
          <w:highlight w:val="none"/>
          <w:lang w:val="en-US" w:eastAsia="zh-CN"/>
        </w:rPr>
        <w:t>调试完成。经调试项目主体工程运行工况稳定，各项环保设施运转正常，</w:t>
      </w:r>
      <w:r>
        <w:rPr>
          <w:rFonts w:hint="eastAsia" w:ascii="Times New Roman" w:hAnsi="Times New Roman" w:cs="Times New Roman"/>
          <w:bCs/>
          <w:color w:val="000000" w:themeColor="text1"/>
          <w:sz w:val="24"/>
          <w:szCs w:val="24"/>
          <w:highlight w:val="none"/>
          <w:lang w:val="en-US" w:eastAsia="zh-CN"/>
        </w:rPr>
        <w:t>我公司</w:t>
      </w:r>
      <w:r>
        <w:rPr>
          <w:rFonts w:hint="default" w:ascii="Times New Roman" w:hAnsi="Times New Roman" w:cs="Times New Roman"/>
          <w:bCs/>
          <w:color w:val="000000" w:themeColor="text1"/>
          <w:sz w:val="24"/>
          <w:szCs w:val="24"/>
          <w:highlight w:val="none"/>
          <w:lang w:val="en-US" w:eastAsia="zh-CN"/>
        </w:rPr>
        <w:t>组织开展竣工环境保护验收工作，拟完成竣工验收后正式投入运行。</w:t>
      </w:r>
    </w:p>
    <w:p w14:paraId="0CAA2B57">
      <w:pPr>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eastAsia="宋体" w:cs="Times New Roman"/>
          <w:color w:val="000000" w:themeColor="text1"/>
          <w:sz w:val="24"/>
        </w:rPr>
        <w:t>根据中华人民共和国国务院令第682号《国务院关于修改〈建设项目环境保护管理条例〉的决定》及原环境保护部文件（国环规环评</w:t>
      </w:r>
      <w:r>
        <w:rPr>
          <w:rFonts w:hint="default" w:ascii="Times New Roman" w:hAnsi="Times New Roman" w:eastAsia="宋体" w:cs="Times New Roman"/>
          <w:bCs/>
          <w:color w:val="000000" w:themeColor="text1"/>
          <w:sz w:val="24"/>
        </w:rPr>
        <w:t>〔2017〕</w:t>
      </w:r>
      <w:r>
        <w:rPr>
          <w:rFonts w:hint="default" w:ascii="Times New Roman" w:hAnsi="Times New Roman" w:eastAsia="宋体" w:cs="Times New Roman"/>
          <w:color w:val="000000" w:themeColor="text1"/>
          <w:sz w:val="24"/>
        </w:rPr>
        <w:t>4号）发布的《建设项目竣工环境保护验收暂行办法》中第十一条中相关要求，</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eastAsia="宋体" w:cs="Times New Roman"/>
          <w:color w:val="000000" w:themeColor="text1"/>
          <w:sz w:val="24"/>
        </w:rPr>
        <w:t>于</w:t>
      </w:r>
      <w:r>
        <w:rPr>
          <w:rFonts w:hint="default" w:ascii="Times New Roman" w:hAnsi="Times New Roman" w:eastAsia="宋体" w:cs="Times New Roman"/>
          <w:color w:val="000000" w:themeColor="text1"/>
          <w:sz w:val="24"/>
          <w:highlight w:val="none"/>
        </w:rPr>
        <w:t>202</w:t>
      </w:r>
      <w:r>
        <w:rPr>
          <w:rFonts w:hint="default" w:ascii="Times New Roman" w:hAnsi="Times New Roman" w:eastAsia="宋体" w:cs="Times New Roman"/>
          <w:color w:val="000000" w:themeColor="text1"/>
          <w:sz w:val="24"/>
          <w:highlight w:val="none"/>
          <w:lang w:val="en-US" w:eastAsia="zh-CN"/>
        </w:rPr>
        <w:t>4</w:t>
      </w:r>
      <w:r>
        <w:rPr>
          <w:rFonts w:hint="default" w:ascii="Times New Roman" w:hAnsi="Times New Roman" w:eastAsia="宋体" w:cs="Times New Roman"/>
          <w:color w:val="000000" w:themeColor="text1"/>
          <w:sz w:val="24"/>
          <w:highlight w:val="none"/>
        </w:rPr>
        <w:t>年</w:t>
      </w:r>
      <w:r>
        <w:rPr>
          <w:rFonts w:hint="eastAsia" w:ascii="Times New Roman" w:hAnsi="Times New Roman" w:cs="Times New Roman"/>
          <w:color w:val="000000" w:themeColor="text1"/>
          <w:sz w:val="24"/>
          <w:highlight w:val="none"/>
          <w:lang w:val="en-US" w:eastAsia="zh-CN"/>
        </w:rPr>
        <w:t>10</w:t>
      </w:r>
      <w:r>
        <w:rPr>
          <w:rFonts w:hint="default" w:ascii="Times New Roman" w:hAnsi="Times New Roman" w:eastAsia="宋体" w:cs="Times New Roman"/>
          <w:color w:val="000000" w:themeColor="text1"/>
          <w:sz w:val="24"/>
          <w:highlight w:val="none"/>
        </w:rPr>
        <w:t>月</w:t>
      </w:r>
      <w:r>
        <w:rPr>
          <w:rFonts w:hint="default" w:ascii="Times New Roman" w:hAnsi="Times New Roman" w:eastAsia="宋体" w:cs="Times New Roman"/>
          <w:color w:val="000000" w:themeColor="text1"/>
          <w:sz w:val="24"/>
          <w:highlight w:val="none"/>
          <w:lang w:val="en-US" w:eastAsia="zh-CN"/>
        </w:rPr>
        <w:t>2</w:t>
      </w:r>
      <w:r>
        <w:rPr>
          <w:rFonts w:hint="default" w:ascii="Times New Roman" w:hAnsi="Times New Roman" w:eastAsia="宋体" w:cs="Times New Roman"/>
          <w:color w:val="000000" w:themeColor="text1"/>
          <w:sz w:val="24"/>
          <w:highlight w:val="none"/>
        </w:rPr>
        <w:t>日进行了本项目配套建设的环境保护设施竣工日期对社会进行公开公示；于202</w:t>
      </w:r>
      <w:r>
        <w:rPr>
          <w:rFonts w:hint="default" w:ascii="Times New Roman" w:hAnsi="Times New Roman" w:eastAsia="宋体" w:cs="Times New Roman"/>
          <w:color w:val="000000" w:themeColor="text1"/>
          <w:sz w:val="24"/>
          <w:highlight w:val="none"/>
          <w:lang w:val="en-US" w:eastAsia="zh-CN"/>
        </w:rPr>
        <w:t>4</w:t>
      </w:r>
      <w:r>
        <w:rPr>
          <w:rFonts w:hint="default" w:ascii="Times New Roman" w:hAnsi="Times New Roman" w:eastAsia="宋体" w:cs="Times New Roman"/>
          <w:color w:val="000000" w:themeColor="text1"/>
          <w:sz w:val="24"/>
          <w:highlight w:val="none"/>
        </w:rPr>
        <w:t>年</w:t>
      </w:r>
      <w:r>
        <w:rPr>
          <w:rFonts w:hint="eastAsia" w:ascii="Times New Roman" w:hAnsi="Times New Roman" w:cs="Times New Roman"/>
          <w:color w:val="000000" w:themeColor="text1"/>
          <w:sz w:val="24"/>
          <w:highlight w:val="none"/>
          <w:lang w:val="en-US" w:eastAsia="zh-CN"/>
        </w:rPr>
        <w:t>10</w:t>
      </w:r>
      <w:r>
        <w:rPr>
          <w:rFonts w:hint="default" w:ascii="Times New Roman" w:hAnsi="Times New Roman" w:eastAsia="宋体" w:cs="Times New Roman"/>
          <w:color w:val="000000" w:themeColor="text1"/>
          <w:sz w:val="24"/>
          <w:highlight w:val="none"/>
        </w:rPr>
        <w:t>月</w:t>
      </w:r>
      <w:r>
        <w:rPr>
          <w:rFonts w:hint="eastAsia" w:ascii="Times New Roman" w:hAnsi="Times New Roman" w:cs="Times New Roman"/>
          <w:color w:val="000000" w:themeColor="text1"/>
          <w:sz w:val="24"/>
          <w:highlight w:val="none"/>
          <w:lang w:val="en-US" w:eastAsia="zh-CN"/>
        </w:rPr>
        <w:t>20</w:t>
      </w:r>
      <w:r>
        <w:rPr>
          <w:rFonts w:hint="default" w:ascii="Times New Roman" w:hAnsi="Times New Roman" w:eastAsia="宋体" w:cs="Times New Roman"/>
          <w:color w:val="000000" w:themeColor="text1"/>
          <w:sz w:val="24"/>
          <w:highlight w:val="none"/>
        </w:rPr>
        <w:t>日</w:t>
      </w:r>
      <w:r>
        <w:rPr>
          <w:rFonts w:hint="default" w:ascii="Times New Roman" w:hAnsi="Times New Roman" w:eastAsia="宋体" w:cs="Times New Roman"/>
          <w:color w:val="000000" w:themeColor="text1"/>
          <w:sz w:val="24"/>
        </w:rPr>
        <w:t>对本项目配套建设的环境保护设施调试日期进行公示</w:t>
      </w:r>
      <w:r>
        <w:rPr>
          <w:rFonts w:hint="default" w:ascii="Times New Roman" w:hAnsi="Times New Roman" w:eastAsia="宋体" w:cs="Times New Roman"/>
          <w:color w:val="000000" w:themeColor="text1"/>
          <w:sz w:val="24"/>
          <w:lang w:eastAsia="zh-CN"/>
        </w:rPr>
        <w:t>。</w:t>
      </w:r>
    </w:p>
    <w:p w14:paraId="5E75D5BE">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根据《建设项目环境保护管理条例》和环保的相关规定，项目</w:t>
      </w:r>
      <w:r>
        <w:rPr>
          <w:rFonts w:hint="eastAsia" w:ascii="Times New Roman" w:hAnsi="Times New Roman" w:cs="Times New Roman"/>
          <w:color w:val="000000" w:themeColor="text1"/>
          <w:sz w:val="24"/>
          <w:szCs w:val="24"/>
          <w:lang w:val="en-US" w:eastAsia="zh-CN"/>
        </w:rPr>
        <w:t>建设完成后</w:t>
      </w:r>
      <w:r>
        <w:rPr>
          <w:rFonts w:hint="default" w:ascii="Times New Roman" w:hAnsi="Times New Roman" w:cs="Times New Roman"/>
          <w:color w:val="000000" w:themeColor="text1"/>
          <w:sz w:val="24"/>
          <w:szCs w:val="24"/>
        </w:rPr>
        <w:t>需完善竣工环境保护验收手续，</w:t>
      </w:r>
      <w:r>
        <w:rPr>
          <w:rFonts w:hint="eastAsia" w:ascii="Times New Roman" w:hAnsi="Times New Roman" w:cs="Times New Roman"/>
          <w:color w:val="000000" w:themeColor="text1"/>
          <w:sz w:val="24"/>
          <w:szCs w:val="24"/>
          <w:highlight w:val="none"/>
          <w:lang w:val="en-US" w:eastAsia="zh-CN"/>
        </w:rPr>
        <w:t>我公司委</w:t>
      </w:r>
      <w:r>
        <w:rPr>
          <w:rFonts w:hint="eastAsia" w:ascii="Times New Roman" w:hAnsi="Times New Roman" w:cs="Times New Roman"/>
          <w:color w:val="000000" w:themeColor="text1"/>
          <w:sz w:val="24"/>
          <w:szCs w:val="24"/>
          <w:lang w:val="en-US" w:eastAsia="zh-CN"/>
        </w:rPr>
        <w:t>托云南速测环境科技有限公司</w:t>
      </w:r>
      <w:r>
        <w:rPr>
          <w:rFonts w:hint="default" w:ascii="Times New Roman" w:hAnsi="Times New Roman" w:cs="Times New Roman"/>
          <w:color w:val="000000" w:themeColor="text1"/>
          <w:sz w:val="24"/>
          <w:szCs w:val="24"/>
        </w:rPr>
        <w:t>承担该项目竣工环境保护验收监测工作。调查及监测期间，项目主体工程运行工况稳定、环境保护措施运行正常，拟完成竣工验收后正式投入运营。</w:t>
      </w:r>
    </w:p>
    <w:p w14:paraId="1DB9A26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default"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rPr>
        <w:t>工程技术人员对现场进行踏勘、检查。</w:t>
      </w:r>
      <w:r>
        <w:rPr>
          <w:rFonts w:hint="default" w:ascii="Times New Roman" w:hAnsi="Times New Roman" w:cs="Times New Roman"/>
          <w:color w:val="000000" w:themeColor="text1"/>
          <w:sz w:val="24"/>
          <w:szCs w:val="24"/>
        </w:rPr>
        <w:t>根据中华人民共和国国务院令第253号《建设项目环境保护管理条例》、中华人民共和国国务院令第682号《国务院关于修改</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建设项目环境保护管理条例</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的决定</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中华人民共和国环境保护法</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中华人民共和国环境影响评价法》，</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环境保护部文件（国环规环评</w:t>
      </w:r>
      <w:r>
        <w:rPr>
          <w:rFonts w:hint="default" w:ascii="Times New Roman" w:hAnsi="Times New Roman" w:eastAsia="宋体" w:cs="Times New Roman"/>
          <w:bCs/>
          <w:color w:val="000000" w:themeColor="text1"/>
          <w:sz w:val="24"/>
        </w:rPr>
        <w:t>〔2017〕</w:t>
      </w:r>
      <w:r>
        <w:rPr>
          <w:rFonts w:hint="default" w:ascii="Times New Roman" w:hAnsi="Times New Roman" w:cs="Times New Roman"/>
          <w:color w:val="000000" w:themeColor="text1"/>
          <w:sz w:val="24"/>
          <w:szCs w:val="24"/>
        </w:rPr>
        <w:t>4号）关于发布《建设项目竣工环境保护验收暂行办法》的公告、云南省政府第</w:t>
      </w:r>
      <w:r>
        <w:rPr>
          <w:rFonts w:hint="eastAsia" w:ascii="Times New Roman" w:hAnsi="Times New Roman" w:cs="Times New Roman"/>
          <w:color w:val="000000" w:themeColor="text1"/>
          <w:sz w:val="24"/>
          <w:szCs w:val="24"/>
          <w:lang w:val="en-US" w:eastAsia="zh-CN"/>
        </w:rPr>
        <w:t>1</w:t>
      </w:r>
      <w:r>
        <w:rPr>
          <w:rFonts w:hint="default" w:ascii="Times New Roman" w:hAnsi="Times New Roman" w:cs="Times New Roman"/>
          <w:color w:val="000000" w:themeColor="text1"/>
          <w:sz w:val="24"/>
          <w:szCs w:val="24"/>
        </w:rPr>
        <w:t>05号令《云南省建设项目环境保护管理规定》以及生态环境部（公告2018年第9号）关于发布《建设项目竣工环境保护验收技术指南 污染影响类》的公告等环保法规的要求和规定，在现场踏勘基础上编制了《验收监测方案》，作为项目验收现场监测的作业指导书。</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日</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rPr>
        <w:t>工程技术人员按《验收监测方案》进行现场监测。</w:t>
      </w:r>
      <w:r>
        <w:rPr>
          <w:rFonts w:hint="default" w:ascii="Times New Roman" w:hAnsi="Times New Roman" w:cs="Times New Roman"/>
          <w:color w:val="000000" w:themeColor="text1"/>
          <w:sz w:val="24"/>
          <w:szCs w:val="24"/>
          <w:lang w:val="en-US" w:eastAsia="zh-CN"/>
        </w:rPr>
        <w:t>我公司</w:t>
      </w:r>
      <w:r>
        <w:rPr>
          <w:rFonts w:hint="default" w:ascii="Times New Roman" w:hAnsi="Times New Roman" w:cs="Times New Roman"/>
          <w:color w:val="000000" w:themeColor="text1"/>
          <w:sz w:val="24"/>
          <w:szCs w:val="24"/>
        </w:rPr>
        <w:t>工程技术人员根据验收监测及调查结果，形成了本竣工环境保护验收监测报告，作为该建设项目进行竣工环境保护验收的技术支撑。</w:t>
      </w:r>
    </w:p>
    <w:p w14:paraId="7403A531">
      <w:pPr>
        <w:spacing w:line="360" w:lineRule="auto"/>
        <w:ind w:firstLine="480" w:firstLineChars="200"/>
        <w:rPr>
          <w:rFonts w:hint="default" w:ascii="Times New Roman" w:hAnsi="Times New Roman" w:cs="Times New Roman"/>
          <w:color w:val="000000" w:themeColor="text1"/>
          <w:sz w:val="24"/>
          <w:szCs w:val="24"/>
        </w:rPr>
        <w:sectPr>
          <w:headerReference r:id="rId5" w:type="default"/>
          <w:footerReference r:id="rId6" w:type="default"/>
          <w:pgSz w:w="11906" w:h="16838"/>
          <w:pgMar w:top="1440" w:right="1797" w:bottom="1440" w:left="1560" w:header="851" w:footer="992" w:gutter="0"/>
          <w:pgBorders>
            <w:top w:val="none" w:sz="0" w:space="0"/>
            <w:left w:val="none" w:sz="0" w:space="0"/>
            <w:bottom w:val="none" w:sz="0" w:space="0"/>
            <w:right w:val="none" w:sz="0" w:space="0"/>
          </w:pgBorders>
          <w:pgNumType w:start="1"/>
          <w:cols w:space="720" w:num="1"/>
          <w:docGrid w:linePitch="312" w:charSpace="0"/>
        </w:sectPr>
      </w:pPr>
    </w:p>
    <w:p w14:paraId="249882AA">
      <w:pPr>
        <w:spacing w:beforeLines="50" w:line="360" w:lineRule="auto"/>
        <w:outlineLvl w:val="0"/>
        <w:rPr>
          <w:rFonts w:hint="default" w:ascii="Times New Roman" w:hAnsi="Times New Roman" w:cs="Times New Roman"/>
          <w:b/>
          <w:bCs/>
          <w:color w:val="000000" w:themeColor="text1"/>
          <w:sz w:val="30"/>
        </w:rPr>
      </w:pPr>
      <w:bookmarkStart w:id="5" w:name="_Toc527116041"/>
      <w:bookmarkStart w:id="6" w:name="_Toc239736722"/>
      <w:r>
        <w:rPr>
          <w:rFonts w:hint="default" w:ascii="Times New Roman" w:hAnsi="Times New Roman" w:cs="Times New Roman"/>
          <w:b/>
          <w:bCs/>
          <w:color w:val="000000" w:themeColor="text1"/>
          <w:sz w:val="30"/>
        </w:rPr>
        <w:t>表一</w:t>
      </w:r>
      <w:bookmarkEnd w:id="5"/>
      <w:r>
        <w:rPr>
          <w:rFonts w:hint="default" w:ascii="Times New Roman" w:hAnsi="Times New Roman" w:cs="Times New Roman"/>
          <w:b/>
          <w:bCs/>
          <w:color w:val="000000" w:themeColor="text1"/>
          <w:sz w:val="30"/>
        </w:rPr>
        <w:t xml:space="preserve"> </w:t>
      </w:r>
      <w:bookmarkEnd w:id="6"/>
    </w:p>
    <w:tbl>
      <w:tblPr>
        <w:tblStyle w:val="39"/>
        <w:tblW w:w="9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1588"/>
        <w:gridCol w:w="1517"/>
        <w:gridCol w:w="1470"/>
        <w:gridCol w:w="1320"/>
        <w:gridCol w:w="1683"/>
      </w:tblGrid>
      <w:tr w14:paraId="60A35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525B6680">
            <w:pPr>
              <w:adjustRightInd w:val="0"/>
              <w:snapToGrid w:val="0"/>
              <w:spacing w:line="276" w:lineRule="auto"/>
              <w:jc w:val="center"/>
              <w:rPr>
                <w:rFonts w:hint="default" w:ascii="Times New Roman" w:hAnsi="Times New Roman" w:cs="Times New Roman"/>
                <w:color w:val="000000" w:themeColor="text1"/>
                <w:sz w:val="24"/>
                <w:szCs w:val="24"/>
              </w:rPr>
            </w:pPr>
            <w:bookmarkStart w:id="7" w:name="_Toc239736723"/>
            <w:r>
              <w:rPr>
                <w:rFonts w:hint="default" w:ascii="Times New Roman" w:hAnsi="Times New Roman" w:cs="Times New Roman"/>
                <w:color w:val="000000" w:themeColor="text1"/>
                <w:sz w:val="24"/>
                <w:szCs w:val="24"/>
              </w:rPr>
              <w:t>建设项目名称</w:t>
            </w:r>
          </w:p>
        </w:tc>
        <w:tc>
          <w:tcPr>
            <w:tcW w:w="7578" w:type="dxa"/>
            <w:gridSpan w:val="5"/>
            <w:vAlign w:val="center"/>
          </w:tcPr>
          <w:p w14:paraId="6FEDC80B">
            <w:pPr>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腾冲市“顺颐府”住宅建设项目（一期）</w:t>
            </w:r>
          </w:p>
        </w:tc>
      </w:tr>
      <w:tr w14:paraId="0EEF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79F90B04">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名称</w:t>
            </w:r>
          </w:p>
        </w:tc>
        <w:tc>
          <w:tcPr>
            <w:tcW w:w="7578" w:type="dxa"/>
            <w:gridSpan w:val="5"/>
            <w:vAlign w:val="center"/>
          </w:tcPr>
          <w:p w14:paraId="0F2DF617">
            <w:pPr>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腾冲广恒信达房地产开发有限责任公司</w:t>
            </w:r>
          </w:p>
        </w:tc>
      </w:tr>
      <w:tr w14:paraId="2B4A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5CAB0849">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建设项目性质</w:t>
            </w:r>
          </w:p>
        </w:tc>
        <w:tc>
          <w:tcPr>
            <w:tcW w:w="7578" w:type="dxa"/>
            <w:gridSpan w:val="5"/>
            <w:vAlign w:val="center"/>
          </w:tcPr>
          <w:p w14:paraId="00A015B4">
            <w:pPr>
              <w:adjustRightInd w:val="0"/>
              <w:snapToGrid w:val="0"/>
              <w:spacing w:line="276" w:lineRule="auto"/>
              <w:jc w:val="center"/>
              <w:rPr>
                <w:rFonts w:hint="default"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rPr>
              <w:t>新建（√）   改扩建</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 xml:space="preserve">   技改</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 xml:space="preserve">   迁建</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lang w:eastAsia="zh-CN"/>
              </w:rPr>
              <w:t>）</w:t>
            </w:r>
          </w:p>
        </w:tc>
      </w:tr>
      <w:tr w14:paraId="5F0C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0BC99BF7">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建设地点</w:t>
            </w:r>
          </w:p>
        </w:tc>
        <w:tc>
          <w:tcPr>
            <w:tcW w:w="7578" w:type="dxa"/>
            <w:gridSpan w:val="5"/>
            <w:vAlign w:val="center"/>
          </w:tcPr>
          <w:p w14:paraId="28590C12">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腾冲市宝峰社区</w:t>
            </w:r>
          </w:p>
        </w:tc>
      </w:tr>
      <w:tr w14:paraId="65DB6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166DF0C8">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主要产品名称</w:t>
            </w:r>
          </w:p>
        </w:tc>
        <w:tc>
          <w:tcPr>
            <w:tcW w:w="7578" w:type="dxa"/>
            <w:gridSpan w:val="5"/>
            <w:vAlign w:val="center"/>
          </w:tcPr>
          <w:p w14:paraId="63298CB4">
            <w:pPr>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kern w:val="0"/>
                <w:sz w:val="24"/>
                <w:szCs w:val="24"/>
              </w:rPr>
              <w:t>房地产开发经营（K7010）</w:t>
            </w:r>
          </w:p>
        </w:tc>
      </w:tr>
      <w:tr w14:paraId="32DB7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6230ABD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设计生产能力</w:t>
            </w:r>
          </w:p>
        </w:tc>
        <w:tc>
          <w:tcPr>
            <w:tcW w:w="7578" w:type="dxa"/>
            <w:gridSpan w:val="5"/>
            <w:vAlign w:val="center"/>
          </w:tcPr>
          <w:p w14:paraId="06B392C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rPr>
              <w:t>占地面积</w:t>
            </w:r>
            <w:r>
              <w:rPr>
                <w:rFonts w:hint="eastAsia" w:ascii="Times New Roman" w:hAnsi="Times New Roman" w:cs="Times New Roman"/>
                <w:color w:val="000000" w:themeColor="text1"/>
                <w:sz w:val="24"/>
                <w:szCs w:val="24"/>
                <w:lang w:val="en-US" w:eastAsia="zh-CN"/>
              </w:rPr>
              <w:t>13897.75</w:t>
            </w:r>
            <w:r>
              <w:rPr>
                <w:rFonts w:hint="default" w:ascii="Times New Roman" w:hAnsi="Times New Roman" w:cs="Times New Roman"/>
                <w:color w:val="000000" w:themeColor="text1"/>
                <w:sz w:val="24"/>
              </w:rPr>
              <w:t>m</w:t>
            </w:r>
            <w:r>
              <w:rPr>
                <w:rFonts w:hint="default" w:ascii="Times New Roman" w:hAnsi="Times New Roman" w:cs="Times New Roman"/>
                <w:color w:val="000000" w:themeColor="text1"/>
                <w:sz w:val="24"/>
                <w:vertAlign w:val="superscript"/>
              </w:rPr>
              <w:t>2</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rPr>
              <w:t>建筑面积为</w:t>
            </w:r>
            <w:r>
              <w:rPr>
                <w:rFonts w:hint="eastAsia" w:ascii="Times New Roman" w:hAnsi="Times New Roman" w:cs="Times New Roman"/>
                <w:color w:val="000000" w:themeColor="text1"/>
                <w:sz w:val="24"/>
                <w:lang w:val="en-US" w:eastAsia="zh-CN"/>
              </w:rPr>
              <w:t>35012.72</w:t>
            </w:r>
            <w:r>
              <w:rPr>
                <w:rFonts w:hint="default" w:ascii="Times New Roman" w:hAnsi="Times New Roman" w:cs="Times New Roman"/>
                <w:color w:val="000000" w:themeColor="text1"/>
                <w:sz w:val="24"/>
              </w:rPr>
              <w:t>m</w:t>
            </w:r>
            <w:r>
              <w:rPr>
                <w:rFonts w:hint="default" w:ascii="Times New Roman" w:hAnsi="Times New Roman" w:cs="Times New Roman"/>
                <w:color w:val="000000" w:themeColor="text1"/>
                <w:sz w:val="24"/>
                <w:vertAlign w:val="superscript"/>
              </w:rPr>
              <w:t>2</w:t>
            </w:r>
          </w:p>
        </w:tc>
      </w:tr>
      <w:tr w14:paraId="3158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592A8BD5">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实际生产能力</w:t>
            </w:r>
          </w:p>
        </w:tc>
        <w:tc>
          <w:tcPr>
            <w:tcW w:w="7578" w:type="dxa"/>
            <w:gridSpan w:val="5"/>
            <w:vAlign w:val="center"/>
          </w:tcPr>
          <w:p w14:paraId="175CEFBD">
            <w:pPr>
              <w:adjustRightInd w:val="0"/>
              <w:snapToGrid w:val="0"/>
              <w:spacing w:line="276" w:lineRule="auto"/>
              <w:jc w:val="center"/>
              <w:rPr>
                <w:rFonts w:hint="default" w:ascii="Times New Roman" w:hAnsi="Times New Roman" w:cs="Times New Roman"/>
                <w:color w:val="000000" w:themeColor="text1"/>
                <w:kern w:val="0"/>
                <w:sz w:val="24"/>
              </w:rPr>
            </w:pPr>
            <w:r>
              <w:rPr>
                <w:rFonts w:hint="default" w:ascii="Times New Roman" w:hAnsi="Times New Roman" w:cs="Times New Roman"/>
                <w:color w:val="000000" w:themeColor="text1"/>
                <w:sz w:val="24"/>
                <w:highlight w:val="none"/>
              </w:rPr>
              <w:t>占地面积</w:t>
            </w:r>
            <w:r>
              <w:rPr>
                <w:rFonts w:hint="eastAsia" w:ascii="Times New Roman" w:hAnsi="Times New Roman" w:cs="Times New Roman"/>
                <w:color w:val="000000" w:themeColor="text1"/>
                <w:sz w:val="24"/>
                <w:szCs w:val="24"/>
                <w:highlight w:val="none"/>
                <w:lang w:val="en-US" w:eastAsia="zh-CN"/>
              </w:rPr>
              <w:t>13897.75</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2</w:t>
            </w:r>
            <w:r>
              <w:rPr>
                <w:rFonts w:hint="default" w:ascii="Times New Roman" w:hAnsi="Times New Roman" w:cs="Times New Roman"/>
                <w:color w:val="000000" w:themeColor="text1"/>
                <w:sz w:val="24"/>
                <w:highlight w:val="none"/>
              </w:rPr>
              <w:t>，</w:t>
            </w:r>
            <w:r>
              <w:rPr>
                <w:rFonts w:hint="default" w:ascii="Times New Roman" w:hAnsi="Times New Roman" w:cs="Times New Roman"/>
                <w:color w:val="000000" w:themeColor="text1"/>
                <w:sz w:val="24"/>
                <w:szCs w:val="24"/>
                <w:highlight w:val="none"/>
              </w:rPr>
              <w:t>建筑面积为</w:t>
            </w:r>
            <w:r>
              <w:rPr>
                <w:rFonts w:hint="default" w:ascii="Times New Roman" w:hAnsi="Times New Roman" w:cs="Times New Roman"/>
                <w:color w:val="000000" w:themeColor="text1"/>
                <w:sz w:val="24"/>
                <w:szCs w:val="24"/>
                <w:highlight w:val="none"/>
                <w:lang w:val="en-US" w:eastAsia="zh-CN"/>
              </w:rPr>
              <w:t>36499.06</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2</w:t>
            </w:r>
          </w:p>
        </w:tc>
      </w:tr>
      <w:tr w14:paraId="29AA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02116E99">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环评时间</w:t>
            </w:r>
          </w:p>
        </w:tc>
        <w:tc>
          <w:tcPr>
            <w:tcW w:w="3105" w:type="dxa"/>
            <w:gridSpan w:val="2"/>
            <w:vAlign w:val="center"/>
          </w:tcPr>
          <w:p w14:paraId="3B827110">
            <w:pPr>
              <w:adjustRightInd w:val="0"/>
              <w:snapToGrid w:val="0"/>
              <w:spacing w:line="276" w:lineRule="auto"/>
              <w:jc w:val="center"/>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rPr>
              <w:t>201</w:t>
            </w:r>
            <w:r>
              <w:rPr>
                <w:rFonts w:hint="eastAsia" w:ascii="Times New Roman" w:hAnsi="Times New Roman" w:cs="Times New Roman"/>
                <w:color w:val="000000" w:themeColor="text1"/>
                <w:sz w:val="24"/>
                <w:szCs w:val="24"/>
                <w:lang w:val="en-US" w:eastAsia="zh-CN"/>
              </w:rPr>
              <w:t>9年7</w:t>
            </w:r>
            <w:r>
              <w:rPr>
                <w:rFonts w:hint="default" w:ascii="Times New Roman" w:hAnsi="Times New Roman" w:cs="Times New Roman"/>
                <w:color w:val="000000" w:themeColor="text1"/>
                <w:sz w:val="24"/>
                <w:szCs w:val="24"/>
              </w:rPr>
              <w:t>月</w:t>
            </w:r>
          </w:p>
        </w:tc>
        <w:tc>
          <w:tcPr>
            <w:tcW w:w="1470" w:type="dxa"/>
            <w:vAlign w:val="center"/>
          </w:tcPr>
          <w:p w14:paraId="2275B62F">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开工时间</w:t>
            </w:r>
          </w:p>
        </w:tc>
        <w:tc>
          <w:tcPr>
            <w:tcW w:w="3003" w:type="dxa"/>
            <w:gridSpan w:val="2"/>
            <w:vAlign w:val="center"/>
          </w:tcPr>
          <w:p w14:paraId="13AE83D7">
            <w:pPr>
              <w:adjustRightInd w:val="0"/>
              <w:snapToGrid w:val="0"/>
              <w:spacing w:line="276" w:lineRule="auto"/>
              <w:jc w:val="center"/>
              <w:rPr>
                <w:rFonts w:hint="default" w:ascii="Times New Roman" w:hAnsi="Times New Roman" w:eastAsia="宋体" w:cs="Times New Roman"/>
                <w:color w:val="000000" w:themeColor="text1"/>
                <w:sz w:val="24"/>
                <w:szCs w:val="24"/>
                <w:lang w:val="en-US" w:eastAsia="zh-CN"/>
              </w:rPr>
            </w:pPr>
            <w:r>
              <w:rPr>
                <w:rFonts w:hint="default" w:ascii="Times New Roman" w:hAnsi="Times New Roman" w:cs="Times New Roman"/>
                <w:color w:val="000000" w:themeColor="text1"/>
                <w:sz w:val="24"/>
                <w:szCs w:val="24"/>
                <w:highlight w:val="none"/>
              </w:rPr>
              <w:t>20</w:t>
            </w:r>
            <w:r>
              <w:rPr>
                <w:rFonts w:hint="eastAsia" w:ascii="Times New Roman" w:hAnsi="Times New Roman" w:cs="Times New Roman"/>
                <w:color w:val="000000" w:themeColor="text1"/>
                <w:sz w:val="24"/>
                <w:szCs w:val="24"/>
                <w:highlight w:val="none"/>
                <w:lang w:val="en-US" w:eastAsia="zh-CN"/>
              </w:rPr>
              <w:t>19</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月</w:t>
            </w:r>
          </w:p>
        </w:tc>
      </w:tr>
      <w:tr w14:paraId="3FCE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5" w:type="dxa"/>
            <w:vAlign w:val="center"/>
          </w:tcPr>
          <w:p w14:paraId="1B7D2351">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调试时间</w:t>
            </w:r>
          </w:p>
        </w:tc>
        <w:tc>
          <w:tcPr>
            <w:tcW w:w="3105" w:type="dxa"/>
            <w:gridSpan w:val="2"/>
            <w:vAlign w:val="center"/>
          </w:tcPr>
          <w:p w14:paraId="556C8151">
            <w:pPr>
              <w:adjustRightInd w:val="0"/>
              <w:snapToGrid w:val="0"/>
              <w:spacing w:line="276"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highlight w:val="none"/>
                <w:lang w:val="en-US" w:eastAsia="zh-CN"/>
              </w:rPr>
              <w:t>2024年10月</w:t>
            </w:r>
          </w:p>
        </w:tc>
        <w:tc>
          <w:tcPr>
            <w:tcW w:w="1470" w:type="dxa"/>
            <w:vAlign w:val="center"/>
          </w:tcPr>
          <w:p w14:paraId="34DB19D5">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验收现场监测时间</w:t>
            </w:r>
          </w:p>
        </w:tc>
        <w:tc>
          <w:tcPr>
            <w:tcW w:w="3003" w:type="dxa"/>
            <w:gridSpan w:val="2"/>
            <w:vAlign w:val="center"/>
          </w:tcPr>
          <w:p w14:paraId="55511E2B">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日</w:t>
            </w:r>
          </w:p>
        </w:tc>
      </w:tr>
      <w:tr w14:paraId="650A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2EDAC00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环评报告表</w:t>
            </w:r>
          </w:p>
          <w:p w14:paraId="33C337B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审批部门</w:t>
            </w:r>
          </w:p>
        </w:tc>
        <w:tc>
          <w:tcPr>
            <w:tcW w:w="3105" w:type="dxa"/>
            <w:gridSpan w:val="2"/>
            <w:vAlign w:val="center"/>
          </w:tcPr>
          <w:p w14:paraId="503A7BD2">
            <w:pPr>
              <w:adjustRightInd w:val="0"/>
              <w:snapToGrid w:val="0"/>
              <w:spacing w:line="276" w:lineRule="auto"/>
              <w:jc w:val="center"/>
              <w:rPr>
                <w:rFonts w:hint="default" w:ascii="Times New Roman" w:hAnsi="Times New Roman" w:cs="Times New Roman"/>
                <w:color w:val="000000" w:themeColor="text1"/>
                <w:sz w:val="24"/>
                <w:szCs w:val="24"/>
                <w:lang w:val="en-US"/>
              </w:rPr>
            </w:pPr>
            <w:r>
              <w:rPr>
                <w:rFonts w:hint="eastAsia" w:ascii="Times New Roman" w:hAnsi="Times New Roman" w:cs="Times New Roman"/>
                <w:color w:val="000000" w:themeColor="text1"/>
                <w:sz w:val="24"/>
                <w:szCs w:val="24"/>
                <w:lang w:val="en-US" w:eastAsia="zh-CN"/>
              </w:rPr>
              <w:t>保山市生态环境局腾冲分局</w:t>
            </w:r>
          </w:p>
        </w:tc>
        <w:tc>
          <w:tcPr>
            <w:tcW w:w="1470" w:type="dxa"/>
            <w:vAlign w:val="center"/>
          </w:tcPr>
          <w:p w14:paraId="4853C547">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环评报告表</w:t>
            </w:r>
          </w:p>
          <w:p w14:paraId="47399C1B">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编制单位</w:t>
            </w:r>
          </w:p>
        </w:tc>
        <w:tc>
          <w:tcPr>
            <w:tcW w:w="3003" w:type="dxa"/>
            <w:gridSpan w:val="2"/>
            <w:vAlign w:val="center"/>
          </w:tcPr>
          <w:p w14:paraId="26261105">
            <w:pPr>
              <w:adjustRightInd w:val="0"/>
              <w:snapToGrid w:val="0"/>
              <w:spacing w:line="276" w:lineRule="auto"/>
              <w:jc w:val="center"/>
              <w:rPr>
                <w:rFonts w:hint="default" w:ascii="Times New Roman" w:hAnsi="Times New Roman" w:cs="Times New Roman"/>
                <w:color w:val="000000" w:themeColor="text1"/>
                <w:spacing w:val="-4"/>
                <w:sz w:val="24"/>
                <w:szCs w:val="24"/>
              </w:rPr>
            </w:pPr>
            <w:r>
              <w:rPr>
                <w:rFonts w:hint="default" w:ascii="Times New Roman" w:hAnsi="Times New Roman" w:cs="Times New Roman"/>
                <w:color w:val="000000" w:themeColor="text1"/>
                <w:sz w:val="24"/>
                <w:szCs w:val="24"/>
              </w:rPr>
              <w:t>昆明煤炭设计研究院</w:t>
            </w:r>
          </w:p>
        </w:tc>
      </w:tr>
      <w:tr w14:paraId="612A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2A3D75B6">
            <w:pPr>
              <w:pStyle w:val="18"/>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环保设施</w:t>
            </w:r>
          </w:p>
          <w:p w14:paraId="78AF1A9D">
            <w:pPr>
              <w:pStyle w:val="18"/>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设计单位</w:t>
            </w:r>
          </w:p>
        </w:tc>
        <w:tc>
          <w:tcPr>
            <w:tcW w:w="3105" w:type="dxa"/>
            <w:gridSpan w:val="2"/>
            <w:vAlign w:val="center"/>
          </w:tcPr>
          <w:p w14:paraId="32F375EB">
            <w:pPr>
              <w:pStyle w:val="18"/>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北京广诚环境科技</w:t>
            </w:r>
          </w:p>
          <w:p w14:paraId="7485A17F">
            <w:pPr>
              <w:pStyle w:val="18"/>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有限公司</w:t>
            </w:r>
          </w:p>
        </w:tc>
        <w:tc>
          <w:tcPr>
            <w:tcW w:w="1470" w:type="dxa"/>
            <w:vAlign w:val="center"/>
          </w:tcPr>
          <w:p w14:paraId="1FA7236C">
            <w:pPr>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环保设施</w:t>
            </w:r>
          </w:p>
          <w:p w14:paraId="0742135B">
            <w:pPr>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施工单位</w:t>
            </w:r>
          </w:p>
        </w:tc>
        <w:tc>
          <w:tcPr>
            <w:tcW w:w="3003" w:type="dxa"/>
            <w:gridSpan w:val="2"/>
            <w:vAlign w:val="center"/>
          </w:tcPr>
          <w:p w14:paraId="07DD4F94">
            <w:pPr>
              <w:spacing w:line="276"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北京广诚环境科技</w:t>
            </w:r>
          </w:p>
          <w:p w14:paraId="0C25C0C7">
            <w:pPr>
              <w:spacing w:line="276" w:lineRule="auto"/>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有限公司</w:t>
            </w:r>
          </w:p>
        </w:tc>
      </w:tr>
      <w:tr w14:paraId="1ECFD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10F2A478">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投资总概算</w:t>
            </w:r>
          </w:p>
        </w:tc>
        <w:tc>
          <w:tcPr>
            <w:tcW w:w="1588" w:type="dxa"/>
            <w:vAlign w:val="center"/>
          </w:tcPr>
          <w:p w14:paraId="3CC4CB6B">
            <w:pPr>
              <w:adjustRightInd w:val="0"/>
              <w:snapToGrid w:val="0"/>
              <w:spacing w:line="276" w:lineRule="auto"/>
              <w:jc w:val="center"/>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val="en-US" w:eastAsia="zh-CN"/>
              </w:rPr>
              <w:t>8107</w:t>
            </w:r>
            <w:r>
              <w:rPr>
                <w:rFonts w:hint="default" w:ascii="Times New Roman" w:hAnsi="Times New Roman" w:cs="Times New Roman"/>
                <w:color w:val="000000" w:themeColor="text1"/>
                <w:sz w:val="24"/>
                <w:szCs w:val="24"/>
              </w:rPr>
              <w:t>万元</w:t>
            </w:r>
          </w:p>
        </w:tc>
        <w:tc>
          <w:tcPr>
            <w:tcW w:w="1517" w:type="dxa"/>
            <w:vAlign w:val="center"/>
          </w:tcPr>
          <w:p w14:paraId="1D09C44C">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环保投资总概算</w:t>
            </w:r>
          </w:p>
        </w:tc>
        <w:tc>
          <w:tcPr>
            <w:tcW w:w="1470" w:type="dxa"/>
            <w:vAlign w:val="center"/>
          </w:tcPr>
          <w:p w14:paraId="5E8C12A0">
            <w:pPr>
              <w:adjustRightInd w:val="0"/>
              <w:snapToGrid w:val="0"/>
              <w:spacing w:line="276" w:lineRule="auto"/>
              <w:jc w:val="center"/>
              <w:rPr>
                <w:rFonts w:hint="default" w:ascii="Times New Roman" w:hAnsi="Times New Roman" w:cs="Times New Roman"/>
                <w:color w:val="000000" w:themeColor="text1"/>
              </w:rPr>
            </w:pPr>
            <w:r>
              <w:rPr>
                <w:rFonts w:hint="eastAsia" w:ascii="Times New Roman" w:hAnsi="Times New Roman" w:cs="Times New Roman"/>
                <w:color w:val="000000" w:themeColor="text1"/>
                <w:sz w:val="24"/>
                <w:lang w:val="en-US" w:eastAsia="zh-CN"/>
              </w:rPr>
              <w:t>103.45</w:t>
            </w:r>
            <w:r>
              <w:rPr>
                <w:rFonts w:hint="default" w:ascii="Times New Roman" w:hAnsi="Times New Roman" w:cs="Times New Roman"/>
                <w:color w:val="000000" w:themeColor="text1"/>
                <w:sz w:val="24"/>
              </w:rPr>
              <w:t>万元</w:t>
            </w:r>
          </w:p>
        </w:tc>
        <w:tc>
          <w:tcPr>
            <w:tcW w:w="1320" w:type="dxa"/>
            <w:vAlign w:val="center"/>
          </w:tcPr>
          <w:p w14:paraId="7EC9CFAB">
            <w:pPr>
              <w:adjustRightInd w:val="0"/>
              <w:snapToGrid w:val="0"/>
              <w:spacing w:line="276" w:lineRule="auto"/>
              <w:jc w:val="center"/>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rPr>
              <w:t>比例</w:t>
            </w:r>
          </w:p>
        </w:tc>
        <w:tc>
          <w:tcPr>
            <w:tcW w:w="1683" w:type="dxa"/>
            <w:vAlign w:val="center"/>
          </w:tcPr>
          <w:p w14:paraId="3B82E7FF">
            <w:pPr>
              <w:adjustRightInd w:val="0"/>
              <w:snapToGrid w:val="0"/>
              <w:spacing w:line="276" w:lineRule="auto"/>
              <w:jc w:val="center"/>
              <w:rPr>
                <w:rFonts w:hint="default" w:ascii="Times New Roman" w:hAnsi="Times New Roman" w:cs="Times New Roman"/>
                <w:color w:val="000000" w:themeColor="text1"/>
              </w:rPr>
            </w:pPr>
            <w:r>
              <w:rPr>
                <w:rFonts w:hint="default" w:ascii="Times New Roman" w:hAnsi="Times New Roman" w:cs="Times New Roman"/>
                <w:color w:val="000000" w:themeColor="text1"/>
                <w:sz w:val="24"/>
                <w:lang w:val="en-US" w:eastAsia="zh-CN"/>
              </w:rPr>
              <w:t>1.</w:t>
            </w:r>
            <w:r>
              <w:rPr>
                <w:rFonts w:hint="eastAsia" w:ascii="Times New Roman" w:hAnsi="Times New Roman" w:cs="Times New Roman"/>
                <w:color w:val="000000" w:themeColor="text1"/>
                <w:sz w:val="24"/>
                <w:lang w:val="en-US" w:eastAsia="zh-CN"/>
              </w:rPr>
              <w:t>28</w:t>
            </w:r>
            <w:r>
              <w:rPr>
                <w:rFonts w:hint="default" w:ascii="Times New Roman" w:hAnsi="Times New Roman" w:cs="Times New Roman"/>
                <w:color w:val="000000" w:themeColor="text1"/>
                <w:sz w:val="24"/>
              </w:rPr>
              <w:t>%</w:t>
            </w:r>
          </w:p>
        </w:tc>
      </w:tr>
      <w:tr w14:paraId="3D6B9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7F1A66D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实际总投资</w:t>
            </w:r>
          </w:p>
        </w:tc>
        <w:tc>
          <w:tcPr>
            <w:tcW w:w="1588" w:type="dxa"/>
            <w:vAlign w:val="center"/>
          </w:tcPr>
          <w:p w14:paraId="1A73EACB">
            <w:pPr>
              <w:adjustRightInd w:val="0"/>
              <w:snapToGrid w:val="0"/>
              <w:spacing w:line="276" w:lineRule="auto"/>
              <w:jc w:val="center"/>
              <w:rPr>
                <w:rFonts w:hint="default" w:ascii="Times New Roman" w:hAnsi="Times New Roman" w:cs="Times New Roman"/>
                <w:color w:val="000000" w:themeColor="text1"/>
                <w:sz w:val="24"/>
                <w:szCs w:val="24"/>
                <w:highlight w:val="none"/>
              </w:rPr>
            </w:pPr>
            <w:r>
              <w:rPr>
                <w:rFonts w:hint="eastAsia" w:ascii="Times New Roman" w:hAnsi="Times New Roman" w:cs="Times New Roman"/>
                <w:color w:val="000000" w:themeColor="text1"/>
                <w:sz w:val="24"/>
                <w:szCs w:val="24"/>
                <w:highlight w:val="none"/>
                <w:lang w:val="en-US" w:eastAsia="zh-CN"/>
              </w:rPr>
              <w:t>8200</w:t>
            </w:r>
            <w:r>
              <w:rPr>
                <w:rFonts w:hint="default" w:ascii="Times New Roman" w:hAnsi="Times New Roman" w:cs="Times New Roman"/>
                <w:color w:val="000000" w:themeColor="text1"/>
                <w:sz w:val="24"/>
                <w:szCs w:val="24"/>
                <w:highlight w:val="none"/>
              </w:rPr>
              <w:t>万元</w:t>
            </w:r>
          </w:p>
        </w:tc>
        <w:tc>
          <w:tcPr>
            <w:tcW w:w="1517" w:type="dxa"/>
            <w:vAlign w:val="center"/>
          </w:tcPr>
          <w:p w14:paraId="030348D6">
            <w:pPr>
              <w:adjustRightInd w:val="0"/>
              <w:snapToGrid w:val="0"/>
              <w:spacing w:line="276" w:lineRule="auto"/>
              <w:jc w:val="center"/>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环保投资总概算</w:t>
            </w:r>
          </w:p>
        </w:tc>
        <w:tc>
          <w:tcPr>
            <w:tcW w:w="1470" w:type="dxa"/>
            <w:vAlign w:val="center"/>
          </w:tcPr>
          <w:p w14:paraId="0033FEC5">
            <w:pPr>
              <w:adjustRightInd w:val="0"/>
              <w:snapToGrid w:val="0"/>
              <w:spacing w:line="276" w:lineRule="auto"/>
              <w:jc w:val="center"/>
              <w:rPr>
                <w:rFonts w:hint="default" w:ascii="Times New Roman" w:hAnsi="Times New Roman" w:cs="Times New Roman"/>
                <w:color w:val="000000" w:themeColor="text1"/>
                <w:sz w:val="24"/>
                <w:highlight w:val="none"/>
              </w:rPr>
            </w:pPr>
            <w:r>
              <w:rPr>
                <w:rFonts w:hint="eastAsia" w:ascii="Times New Roman" w:hAnsi="Times New Roman" w:cs="Times New Roman"/>
                <w:color w:val="000000" w:themeColor="text1"/>
                <w:sz w:val="24"/>
                <w:highlight w:val="none"/>
                <w:lang w:val="en-US" w:eastAsia="zh-CN"/>
              </w:rPr>
              <w:t>196.11</w:t>
            </w:r>
            <w:r>
              <w:rPr>
                <w:rFonts w:hint="default" w:ascii="Times New Roman" w:hAnsi="Times New Roman" w:cs="Times New Roman"/>
                <w:color w:val="000000" w:themeColor="text1"/>
                <w:sz w:val="24"/>
                <w:highlight w:val="none"/>
              </w:rPr>
              <w:t>万元</w:t>
            </w:r>
          </w:p>
        </w:tc>
        <w:tc>
          <w:tcPr>
            <w:tcW w:w="1320" w:type="dxa"/>
            <w:vAlign w:val="center"/>
          </w:tcPr>
          <w:p w14:paraId="3CBB850E">
            <w:pPr>
              <w:adjustRightInd w:val="0"/>
              <w:snapToGrid w:val="0"/>
              <w:spacing w:line="276" w:lineRule="auto"/>
              <w:jc w:val="center"/>
              <w:rPr>
                <w:rFonts w:hint="default" w:ascii="Times New Roman" w:hAnsi="Times New Roman" w:cs="Times New Roman"/>
                <w:color w:val="000000" w:themeColor="text1"/>
                <w:sz w:val="24"/>
                <w:highlight w:val="none"/>
              </w:rPr>
            </w:pPr>
            <w:r>
              <w:rPr>
                <w:rFonts w:hint="default" w:ascii="Times New Roman" w:hAnsi="Times New Roman" w:cs="Times New Roman"/>
                <w:color w:val="000000" w:themeColor="text1"/>
                <w:sz w:val="24"/>
                <w:highlight w:val="none"/>
              </w:rPr>
              <w:t>比例</w:t>
            </w:r>
          </w:p>
        </w:tc>
        <w:tc>
          <w:tcPr>
            <w:tcW w:w="1683" w:type="dxa"/>
            <w:vAlign w:val="center"/>
          </w:tcPr>
          <w:p w14:paraId="40486CF2">
            <w:pPr>
              <w:adjustRightInd w:val="0"/>
              <w:snapToGrid w:val="0"/>
              <w:spacing w:line="276" w:lineRule="auto"/>
              <w:jc w:val="center"/>
              <w:rPr>
                <w:rFonts w:hint="default" w:ascii="Times New Roman" w:hAnsi="Times New Roman" w:cs="Times New Roman"/>
                <w:color w:val="000000" w:themeColor="text1"/>
                <w:sz w:val="24"/>
                <w:highlight w:val="none"/>
              </w:rPr>
            </w:pPr>
            <w:r>
              <w:rPr>
                <w:rFonts w:hint="eastAsia" w:ascii="Times New Roman" w:hAnsi="Times New Roman" w:cs="Times New Roman"/>
                <w:color w:val="000000" w:themeColor="text1"/>
                <w:sz w:val="24"/>
                <w:highlight w:val="none"/>
                <w:lang w:val="en-US" w:eastAsia="zh-CN"/>
              </w:rPr>
              <w:t>2.39</w:t>
            </w:r>
            <w:r>
              <w:rPr>
                <w:rFonts w:hint="default" w:ascii="Times New Roman" w:hAnsi="Times New Roman" w:cs="Times New Roman"/>
                <w:color w:val="000000" w:themeColor="text1"/>
                <w:sz w:val="24"/>
                <w:highlight w:val="none"/>
              </w:rPr>
              <w:t>%</w:t>
            </w:r>
          </w:p>
        </w:tc>
      </w:tr>
      <w:tr w14:paraId="545C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5" w:type="dxa"/>
            <w:vAlign w:val="center"/>
          </w:tcPr>
          <w:p w14:paraId="44AD6462">
            <w:pPr>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验收监测依据</w:t>
            </w:r>
          </w:p>
        </w:tc>
        <w:tc>
          <w:tcPr>
            <w:tcW w:w="7578" w:type="dxa"/>
            <w:gridSpan w:val="5"/>
            <w:vAlign w:val="center"/>
          </w:tcPr>
          <w:p w14:paraId="342682B7">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1、建设项目环境保护相关法律、法规和规章制度</w:t>
            </w:r>
          </w:p>
          <w:p w14:paraId="5C754A94">
            <w:pPr>
              <w:spacing w:line="360" w:lineRule="auto"/>
              <w:ind w:firstLine="480" w:firstLineChars="200"/>
              <w:rPr>
                <w:rFonts w:hint="default" w:ascii="Times New Roman" w:hAnsi="Times New Roman" w:cs="Times New Roman"/>
                <w:color w:val="000000" w:themeColor="text1"/>
                <w:sz w:val="24"/>
                <w:szCs w:val="24"/>
              </w:rPr>
            </w:pPr>
            <w:bookmarkStart w:id="8" w:name="_Toc469484426"/>
            <w:r>
              <w:rPr>
                <w:rFonts w:hint="default" w:ascii="Times New Roman" w:hAnsi="Times New Roman" w:cs="Times New Roman"/>
                <w:color w:val="000000" w:themeColor="text1"/>
                <w:sz w:val="24"/>
                <w:szCs w:val="24"/>
              </w:rPr>
              <w:t>（1）《中华人民共和国环境保护法》（</w:t>
            </w:r>
            <w:r>
              <w:rPr>
                <w:rFonts w:hint="default" w:ascii="Times New Roman" w:hAnsi="Times New Roman" w:cs="Times New Roman"/>
                <w:bCs/>
                <w:color w:val="000000" w:themeColor="text1"/>
                <w:sz w:val="24"/>
                <w:szCs w:val="24"/>
              </w:rPr>
              <w:t>2015年1月1日实施</w:t>
            </w:r>
            <w:r>
              <w:rPr>
                <w:rFonts w:hint="default" w:ascii="Times New Roman" w:hAnsi="Times New Roman" w:cs="Times New Roman"/>
                <w:color w:val="000000" w:themeColor="text1"/>
                <w:sz w:val="24"/>
                <w:szCs w:val="24"/>
              </w:rPr>
              <w:t>）；</w:t>
            </w:r>
            <w:bookmarkEnd w:id="8"/>
          </w:p>
          <w:p w14:paraId="073BE08D">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（2）《中华人民共和国环境影响评价法》（</w:t>
            </w:r>
            <w:r>
              <w:rPr>
                <w:rFonts w:hint="default" w:ascii="Times New Roman" w:hAnsi="Times New Roman" w:cs="Times New Roman"/>
                <w:bCs/>
                <w:color w:val="000000" w:themeColor="text1"/>
                <w:sz w:val="24"/>
                <w:szCs w:val="24"/>
              </w:rPr>
              <w:t>2016年9月1日实施，2018年12月29日修订</w:t>
            </w:r>
            <w:r>
              <w:rPr>
                <w:rFonts w:hint="default" w:ascii="Times New Roman" w:hAnsi="Times New Roman" w:cs="Times New Roman"/>
                <w:color w:val="000000" w:themeColor="text1"/>
                <w:sz w:val="24"/>
                <w:szCs w:val="24"/>
              </w:rPr>
              <w:t>）；</w:t>
            </w:r>
          </w:p>
          <w:p w14:paraId="1AC97052">
            <w:pPr>
              <w:spacing w:line="360" w:lineRule="auto"/>
              <w:ind w:firstLine="480" w:firstLineChars="200"/>
              <w:rPr>
                <w:rFonts w:hint="default" w:ascii="Times New Roman" w:hAnsi="Times New Roman" w:cs="Times New Roman"/>
                <w:color w:val="000000" w:themeColor="text1"/>
                <w:sz w:val="24"/>
                <w:szCs w:val="24"/>
              </w:rPr>
            </w:pPr>
            <w:bookmarkStart w:id="9" w:name="_Toc469484427"/>
            <w:r>
              <w:rPr>
                <w:rFonts w:hint="default" w:ascii="Times New Roman" w:hAnsi="Times New Roman" w:cs="Times New Roman"/>
                <w:color w:val="000000" w:themeColor="text1"/>
                <w:sz w:val="24"/>
                <w:szCs w:val="24"/>
              </w:rPr>
              <w:t>（3）《中华人民共和国大气污染防治法》（</w:t>
            </w:r>
            <w:r>
              <w:rPr>
                <w:rFonts w:hint="default" w:ascii="Times New Roman" w:hAnsi="Times New Roman" w:cs="Times New Roman"/>
                <w:bCs/>
                <w:color w:val="000000" w:themeColor="text1"/>
                <w:sz w:val="24"/>
                <w:szCs w:val="24"/>
              </w:rPr>
              <w:t>2018年10月26日修正</w:t>
            </w:r>
            <w:r>
              <w:rPr>
                <w:rFonts w:hint="default" w:ascii="Times New Roman" w:hAnsi="Times New Roman" w:cs="Times New Roman"/>
                <w:color w:val="000000" w:themeColor="text1"/>
                <w:sz w:val="24"/>
                <w:szCs w:val="24"/>
              </w:rPr>
              <w:t>）；</w:t>
            </w:r>
            <w:bookmarkEnd w:id="9"/>
          </w:p>
          <w:p w14:paraId="32F5D98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（4）《中华人民共和国水污染防治法》（</w:t>
            </w:r>
            <w:r>
              <w:rPr>
                <w:rFonts w:hint="default" w:ascii="Times New Roman" w:hAnsi="Times New Roman" w:cs="Times New Roman"/>
                <w:bCs/>
                <w:color w:val="000000" w:themeColor="text1"/>
                <w:sz w:val="24"/>
                <w:szCs w:val="24"/>
              </w:rPr>
              <w:t>2017年6月27日修订；</w:t>
            </w:r>
            <w:r>
              <w:rPr>
                <w:rFonts w:hint="default" w:ascii="Times New Roman" w:hAnsi="Times New Roman" w:cs="Times New Roman"/>
                <w:color w:val="000000" w:themeColor="text1"/>
                <w:sz w:val="24"/>
                <w:szCs w:val="24"/>
              </w:rPr>
              <w:t>2018年1月1日实施）；</w:t>
            </w:r>
          </w:p>
          <w:p w14:paraId="6CC0E68B">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（5）《中华人民共和国固体废物污染环境防治法》（2020年4月29日修订，2020年9月1日实施）；</w:t>
            </w:r>
          </w:p>
          <w:p w14:paraId="6F98768C">
            <w:pPr>
              <w:spacing w:line="360" w:lineRule="auto"/>
              <w:ind w:firstLine="480" w:firstLineChars="200"/>
              <w:rPr>
                <w:rFonts w:hint="default" w:ascii="Times New Roman" w:hAnsi="Times New Roman" w:cs="Times New Roman"/>
                <w:color w:val="000000" w:themeColor="text1"/>
                <w:sz w:val="24"/>
                <w:szCs w:val="24"/>
              </w:rPr>
            </w:pPr>
            <w:bookmarkStart w:id="10" w:name="_Toc469484428"/>
            <w:r>
              <w:rPr>
                <w:rFonts w:hint="default" w:ascii="Times New Roman" w:hAnsi="Times New Roman" w:cs="Times New Roman"/>
                <w:color w:val="000000" w:themeColor="text1"/>
                <w:sz w:val="24"/>
                <w:szCs w:val="24"/>
              </w:rPr>
              <w:t>（6）《中华人民共和国噪声污染防治法》（</w:t>
            </w:r>
            <w:r>
              <w:rPr>
                <w:rFonts w:hint="default" w:ascii="Times New Roman" w:hAnsi="Times New Roman" w:eastAsia="宋体" w:cs="Times New Roman"/>
                <w:bCs/>
                <w:color w:val="000000" w:themeColor="text1"/>
                <w:sz w:val="24"/>
              </w:rPr>
              <w:t>2022年6月5日施行</w:t>
            </w:r>
            <w:r>
              <w:rPr>
                <w:rFonts w:hint="default" w:ascii="Times New Roman" w:hAnsi="Times New Roman" w:cs="Times New Roman"/>
                <w:color w:val="000000" w:themeColor="text1"/>
                <w:sz w:val="24"/>
                <w:szCs w:val="24"/>
              </w:rPr>
              <w:t>）；</w:t>
            </w:r>
            <w:bookmarkEnd w:id="10"/>
          </w:p>
          <w:p w14:paraId="53EF342E">
            <w:pPr>
              <w:spacing w:line="360" w:lineRule="auto"/>
              <w:ind w:firstLine="480" w:firstLineChars="200"/>
              <w:rPr>
                <w:rFonts w:hint="default" w:ascii="Times New Roman" w:hAnsi="Times New Roman" w:cs="Times New Roman"/>
                <w:color w:val="000000" w:themeColor="text1"/>
                <w:sz w:val="24"/>
                <w:szCs w:val="24"/>
              </w:rPr>
            </w:pPr>
            <w:bookmarkStart w:id="11" w:name="_Toc469484430"/>
            <w:r>
              <w:rPr>
                <w:rFonts w:hint="default" w:ascii="Times New Roman" w:hAnsi="Times New Roman" w:cs="Times New Roman"/>
                <w:color w:val="000000" w:themeColor="text1"/>
                <w:sz w:val="24"/>
                <w:szCs w:val="24"/>
              </w:rPr>
              <w:t>（7）</w:t>
            </w:r>
            <w:bookmarkEnd w:id="11"/>
            <w:r>
              <w:rPr>
                <w:rFonts w:hint="default" w:ascii="Times New Roman" w:hAnsi="Times New Roman" w:cs="Times New Roman"/>
                <w:color w:val="000000" w:themeColor="text1"/>
                <w:sz w:val="24"/>
                <w:szCs w:val="24"/>
              </w:rPr>
              <w:t>《中华人民共和国水法》（2016年7月2日修订）；</w:t>
            </w:r>
          </w:p>
          <w:p w14:paraId="128E175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（8）中华人民共和国国务院令第253 号《建设项目环境保护管理条例》；</w:t>
            </w:r>
          </w:p>
          <w:p w14:paraId="0D75216F">
            <w:pPr>
              <w:spacing w:line="360" w:lineRule="auto"/>
              <w:ind w:firstLine="480" w:firstLineChars="200"/>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sz w:val="24"/>
                <w:szCs w:val="24"/>
              </w:rPr>
              <w:t>（9）中华人民共和国国务院令第682 号《国务院关于修改</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建设项目环境保护管理条例</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的决定》；</w:t>
            </w:r>
          </w:p>
          <w:p w14:paraId="29EAE07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（10）云南省政府第</w:t>
            </w:r>
            <w:r>
              <w:rPr>
                <w:rFonts w:hint="eastAsia" w:ascii="Times New Roman" w:hAnsi="Times New Roman" w:cs="Times New Roman"/>
                <w:color w:val="000000" w:themeColor="text1"/>
                <w:sz w:val="24"/>
                <w:szCs w:val="24"/>
                <w:lang w:val="en-US" w:eastAsia="zh-CN"/>
              </w:rPr>
              <w:t>1</w:t>
            </w:r>
            <w:r>
              <w:rPr>
                <w:rFonts w:hint="default" w:ascii="Times New Roman" w:hAnsi="Times New Roman" w:cs="Times New Roman"/>
                <w:color w:val="000000" w:themeColor="text1"/>
                <w:sz w:val="24"/>
                <w:szCs w:val="24"/>
              </w:rPr>
              <w:t>05 号令《云南省建设项目环境保护管理规定》。</w:t>
            </w:r>
          </w:p>
          <w:p w14:paraId="1E037116">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2、建设项目竣工环境保护验收技术规范</w:t>
            </w:r>
          </w:p>
          <w:p w14:paraId="2CD9CFD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环境保护部文件（国环规环评</w:t>
            </w:r>
            <w:r>
              <w:rPr>
                <w:rFonts w:hint="default" w:ascii="Times New Roman" w:hAnsi="Times New Roman" w:eastAsia="宋体" w:cs="Times New Roman"/>
                <w:bCs/>
                <w:color w:val="000000" w:themeColor="text1"/>
                <w:sz w:val="24"/>
              </w:rPr>
              <w:t>〔2017〕</w:t>
            </w:r>
            <w:r>
              <w:rPr>
                <w:rFonts w:hint="default" w:ascii="Times New Roman" w:hAnsi="Times New Roman" w:cs="Times New Roman"/>
                <w:color w:val="000000" w:themeColor="text1"/>
                <w:sz w:val="24"/>
                <w:szCs w:val="24"/>
              </w:rPr>
              <w:t>4 号）关于发布《建设项目竣工环境保护验收暂行办法》的公告；</w:t>
            </w:r>
          </w:p>
          <w:p w14:paraId="55EDC5ED">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国家环保总局《建设项目环境保护设施竣工验收监测技术要求（试行）》；</w:t>
            </w:r>
          </w:p>
          <w:p w14:paraId="37DAD119">
            <w:pPr>
              <w:spacing w:line="360" w:lineRule="auto"/>
              <w:ind w:firstLine="480" w:firstLineChars="200"/>
              <w:rPr>
                <w:rFonts w:hint="eastAsia"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rPr>
              <w:t>（3）</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环境保护部文件（生态环境部</w:t>
            </w:r>
            <w:r>
              <w:rPr>
                <w:rFonts w:hint="default" w:ascii="Times New Roman" w:hAnsi="Times New Roman" w:eastAsia="宋体" w:cs="Times New Roman"/>
                <w:bCs/>
                <w:color w:val="000000" w:themeColor="text1"/>
                <w:sz w:val="24"/>
              </w:rPr>
              <w:t>〔201</w:t>
            </w:r>
            <w:r>
              <w:rPr>
                <w:rFonts w:hint="eastAsia" w:ascii="Times New Roman" w:hAnsi="Times New Roman" w:eastAsia="宋体" w:cs="Times New Roman"/>
                <w:bCs/>
                <w:color w:val="000000" w:themeColor="text1"/>
                <w:sz w:val="24"/>
                <w:lang w:val="en-US" w:eastAsia="zh-CN"/>
              </w:rPr>
              <w:t>8</w:t>
            </w:r>
            <w:r>
              <w:rPr>
                <w:rFonts w:hint="default" w:ascii="Times New Roman" w:hAnsi="Times New Roman" w:eastAsia="宋体" w:cs="Times New Roman"/>
                <w:bCs/>
                <w:color w:val="000000" w:themeColor="text1"/>
                <w:sz w:val="24"/>
              </w:rPr>
              <w:t>〕</w:t>
            </w:r>
            <w:r>
              <w:rPr>
                <w:rFonts w:hint="default" w:ascii="Times New Roman" w:hAnsi="Times New Roman" w:cs="Times New Roman"/>
                <w:color w:val="000000" w:themeColor="text1"/>
                <w:sz w:val="24"/>
                <w:szCs w:val="24"/>
              </w:rPr>
              <w:t>9号）关于发布《建设项目竣工环境保护验收技术指南 污染影响类》</w:t>
            </w:r>
            <w:r>
              <w:rPr>
                <w:rFonts w:hint="eastAsia" w:ascii="Times New Roman" w:hAnsi="Times New Roman" w:cs="Times New Roman"/>
                <w:color w:val="000000" w:themeColor="text1"/>
                <w:sz w:val="24"/>
                <w:szCs w:val="24"/>
                <w:lang w:eastAsia="zh-CN"/>
              </w:rPr>
              <w:t>；</w:t>
            </w:r>
          </w:p>
          <w:p w14:paraId="556A448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（4）《污染影响类建设项目综合重大变动清单（试行）》（环办环评函</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2020</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688号）。</w:t>
            </w:r>
          </w:p>
          <w:p w14:paraId="7D85AEC8">
            <w:pPr>
              <w:spacing w:line="360" w:lineRule="auto"/>
              <w:ind w:firstLine="482" w:firstLineChars="200"/>
              <w:rPr>
                <w:rFonts w:hint="default" w:ascii="Times New Roman" w:hAnsi="Times New Roman" w:cs="Times New Roman"/>
                <w:color w:val="000000" w:themeColor="text1"/>
                <w:kern w:val="0"/>
                <w:sz w:val="24"/>
                <w:szCs w:val="24"/>
              </w:rPr>
            </w:pPr>
            <w:r>
              <w:rPr>
                <w:rFonts w:hint="default" w:ascii="Times New Roman" w:hAnsi="Times New Roman" w:cs="Times New Roman"/>
                <w:b/>
                <w:color w:val="000000" w:themeColor="text1"/>
                <w:sz w:val="24"/>
                <w:szCs w:val="24"/>
              </w:rPr>
              <w:t>3、建设项目环境影响报告表及其审批部门审批决定</w:t>
            </w:r>
          </w:p>
          <w:p w14:paraId="711612A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（1）昆明煤炭设计研究院编制的《腾冲市“顺颐府”住宅建设项目（一期）环境影响报告表》；</w:t>
            </w:r>
          </w:p>
          <w:p w14:paraId="5F6D5A8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《腾冲市“顺颐府”住宅建设项目（一期）环境影响报告表》的行政许可决定书（腾环准〔201</w:t>
            </w:r>
            <w:r>
              <w:rPr>
                <w:rFonts w:hint="default"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eastAsia="zh-CN"/>
              </w:rPr>
              <w:t>21</w:t>
            </w:r>
            <w:r>
              <w:rPr>
                <w:rFonts w:hint="default" w:ascii="Times New Roman" w:hAnsi="Times New Roman" w:cs="Times New Roman"/>
                <w:color w:val="000000" w:themeColor="text1"/>
                <w:sz w:val="24"/>
                <w:szCs w:val="24"/>
              </w:rPr>
              <w:t>号）。</w:t>
            </w:r>
          </w:p>
          <w:p w14:paraId="2996B78D">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4、其他相关文件</w:t>
            </w:r>
          </w:p>
          <w:p w14:paraId="7287E50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highlight w:val="none"/>
              </w:rPr>
              <w:t>（1）</w:t>
            </w:r>
            <w:r>
              <w:rPr>
                <w:rFonts w:hint="default" w:ascii="Times New Roman" w:hAnsi="Times New Roman" w:cs="Times New Roman"/>
                <w:bCs/>
                <w:color w:val="000000" w:themeColor="text1"/>
                <w:kern w:val="1"/>
                <w:sz w:val="24"/>
                <w:szCs w:val="24"/>
                <w:highlight w:val="none"/>
                <w:lang w:val="en-US" w:eastAsia="zh-CN"/>
              </w:rPr>
              <w:t>云南速测环境科技有限公司</w:t>
            </w:r>
            <w:r>
              <w:rPr>
                <w:rFonts w:hint="default" w:ascii="Times New Roman" w:hAnsi="Times New Roman" w:cs="Times New Roman"/>
                <w:bCs/>
                <w:color w:val="000000" w:themeColor="text1"/>
                <w:kern w:val="1"/>
                <w:sz w:val="24"/>
                <w:szCs w:val="24"/>
                <w:highlight w:val="none"/>
              </w:rPr>
              <w:t>的监测报告（</w:t>
            </w:r>
            <w:r>
              <w:rPr>
                <w:rFonts w:hint="eastAsia" w:ascii="Times New Roman" w:hAnsi="Times New Roman" w:cs="Times New Roman"/>
                <w:bCs/>
                <w:color w:val="000000" w:themeColor="text1"/>
                <w:kern w:val="1"/>
                <w:sz w:val="24"/>
                <w:szCs w:val="24"/>
                <w:highlight w:val="none"/>
                <w:lang w:val="en-US" w:eastAsia="zh-CN"/>
              </w:rPr>
              <w:t>SCKJ25030502</w:t>
            </w:r>
            <w:r>
              <w:rPr>
                <w:rFonts w:hint="default" w:ascii="Times New Roman" w:hAnsi="Times New Roman" w:cs="Times New Roman"/>
                <w:bCs/>
                <w:color w:val="000000" w:themeColor="text1"/>
                <w:kern w:val="1"/>
                <w:sz w:val="24"/>
                <w:szCs w:val="24"/>
                <w:highlight w:val="none"/>
              </w:rPr>
              <w:t>）</w:t>
            </w:r>
            <w:r>
              <w:rPr>
                <w:rFonts w:hint="default" w:ascii="Times New Roman" w:hAnsi="Times New Roman" w:cs="Times New Roman"/>
                <w:color w:val="000000" w:themeColor="text1"/>
                <w:sz w:val="24"/>
                <w:szCs w:val="24"/>
              </w:rPr>
              <w:t>；</w:t>
            </w:r>
          </w:p>
          <w:p w14:paraId="084391B1">
            <w:pPr>
              <w:spacing w:line="360" w:lineRule="auto"/>
              <w:ind w:firstLine="480" w:firstLineChars="200"/>
              <w:rPr>
                <w:rFonts w:hint="default" w:ascii="Times New Roman" w:hAnsi="Times New Roman" w:cs="Times New Roman"/>
                <w:color w:val="000000" w:themeColor="text1"/>
                <w:sz w:val="24"/>
                <w:szCs w:val="24"/>
              </w:rPr>
            </w:pPr>
            <w:bookmarkStart w:id="12" w:name="_Toc523581227"/>
            <w:bookmarkStart w:id="13" w:name="_Toc523449436"/>
            <w:bookmarkStart w:id="14" w:name="_Toc530085258"/>
            <w:r>
              <w:rPr>
                <w:rFonts w:hint="default" w:ascii="Times New Roman" w:hAnsi="Times New Roman" w:cs="Times New Roman"/>
                <w:color w:val="000000" w:themeColor="text1"/>
                <w:sz w:val="24"/>
                <w:szCs w:val="24"/>
              </w:rPr>
              <w:t>（2）</w:t>
            </w:r>
            <w:r>
              <w:rPr>
                <w:rFonts w:hint="eastAsia"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的其他资料。</w:t>
            </w:r>
            <w:bookmarkEnd w:id="12"/>
            <w:bookmarkEnd w:id="13"/>
            <w:bookmarkEnd w:id="14"/>
          </w:p>
          <w:p w14:paraId="0D59E840">
            <w:pPr>
              <w:pStyle w:val="48"/>
              <w:rPr>
                <w:rFonts w:hint="default" w:ascii="Times New Roman" w:hAnsi="Times New Roman" w:cs="Times New Roman"/>
                <w:color w:val="000000" w:themeColor="text1"/>
                <w:sz w:val="24"/>
                <w:szCs w:val="24"/>
              </w:rPr>
            </w:pPr>
          </w:p>
          <w:p w14:paraId="5929C796">
            <w:pPr>
              <w:rPr>
                <w:rFonts w:hint="default" w:ascii="Times New Roman" w:hAnsi="Times New Roman" w:cs="Times New Roman"/>
                <w:color w:val="000000" w:themeColor="text1"/>
                <w:sz w:val="24"/>
                <w:szCs w:val="24"/>
              </w:rPr>
            </w:pPr>
          </w:p>
          <w:p w14:paraId="6161C481">
            <w:pPr>
              <w:pStyle w:val="48"/>
              <w:rPr>
                <w:rFonts w:hint="default" w:ascii="Times New Roman" w:hAnsi="Times New Roman" w:cs="Times New Roman"/>
                <w:color w:val="000000" w:themeColor="text1"/>
                <w:sz w:val="24"/>
                <w:szCs w:val="24"/>
              </w:rPr>
            </w:pPr>
          </w:p>
          <w:p w14:paraId="6C1A4005">
            <w:pPr>
              <w:rPr>
                <w:rFonts w:hint="default" w:ascii="Times New Roman" w:hAnsi="Times New Roman" w:cs="Times New Roman"/>
                <w:color w:val="000000" w:themeColor="text1"/>
                <w:sz w:val="24"/>
                <w:szCs w:val="24"/>
              </w:rPr>
            </w:pPr>
          </w:p>
          <w:p w14:paraId="252F5DF5">
            <w:pPr>
              <w:pStyle w:val="48"/>
              <w:rPr>
                <w:rFonts w:hint="default" w:ascii="Times New Roman" w:hAnsi="Times New Roman" w:cs="Times New Roman"/>
                <w:color w:val="000000" w:themeColor="text1"/>
                <w:sz w:val="24"/>
                <w:szCs w:val="24"/>
              </w:rPr>
            </w:pPr>
          </w:p>
          <w:p w14:paraId="5CFDDB02">
            <w:pPr>
              <w:rPr>
                <w:rFonts w:hint="default" w:ascii="Times New Roman" w:hAnsi="Times New Roman" w:cs="Times New Roman"/>
                <w:color w:val="000000" w:themeColor="text1"/>
                <w:sz w:val="24"/>
                <w:szCs w:val="24"/>
              </w:rPr>
            </w:pPr>
          </w:p>
          <w:p w14:paraId="31FF23E3">
            <w:pPr>
              <w:pStyle w:val="48"/>
              <w:rPr>
                <w:rFonts w:hint="default" w:ascii="Times New Roman" w:hAnsi="Times New Roman" w:cs="Times New Roman"/>
                <w:color w:val="000000" w:themeColor="text1"/>
                <w:sz w:val="24"/>
                <w:szCs w:val="24"/>
              </w:rPr>
            </w:pPr>
          </w:p>
          <w:p w14:paraId="1B82B7F0">
            <w:pPr>
              <w:rPr>
                <w:rFonts w:hint="default" w:ascii="Times New Roman" w:hAnsi="Times New Roman" w:cs="Times New Roman"/>
                <w:color w:val="000000" w:themeColor="text1"/>
                <w:sz w:val="24"/>
                <w:szCs w:val="24"/>
              </w:rPr>
            </w:pPr>
          </w:p>
          <w:p w14:paraId="30C60210">
            <w:pPr>
              <w:pStyle w:val="48"/>
              <w:rPr>
                <w:rFonts w:hint="default"/>
                <w:color w:val="000000" w:themeColor="text1"/>
              </w:rPr>
            </w:pPr>
          </w:p>
        </w:tc>
      </w:tr>
      <w:tr w14:paraId="24E0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9" w:hRule="atLeast"/>
          <w:jc w:val="center"/>
        </w:trPr>
        <w:tc>
          <w:tcPr>
            <w:tcW w:w="1675" w:type="dxa"/>
            <w:vAlign w:val="center"/>
          </w:tcPr>
          <w:p w14:paraId="725F33A6">
            <w:pPr>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验收监测评价标准、标号、级别、限值</w:t>
            </w:r>
          </w:p>
        </w:tc>
        <w:tc>
          <w:tcPr>
            <w:tcW w:w="7578" w:type="dxa"/>
            <w:gridSpan w:val="5"/>
            <w:vAlign w:val="center"/>
          </w:tcPr>
          <w:p w14:paraId="163501D3">
            <w:pPr>
              <w:spacing w:line="360" w:lineRule="auto"/>
              <w:ind w:firstLine="480" w:firstLineChars="200"/>
              <w:rPr>
                <w:rFonts w:hint="default" w:ascii="Times New Roman" w:hAnsi="Times New Roman" w:cs="Times New Roman"/>
                <w:b/>
                <w:color w:val="000000" w:themeColor="text1"/>
                <w:sz w:val="24"/>
              </w:rPr>
            </w:pPr>
            <w:r>
              <w:rPr>
                <w:rFonts w:hint="default" w:ascii="Times New Roman" w:hAnsi="Times New Roman" w:cs="Times New Roman"/>
                <w:color w:val="000000" w:themeColor="text1"/>
                <w:sz w:val="24"/>
                <w:szCs w:val="24"/>
              </w:rPr>
              <w:t>根据</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环境保护部文件（生态环境部〔201</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〕9号）关于发布《建设项目竣工环境保护验收技术指南 污染影响类》的规定，验收执行标准原则上采用建设项目环境影响评价阶段环境保护部门确认的环境保护标准，对已修订新颁布的环境保护标准应提出验收后按新标准进行达标考核的建议，参照本项目环境影响评价报告表中的评价适用标准，以及项目进行环评后国家已修订颁布的标准，本项目验收执行标准如下：</w:t>
            </w:r>
          </w:p>
          <w:p w14:paraId="0C9F9547">
            <w:pPr>
              <w:spacing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1、水污染物</w:t>
            </w:r>
          </w:p>
          <w:p w14:paraId="022A2E20">
            <w:pPr>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rPr>
              <w:t>由于项目位于观音塘和上马常水源地准保护区，根据</w:t>
            </w:r>
            <w:r>
              <w:rPr>
                <w:rFonts w:hint="default" w:ascii="Times New Roman" w:hAnsi="Times New Roman" w:cs="Times New Roman"/>
                <w:color w:val="000000" w:themeColor="text1"/>
                <w:sz w:val="24"/>
              </w:rPr>
              <w:t>《腾冲县人民政府办公室关于印发腾冲县城市饮用水源保护管理规定（试行）的通知》（腾政办发﹝2011﹞87号）第十一条“项目单位必须建设中水处理系统，处理后中水直接排入城市排污管网，严禁回用。”</w:t>
            </w:r>
          </w:p>
          <w:p w14:paraId="4B1CD82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本项目运营期产生的综合污水先经防渗化粪池进行处理后，再通过</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水处理站进行处理达到《城市污水再生利用 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后，排入市政污水管网，最终进入腾冲市污水处理厂。由于该标准无化学需氧量（COD）、悬浮物（SS）、动植物油、石油类、总氮（以N计）、总磷（以P计）的排放浓度限值，化学需氧量（COD）、悬浮物（SS）、动植物油、石油类、总氮（以N计）、总磷（以P计）的排放浓度标准值参照《城镇污水处理厂污染物排放标准》（GB18918-2002）一级A标准。具体标准限值见表1-1、表1-2。</w:t>
            </w:r>
          </w:p>
          <w:p w14:paraId="263B9F1A">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表1-1 城市污水再生利用 城市杂用水水质标准  单位：mg/L</w:t>
            </w:r>
          </w:p>
          <w:tbl>
            <w:tblPr>
              <w:tblStyle w:val="39"/>
              <w:tblW w:w="49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70"/>
              <w:gridCol w:w="3535"/>
              <w:gridCol w:w="2857"/>
            </w:tblGrid>
            <w:tr w14:paraId="4B5F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4" w:hRule="atLeast"/>
                <w:jc w:val="center"/>
              </w:trPr>
              <w:tc>
                <w:tcPr>
                  <w:tcW w:w="599" w:type="pct"/>
                  <w:tcMar>
                    <w:top w:w="0" w:type="dxa"/>
                    <w:left w:w="108" w:type="dxa"/>
                    <w:bottom w:w="0" w:type="dxa"/>
                    <w:right w:w="108" w:type="dxa"/>
                  </w:tcMar>
                  <w:vAlign w:val="center"/>
                </w:tcPr>
                <w:p w14:paraId="2C483602">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序  号</w:t>
                  </w:r>
                </w:p>
              </w:tc>
              <w:tc>
                <w:tcPr>
                  <w:tcW w:w="2434" w:type="pct"/>
                  <w:tcMar>
                    <w:top w:w="0" w:type="dxa"/>
                    <w:left w:w="108" w:type="dxa"/>
                    <w:bottom w:w="0" w:type="dxa"/>
                    <w:right w:w="108" w:type="dxa"/>
                  </w:tcMar>
                  <w:vAlign w:val="center"/>
                </w:tcPr>
                <w:p w14:paraId="22115AAB">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项 目</w:t>
                  </w:r>
                </w:p>
              </w:tc>
              <w:tc>
                <w:tcPr>
                  <w:tcW w:w="1966" w:type="pct"/>
                  <w:tcMar>
                    <w:top w:w="0" w:type="dxa"/>
                    <w:left w:w="108" w:type="dxa"/>
                    <w:bottom w:w="0" w:type="dxa"/>
                    <w:right w:w="108" w:type="dxa"/>
                  </w:tcMar>
                  <w:vAlign w:val="center"/>
                </w:tcPr>
                <w:p w14:paraId="4783CEB3">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限值</w:t>
                  </w:r>
                </w:p>
              </w:tc>
            </w:tr>
            <w:tr w14:paraId="1317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64E4CB0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w:t>
                  </w:r>
                </w:p>
              </w:tc>
              <w:tc>
                <w:tcPr>
                  <w:tcW w:w="2434" w:type="pct"/>
                  <w:tcMar>
                    <w:top w:w="0" w:type="dxa"/>
                    <w:left w:w="108" w:type="dxa"/>
                    <w:bottom w:w="0" w:type="dxa"/>
                    <w:right w:w="108" w:type="dxa"/>
                  </w:tcMar>
                  <w:vAlign w:val="center"/>
                </w:tcPr>
                <w:p w14:paraId="1837E49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pH</w:t>
                  </w:r>
                </w:p>
              </w:tc>
              <w:tc>
                <w:tcPr>
                  <w:tcW w:w="1966" w:type="pct"/>
                  <w:tcMar>
                    <w:top w:w="0" w:type="dxa"/>
                    <w:left w:w="108" w:type="dxa"/>
                    <w:bottom w:w="0" w:type="dxa"/>
                    <w:right w:w="108" w:type="dxa"/>
                  </w:tcMar>
                  <w:vAlign w:val="center"/>
                </w:tcPr>
                <w:p w14:paraId="4960A4C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6～9</w:t>
                  </w:r>
                </w:p>
              </w:tc>
            </w:tr>
            <w:tr w14:paraId="6D976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20B84ED0">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2</w:t>
                  </w:r>
                </w:p>
              </w:tc>
              <w:tc>
                <w:tcPr>
                  <w:tcW w:w="2434" w:type="pct"/>
                  <w:tcMar>
                    <w:top w:w="0" w:type="dxa"/>
                    <w:left w:w="108" w:type="dxa"/>
                    <w:bottom w:w="0" w:type="dxa"/>
                    <w:right w:w="108" w:type="dxa"/>
                  </w:tcMar>
                  <w:vAlign w:val="center"/>
                </w:tcPr>
                <w:p w14:paraId="7229B252">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色</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度</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2AC1D138">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30</w:t>
                  </w:r>
                </w:p>
              </w:tc>
            </w:tr>
            <w:tr w14:paraId="0BEE5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jc w:val="center"/>
              </w:trPr>
              <w:tc>
                <w:tcPr>
                  <w:tcW w:w="599" w:type="pct"/>
                  <w:tcMar>
                    <w:top w:w="0" w:type="dxa"/>
                    <w:left w:w="108" w:type="dxa"/>
                    <w:bottom w:w="0" w:type="dxa"/>
                    <w:right w:w="108" w:type="dxa"/>
                  </w:tcMar>
                  <w:vAlign w:val="center"/>
                </w:tcPr>
                <w:p w14:paraId="32EFB0D7">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3</w:t>
                  </w:r>
                </w:p>
              </w:tc>
              <w:tc>
                <w:tcPr>
                  <w:tcW w:w="2434" w:type="pct"/>
                  <w:tcMar>
                    <w:top w:w="0" w:type="dxa"/>
                    <w:left w:w="108" w:type="dxa"/>
                    <w:bottom w:w="0" w:type="dxa"/>
                    <w:right w:w="108" w:type="dxa"/>
                  </w:tcMar>
                  <w:vAlign w:val="center"/>
                </w:tcPr>
                <w:p w14:paraId="547B1611">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嗅</w:t>
                  </w:r>
                </w:p>
              </w:tc>
              <w:tc>
                <w:tcPr>
                  <w:tcW w:w="1966" w:type="pct"/>
                  <w:tcMar>
                    <w:top w:w="0" w:type="dxa"/>
                    <w:left w:w="108" w:type="dxa"/>
                    <w:bottom w:w="0" w:type="dxa"/>
                    <w:right w:w="108" w:type="dxa"/>
                  </w:tcMar>
                  <w:vAlign w:val="center"/>
                </w:tcPr>
                <w:p w14:paraId="6E25AB19">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无不快感</w:t>
                  </w:r>
                </w:p>
              </w:tc>
            </w:tr>
            <w:tr w14:paraId="25275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jc w:val="center"/>
              </w:trPr>
              <w:tc>
                <w:tcPr>
                  <w:tcW w:w="599" w:type="pct"/>
                  <w:tcMar>
                    <w:top w:w="0" w:type="dxa"/>
                    <w:left w:w="108" w:type="dxa"/>
                    <w:bottom w:w="0" w:type="dxa"/>
                    <w:right w:w="108" w:type="dxa"/>
                  </w:tcMar>
                  <w:vAlign w:val="center"/>
                </w:tcPr>
                <w:p w14:paraId="5F4D5517">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4</w:t>
                  </w:r>
                </w:p>
              </w:tc>
              <w:tc>
                <w:tcPr>
                  <w:tcW w:w="2434" w:type="pct"/>
                  <w:tcMar>
                    <w:top w:w="0" w:type="dxa"/>
                    <w:left w:w="108" w:type="dxa"/>
                    <w:bottom w:w="0" w:type="dxa"/>
                    <w:right w:w="108" w:type="dxa"/>
                  </w:tcMar>
                  <w:vAlign w:val="center"/>
                </w:tcPr>
                <w:p w14:paraId="46C4849D">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浊度</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NTU</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1B23D919">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10</w:t>
                  </w:r>
                </w:p>
              </w:tc>
            </w:tr>
            <w:tr w14:paraId="65A3A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25BCF71A">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5</w:t>
                  </w:r>
                </w:p>
              </w:tc>
              <w:tc>
                <w:tcPr>
                  <w:tcW w:w="2434" w:type="pct"/>
                  <w:tcMar>
                    <w:top w:w="0" w:type="dxa"/>
                    <w:left w:w="108" w:type="dxa"/>
                    <w:bottom w:w="0" w:type="dxa"/>
                    <w:right w:w="108" w:type="dxa"/>
                  </w:tcMar>
                  <w:vAlign w:val="center"/>
                </w:tcPr>
                <w:p w14:paraId="5DA7B633">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五日生化需氧量</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BOD</w:t>
                  </w:r>
                  <w:r>
                    <w:rPr>
                      <w:rFonts w:hint="default" w:ascii="Times New Roman" w:hAnsi="Times New Roman" w:cs="Times New Roman"/>
                      <w:color w:val="000000" w:themeColor="text1"/>
                      <w:spacing w:val="1"/>
                      <w:sz w:val="21"/>
                      <w:szCs w:val="21"/>
                      <w:vertAlign w:val="subscript"/>
                    </w:rPr>
                    <w:t>5</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11EEB85C">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pacing w:val="1"/>
                      <w:sz w:val="21"/>
                      <w:szCs w:val="21"/>
                      <w:lang w:val="en-US" w:eastAsia="zh-CN"/>
                    </w:rPr>
                    <w:t>10</w:t>
                  </w:r>
                </w:p>
              </w:tc>
            </w:tr>
            <w:tr w14:paraId="16E9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599" w:type="pct"/>
                  <w:tcMar>
                    <w:top w:w="0" w:type="dxa"/>
                    <w:left w:w="108" w:type="dxa"/>
                    <w:bottom w:w="0" w:type="dxa"/>
                    <w:right w:w="108" w:type="dxa"/>
                  </w:tcMar>
                  <w:vAlign w:val="center"/>
                </w:tcPr>
                <w:p w14:paraId="192BF617">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6</w:t>
                  </w:r>
                </w:p>
              </w:tc>
              <w:tc>
                <w:tcPr>
                  <w:tcW w:w="2434" w:type="pct"/>
                  <w:tcMar>
                    <w:top w:w="0" w:type="dxa"/>
                    <w:left w:w="108" w:type="dxa"/>
                    <w:bottom w:w="0" w:type="dxa"/>
                    <w:right w:w="108" w:type="dxa"/>
                  </w:tcMar>
                  <w:vAlign w:val="center"/>
                </w:tcPr>
                <w:p w14:paraId="45943E4A">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氨氮</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7DCF3A71">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lang w:val="en-US" w:eastAsia="zh-CN"/>
                    </w:rPr>
                    <w:t>8</w:t>
                  </w:r>
                </w:p>
              </w:tc>
            </w:tr>
            <w:tr w14:paraId="35E3E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599" w:type="pct"/>
                  <w:tcMar>
                    <w:top w:w="0" w:type="dxa"/>
                    <w:left w:w="108" w:type="dxa"/>
                    <w:bottom w:w="0" w:type="dxa"/>
                    <w:right w:w="108" w:type="dxa"/>
                  </w:tcMar>
                  <w:vAlign w:val="center"/>
                </w:tcPr>
                <w:p w14:paraId="43962F81">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7</w:t>
                  </w:r>
                </w:p>
              </w:tc>
              <w:tc>
                <w:tcPr>
                  <w:tcW w:w="2434" w:type="pct"/>
                  <w:tcMar>
                    <w:top w:w="0" w:type="dxa"/>
                    <w:left w:w="108" w:type="dxa"/>
                    <w:bottom w:w="0" w:type="dxa"/>
                    <w:right w:w="108" w:type="dxa"/>
                  </w:tcMar>
                  <w:vAlign w:val="center"/>
                </w:tcPr>
                <w:p w14:paraId="5A9A8456">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阴离子表面活性剂</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06818C6D">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lang w:val="en-US" w:eastAsia="zh-CN"/>
                    </w:rPr>
                    <w:t>0.5</w:t>
                  </w:r>
                </w:p>
              </w:tc>
            </w:tr>
            <w:tr w14:paraId="7CF2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68B752FE">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8</w:t>
                  </w:r>
                </w:p>
              </w:tc>
              <w:tc>
                <w:tcPr>
                  <w:tcW w:w="2434" w:type="pct"/>
                  <w:tcMar>
                    <w:top w:w="0" w:type="dxa"/>
                    <w:left w:w="108" w:type="dxa"/>
                    <w:bottom w:w="0" w:type="dxa"/>
                    <w:right w:w="108" w:type="dxa"/>
                  </w:tcMar>
                  <w:vAlign w:val="center"/>
                </w:tcPr>
                <w:p w14:paraId="037190EB">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溶解性总固体</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31CCA5E9">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1000</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lang w:val="en-US" w:eastAsia="zh-CN"/>
                    </w:rPr>
                    <w:t>2000</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vertAlign w:val="superscript"/>
                      <w:lang w:val="en-US" w:eastAsia="zh-CN"/>
                    </w:rPr>
                    <w:t>a</w:t>
                  </w:r>
                </w:p>
              </w:tc>
            </w:tr>
            <w:tr w14:paraId="09052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7AAE426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9</w:t>
                  </w:r>
                </w:p>
              </w:tc>
              <w:tc>
                <w:tcPr>
                  <w:tcW w:w="2434" w:type="pct"/>
                  <w:tcMar>
                    <w:top w:w="0" w:type="dxa"/>
                    <w:left w:w="108" w:type="dxa"/>
                    <w:bottom w:w="0" w:type="dxa"/>
                    <w:right w:w="108" w:type="dxa"/>
                  </w:tcMar>
                  <w:vAlign w:val="center"/>
                </w:tcPr>
                <w:p w14:paraId="03954CB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溶解氧</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471CFD20">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pacing w:val="1"/>
                      <w:sz w:val="21"/>
                      <w:szCs w:val="21"/>
                      <w:lang w:val="en-US" w:eastAsia="zh-CN"/>
                    </w:rPr>
                    <w:t>2.0</w:t>
                  </w:r>
                </w:p>
              </w:tc>
            </w:tr>
            <w:tr w14:paraId="0A27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jc w:val="center"/>
              </w:trPr>
              <w:tc>
                <w:tcPr>
                  <w:tcW w:w="599" w:type="pct"/>
                  <w:tcMar>
                    <w:top w:w="0" w:type="dxa"/>
                    <w:left w:w="108" w:type="dxa"/>
                    <w:bottom w:w="0" w:type="dxa"/>
                    <w:right w:w="108" w:type="dxa"/>
                  </w:tcMar>
                  <w:vAlign w:val="center"/>
                </w:tcPr>
                <w:p w14:paraId="01D1503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10</w:t>
                  </w:r>
                </w:p>
              </w:tc>
              <w:tc>
                <w:tcPr>
                  <w:tcW w:w="2434" w:type="pct"/>
                  <w:tcMar>
                    <w:top w:w="0" w:type="dxa"/>
                    <w:left w:w="108" w:type="dxa"/>
                    <w:bottom w:w="0" w:type="dxa"/>
                    <w:right w:w="108" w:type="dxa"/>
                  </w:tcMar>
                  <w:vAlign w:val="center"/>
                </w:tcPr>
                <w:p w14:paraId="6FD139EC">
                  <w:pPr>
                    <w:spacing w:line="240" w:lineRule="auto"/>
                    <w:jc w:val="center"/>
                    <w:rPr>
                      <w:rFonts w:hint="default" w:ascii="Times New Roman" w:hAnsi="Times New Roman" w:eastAsia="宋体" w:cs="Times New Roman"/>
                      <w:color w:val="000000" w:themeColor="text1"/>
                      <w:spacing w:val="1"/>
                      <w:kern w:val="2"/>
                      <w:sz w:val="21"/>
                      <w:szCs w:val="21"/>
                      <w:lang w:val="en-US" w:eastAsia="zh-CN" w:bidi="ar-SA"/>
                    </w:rPr>
                  </w:pPr>
                  <w:r>
                    <w:rPr>
                      <w:rFonts w:hint="default" w:ascii="Times New Roman" w:hAnsi="Times New Roman" w:cs="Times New Roman"/>
                      <w:color w:val="000000" w:themeColor="text1"/>
                      <w:spacing w:val="1"/>
                      <w:sz w:val="21"/>
                      <w:szCs w:val="21"/>
                    </w:rPr>
                    <w:t>总氯</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 xml:space="preserve"> ≥</w:t>
                  </w:r>
                </w:p>
              </w:tc>
              <w:tc>
                <w:tcPr>
                  <w:tcW w:w="1966" w:type="pct"/>
                  <w:tcMar>
                    <w:top w:w="0" w:type="dxa"/>
                    <w:left w:w="108" w:type="dxa"/>
                    <w:bottom w:w="0" w:type="dxa"/>
                    <w:right w:w="108" w:type="dxa"/>
                  </w:tcMar>
                  <w:vAlign w:val="center"/>
                </w:tcPr>
                <w:p w14:paraId="5BA0BB2E">
                  <w:pPr>
                    <w:spacing w:line="240" w:lineRule="auto"/>
                    <w:jc w:val="center"/>
                    <w:rPr>
                      <w:rFonts w:hint="default" w:ascii="Times New Roman" w:hAnsi="Times New Roman" w:eastAsia="宋体" w:cs="Times New Roman"/>
                      <w:color w:val="000000" w:themeColor="text1"/>
                      <w:spacing w:val="1"/>
                      <w:kern w:val="2"/>
                      <w:sz w:val="21"/>
                      <w:szCs w:val="21"/>
                      <w:lang w:val="en-US" w:eastAsia="zh-CN" w:bidi="ar-SA"/>
                    </w:rPr>
                  </w:pPr>
                  <w:r>
                    <w:rPr>
                      <w:rFonts w:hint="default" w:ascii="Times New Roman" w:hAnsi="Times New Roman" w:cs="Times New Roman"/>
                      <w:color w:val="000000" w:themeColor="text1"/>
                      <w:spacing w:val="1"/>
                      <w:sz w:val="21"/>
                      <w:szCs w:val="21"/>
                    </w:rPr>
                    <w:t>1.0</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lang w:val="en-US" w:eastAsia="zh-CN"/>
                    </w:rPr>
                    <w:t>出厂</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，0.2</w:t>
                  </w:r>
                  <w:r>
                    <w:rPr>
                      <w:rFonts w:hint="default" w:ascii="Times New Roman" w:hAnsi="Times New Roman" w:cs="Times New Roman"/>
                      <w:color w:val="000000" w:themeColor="text1"/>
                      <w:spacing w:val="1"/>
                      <w:sz w:val="21"/>
                      <w:szCs w:val="21"/>
                      <w:vertAlign w:val="superscript"/>
                      <w:lang w:val="en-US" w:eastAsia="zh-CN"/>
                    </w:rPr>
                    <w:t>b</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管网末端</w:t>
                  </w:r>
                  <w:r>
                    <w:rPr>
                      <w:rFonts w:hint="default" w:ascii="Times New Roman" w:hAnsi="Times New Roman" w:cs="Times New Roman"/>
                      <w:color w:val="000000" w:themeColor="text1"/>
                      <w:spacing w:val="1"/>
                      <w:sz w:val="21"/>
                      <w:szCs w:val="21"/>
                      <w:lang w:eastAsia="zh-CN"/>
                    </w:rPr>
                    <w:t>）</w:t>
                  </w:r>
                </w:p>
              </w:tc>
            </w:tr>
            <w:tr w14:paraId="1138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jc w:val="center"/>
              </w:trPr>
              <w:tc>
                <w:tcPr>
                  <w:tcW w:w="599" w:type="pct"/>
                  <w:tcMar>
                    <w:top w:w="0" w:type="dxa"/>
                    <w:left w:w="108" w:type="dxa"/>
                    <w:bottom w:w="0" w:type="dxa"/>
                    <w:right w:w="108" w:type="dxa"/>
                  </w:tcMar>
                  <w:vAlign w:val="center"/>
                </w:tcPr>
                <w:p w14:paraId="68F88420">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11</w:t>
                  </w:r>
                </w:p>
              </w:tc>
              <w:tc>
                <w:tcPr>
                  <w:tcW w:w="2434" w:type="pct"/>
                  <w:tcMar>
                    <w:top w:w="0" w:type="dxa"/>
                    <w:left w:w="108" w:type="dxa"/>
                    <w:bottom w:w="0" w:type="dxa"/>
                    <w:right w:w="108" w:type="dxa"/>
                  </w:tcMar>
                  <w:vAlign w:val="center"/>
                </w:tcPr>
                <w:p w14:paraId="623BC0D1">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大肠</w:t>
                  </w:r>
                  <w:r>
                    <w:rPr>
                      <w:rFonts w:hint="default" w:ascii="Times New Roman" w:hAnsi="Times New Roman" w:cs="Times New Roman"/>
                      <w:color w:val="000000" w:themeColor="text1"/>
                      <w:spacing w:val="1"/>
                      <w:sz w:val="21"/>
                      <w:szCs w:val="21"/>
                      <w:lang w:val="en-US" w:eastAsia="zh-CN"/>
                    </w:rPr>
                    <w:t>埃希氏</w:t>
                  </w:r>
                  <w:r>
                    <w:rPr>
                      <w:rFonts w:hint="default" w:ascii="Times New Roman" w:hAnsi="Times New Roman" w:cs="Times New Roman"/>
                      <w:color w:val="000000" w:themeColor="text1"/>
                      <w:spacing w:val="1"/>
                      <w:sz w:val="21"/>
                      <w:szCs w:val="21"/>
                    </w:rPr>
                    <w:t>菌</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lang w:val="en-US" w:eastAsia="zh-CN"/>
                    </w:rPr>
                    <w:t>MPN</w:t>
                  </w:r>
                  <w:r>
                    <w:rPr>
                      <w:rFonts w:hint="default" w:ascii="Times New Roman" w:hAnsi="Times New Roman" w:cs="Times New Roman"/>
                      <w:color w:val="000000" w:themeColor="text1"/>
                      <w:spacing w:val="1"/>
                      <w:sz w:val="21"/>
                      <w:szCs w:val="21"/>
                    </w:rPr>
                    <w:t>/</w:t>
                  </w:r>
                  <w:r>
                    <w:rPr>
                      <w:rFonts w:hint="default" w:ascii="Times New Roman" w:hAnsi="Times New Roman" w:cs="Times New Roman"/>
                      <w:color w:val="000000" w:themeColor="text1"/>
                      <w:spacing w:val="1"/>
                      <w:sz w:val="21"/>
                      <w:szCs w:val="21"/>
                      <w:lang w:val="en-US" w:eastAsia="zh-CN"/>
                    </w:rPr>
                    <w:t>100m</w:t>
                  </w:r>
                  <w:r>
                    <w:rPr>
                      <w:rFonts w:hint="default" w:ascii="Times New Roman" w:hAnsi="Times New Roman" w:cs="Times New Roman"/>
                      <w:color w:val="000000" w:themeColor="text1"/>
                      <w:spacing w:val="1"/>
                      <w:sz w:val="21"/>
                      <w:szCs w:val="21"/>
                    </w:rPr>
                    <w:t>L</w:t>
                  </w:r>
                  <w:r>
                    <w:rPr>
                      <w:rFonts w:hint="default" w:ascii="Times New Roman" w:hAnsi="Times New Roman" w:cs="Times New Roman"/>
                      <w:color w:val="000000" w:themeColor="text1"/>
                      <w:spacing w:val="1"/>
                      <w:sz w:val="21"/>
                      <w:szCs w:val="21"/>
                      <w:lang w:val="en-US" w:eastAsia="zh-CN"/>
                    </w:rPr>
                    <w:t>或CFU</w:t>
                  </w:r>
                  <w:r>
                    <w:rPr>
                      <w:rFonts w:hint="default" w:ascii="Times New Roman" w:hAnsi="Times New Roman" w:cs="Times New Roman"/>
                      <w:color w:val="000000" w:themeColor="text1"/>
                      <w:spacing w:val="1"/>
                      <w:sz w:val="21"/>
                      <w:szCs w:val="21"/>
                    </w:rPr>
                    <w:t>/</w:t>
                  </w:r>
                  <w:r>
                    <w:rPr>
                      <w:rFonts w:hint="default" w:ascii="Times New Roman" w:hAnsi="Times New Roman" w:cs="Times New Roman"/>
                      <w:color w:val="000000" w:themeColor="text1"/>
                      <w:spacing w:val="1"/>
                      <w:sz w:val="21"/>
                      <w:szCs w:val="21"/>
                      <w:lang w:val="en-US" w:eastAsia="zh-CN"/>
                    </w:rPr>
                    <w:t>100m</w:t>
                  </w:r>
                  <w:r>
                    <w:rPr>
                      <w:rFonts w:hint="default" w:ascii="Times New Roman" w:hAnsi="Times New Roman" w:cs="Times New Roman"/>
                      <w:color w:val="000000" w:themeColor="text1"/>
                      <w:spacing w:val="1"/>
                      <w:sz w:val="21"/>
                      <w:szCs w:val="21"/>
                    </w:rPr>
                    <w:t>L</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 xml:space="preserve"> </w:t>
                  </w:r>
                </w:p>
              </w:tc>
              <w:tc>
                <w:tcPr>
                  <w:tcW w:w="1966" w:type="pct"/>
                  <w:tcMar>
                    <w:top w:w="0" w:type="dxa"/>
                    <w:left w:w="108" w:type="dxa"/>
                    <w:bottom w:w="0" w:type="dxa"/>
                    <w:right w:w="108" w:type="dxa"/>
                  </w:tcMar>
                  <w:vAlign w:val="center"/>
                </w:tcPr>
                <w:p w14:paraId="7BC752A8">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lang w:val="en-US" w:eastAsia="zh-CN"/>
                    </w:rPr>
                    <w:t>无</w:t>
                  </w:r>
                  <w:r>
                    <w:rPr>
                      <w:rFonts w:hint="default" w:ascii="Times New Roman" w:hAnsi="Times New Roman" w:cs="Times New Roman"/>
                      <w:color w:val="000000" w:themeColor="text1"/>
                      <w:spacing w:val="1"/>
                      <w:sz w:val="21"/>
                      <w:szCs w:val="21"/>
                      <w:vertAlign w:val="superscript"/>
                      <w:lang w:val="en-US" w:eastAsia="zh-CN"/>
                    </w:rPr>
                    <w:t>c</w:t>
                  </w:r>
                </w:p>
              </w:tc>
            </w:tr>
            <w:tr w14:paraId="61D8B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5000" w:type="pct"/>
                  <w:gridSpan w:val="3"/>
                  <w:tcMar>
                    <w:top w:w="0" w:type="dxa"/>
                    <w:left w:w="108" w:type="dxa"/>
                    <w:bottom w:w="0" w:type="dxa"/>
                    <w:right w:w="108" w:type="dxa"/>
                  </w:tcMar>
                  <w:vAlign w:val="center"/>
                </w:tcPr>
                <w:p w14:paraId="00827FAC">
                  <w:pPr>
                    <w:spacing w:line="240" w:lineRule="auto"/>
                    <w:jc w:val="both"/>
                    <w:rPr>
                      <w:rFonts w:hint="default" w:ascii="Times New Roman" w:hAnsi="Times New Roman" w:cs="Times New Roman"/>
                      <w:color w:val="000000" w:themeColor="text1"/>
                      <w:spacing w:val="1"/>
                      <w:sz w:val="18"/>
                      <w:szCs w:val="18"/>
                      <w:lang w:val="en-US" w:eastAsia="zh-CN"/>
                    </w:rPr>
                  </w:pPr>
                  <w:r>
                    <w:rPr>
                      <w:rFonts w:hint="default" w:ascii="Times New Roman" w:hAnsi="Times New Roman" w:cs="Times New Roman"/>
                      <w:color w:val="000000" w:themeColor="text1"/>
                      <w:spacing w:val="1"/>
                      <w:sz w:val="18"/>
                      <w:szCs w:val="18"/>
                      <w:lang w:val="en-US" w:eastAsia="zh-CN"/>
                    </w:rPr>
                    <w:t>a 括号内指标值为沿海及本地水源中溶解性固体含量较高的区域的指标。</w:t>
                  </w:r>
                </w:p>
                <w:p w14:paraId="58121DA4">
                  <w:pPr>
                    <w:spacing w:line="240" w:lineRule="auto"/>
                    <w:jc w:val="both"/>
                    <w:rPr>
                      <w:rFonts w:hint="default" w:ascii="Times New Roman" w:hAnsi="Times New Roman" w:cs="Times New Roman"/>
                      <w:color w:val="000000" w:themeColor="text1"/>
                      <w:spacing w:val="1"/>
                      <w:sz w:val="18"/>
                      <w:szCs w:val="18"/>
                      <w:lang w:val="en-US" w:eastAsia="zh-CN"/>
                    </w:rPr>
                  </w:pPr>
                  <w:r>
                    <w:rPr>
                      <w:rFonts w:hint="default" w:ascii="Times New Roman" w:hAnsi="Times New Roman" w:cs="Times New Roman"/>
                      <w:color w:val="000000" w:themeColor="text1"/>
                      <w:spacing w:val="1"/>
                      <w:sz w:val="18"/>
                      <w:szCs w:val="18"/>
                      <w:lang w:val="en-US" w:eastAsia="zh-CN"/>
                    </w:rPr>
                    <w:t>b 用于城市绿化时，不应超过2.5mg/L。</w:t>
                  </w:r>
                </w:p>
                <w:p w14:paraId="0F91E019">
                  <w:pPr>
                    <w:spacing w:line="240" w:lineRule="auto"/>
                    <w:jc w:val="both"/>
                    <w:rPr>
                      <w:rFonts w:hint="default" w:ascii="Times New Roman" w:hAnsi="Times New Roman" w:cs="Times New Roman"/>
                      <w:color w:val="000000" w:themeColor="text1"/>
                      <w:spacing w:val="1"/>
                      <w:sz w:val="18"/>
                      <w:szCs w:val="18"/>
                      <w:lang w:val="en-US" w:eastAsia="zh-CN"/>
                    </w:rPr>
                  </w:pPr>
                  <w:r>
                    <w:rPr>
                      <w:rFonts w:hint="default" w:ascii="Times New Roman" w:hAnsi="Times New Roman" w:cs="Times New Roman"/>
                      <w:color w:val="000000" w:themeColor="text1"/>
                      <w:spacing w:val="1"/>
                      <w:sz w:val="18"/>
                      <w:szCs w:val="18"/>
                      <w:lang w:val="en-US" w:eastAsia="zh-CN"/>
                    </w:rPr>
                    <w:t>c 大肠埃希氏菌不应检出。</w:t>
                  </w:r>
                </w:p>
              </w:tc>
            </w:tr>
          </w:tbl>
          <w:p w14:paraId="2FF83576">
            <w:pPr>
              <w:spacing w:line="360" w:lineRule="auto"/>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 xml:space="preserve">表1-2 </w:t>
            </w:r>
            <w:r>
              <w:rPr>
                <w:rFonts w:hint="default" w:ascii="Times New Roman" w:hAnsi="Times New Roman" w:cs="Times New Roman"/>
                <w:b/>
                <w:color w:val="000000" w:themeColor="text1"/>
                <w:sz w:val="24"/>
              </w:rPr>
              <w:t>城镇污水处理厂污染物排放标准  单位：mg/L</w:t>
            </w:r>
          </w:p>
          <w:tbl>
            <w:tblPr>
              <w:tblStyle w:val="39"/>
              <w:tblW w:w="493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941"/>
              <w:gridCol w:w="2520"/>
              <w:gridCol w:w="3795"/>
            </w:tblGrid>
            <w:tr w14:paraId="77EFE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34" w:hRule="atLeast"/>
                <w:jc w:val="center"/>
              </w:trPr>
              <w:tc>
                <w:tcPr>
                  <w:tcW w:w="648" w:type="pct"/>
                  <w:tcMar>
                    <w:top w:w="0" w:type="dxa"/>
                    <w:left w:w="108" w:type="dxa"/>
                    <w:bottom w:w="0" w:type="dxa"/>
                    <w:right w:w="108" w:type="dxa"/>
                  </w:tcMar>
                  <w:vAlign w:val="center"/>
                </w:tcPr>
                <w:p w14:paraId="6F05EEC0">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序  号</w:t>
                  </w:r>
                </w:p>
              </w:tc>
              <w:tc>
                <w:tcPr>
                  <w:tcW w:w="1736" w:type="pct"/>
                  <w:tcMar>
                    <w:top w:w="0" w:type="dxa"/>
                    <w:left w:w="108" w:type="dxa"/>
                    <w:bottom w:w="0" w:type="dxa"/>
                    <w:right w:w="108" w:type="dxa"/>
                  </w:tcMar>
                  <w:vAlign w:val="center"/>
                </w:tcPr>
                <w:p w14:paraId="4EB21C20">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项 目</w:t>
                  </w:r>
                </w:p>
              </w:tc>
              <w:tc>
                <w:tcPr>
                  <w:tcW w:w="2615" w:type="pct"/>
                  <w:tcMar>
                    <w:top w:w="0" w:type="dxa"/>
                    <w:left w:w="108" w:type="dxa"/>
                    <w:bottom w:w="0" w:type="dxa"/>
                    <w:right w:w="108" w:type="dxa"/>
                  </w:tcMar>
                  <w:vAlign w:val="center"/>
                </w:tcPr>
                <w:p w14:paraId="40EFD97B">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（表1）一级标准A标准</w:t>
                  </w:r>
                </w:p>
              </w:tc>
            </w:tr>
            <w:tr w14:paraId="54EF2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5" w:hRule="atLeast"/>
                <w:jc w:val="center"/>
              </w:trPr>
              <w:tc>
                <w:tcPr>
                  <w:tcW w:w="648" w:type="pct"/>
                  <w:tcMar>
                    <w:top w:w="0" w:type="dxa"/>
                    <w:left w:w="108" w:type="dxa"/>
                    <w:bottom w:w="0" w:type="dxa"/>
                    <w:right w:w="108" w:type="dxa"/>
                  </w:tcMar>
                  <w:vAlign w:val="center"/>
                </w:tcPr>
                <w:p w14:paraId="3369B0E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w:t>
                  </w:r>
                </w:p>
              </w:tc>
              <w:tc>
                <w:tcPr>
                  <w:tcW w:w="1736" w:type="pct"/>
                  <w:tcMar>
                    <w:top w:w="0" w:type="dxa"/>
                    <w:left w:w="108" w:type="dxa"/>
                    <w:bottom w:w="0" w:type="dxa"/>
                    <w:right w:w="108" w:type="dxa"/>
                  </w:tcMar>
                  <w:vAlign w:val="center"/>
                </w:tcPr>
                <w:p w14:paraId="6F12326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化学需氧量（COD）</w:t>
                  </w:r>
                </w:p>
              </w:tc>
              <w:tc>
                <w:tcPr>
                  <w:tcW w:w="2615" w:type="pct"/>
                  <w:tcMar>
                    <w:top w:w="0" w:type="dxa"/>
                    <w:left w:w="108" w:type="dxa"/>
                    <w:bottom w:w="0" w:type="dxa"/>
                    <w:right w:w="108" w:type="dxa"/>
                  </w:tcMar>
                  <w:vAlign w:val="center"/>
                </w:tcPr>
                <w:p w14:paraId="3F6F33A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50</w:t>
                  </w:r>
                </w:p>
              </w:tc>
            </w:tr>
            <w:tr w14:paraId="68030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9" w:hRule="atLeast"/>
                <w:jc w:val="center"/>
              </w:trPr>
              <w:tc>
                <w:tcPr>
                  <w:tcW w:w="648" w:type="pct"/>
                  <w:tcMar>
                    <w:top w:w="0" w:type="dxa"/>
                    <w:left w:w="108" w:type="dxa"/>
                    <w:bottom w:w="0" w:type="dxa"/>
                    <w:right w:w="108" w:type="dxa"/>
                  </w:tcMar>
                  <w:vAlign w:val="center"/>
                </w:tcPr>
                <w:p w14:paraId="319B2471">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2</w:t>
                  </w:r>
                </w:p>
              </w:tc>
              <w:tc>
                <w:tcPr>
                  <w:tcW w:w="1736" w:type="pct"/>
                  <w:tcMar>
                    <w:top w:w="0" w:type="dxa"/>
                    <w:left w:w="108" w:type="dxa"/>
                    <w:bottom w:w="0" w:type="dxa"/>
                    <w:right w:w="108" w:type="dxa"/>
                  </w:tcMar>
                  <w:vAlign w:val="center"/>
                </w:tcPr>
                <w:p w14:paraId="04666217">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z w:val="21"/>
                      <w:szCs w:val="21"/>
                    </w:rPr>
                    <w:t>悬浮物（SS）</w:t>
                  </w:r>
                </w:p>
              </w:tc>
              <w:tc>
                <w:tcPr>
                  <w:tcW w:w="2615" w:type="pct"/>
                  <w:tcMar>
                    <w:top w:w="0" w:type="dxa"/>
                    <w:left w:w="108" w:type="dxa"/>
                    <w:bottom w:w="0" w:type="dxa"/>
                    <w:right w:w="108" w:type="dxa"/>
                  </w:tcMar>
                  <w:vAlign w:val="center"/>
                </w:tcPr>
                <w:p w14:paraId="1DB32680">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10</w:t>
                  </w:r>
                </w:p>
              </w:tc>
            </w:tr>
            <w:tr w14:paraId="08CFF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5" w:hRule="atLeast"/>
                <w:jc w:val="center"/>
              </w:trPr>
              <w:tc>
                <w:tcPr>
                  <w:tcW w:w="648" w:type="pct"/>
                  <w:tcMar>
                    <w:top w:w="0" w:type="dxa"/>
                    <w:left w:w="108" w:type="dxa"/>
                    <w:bottom w:w="0" w:type="dxa"/>
                    <w:right w:w="108" w:type="dxa"/>
                  </w:tcMar>
                  <w:vAlign w:val="center"/>
                </w:tcPr>
                <w:p w14:paraId="183AB87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3</w:t>
                  </w:r>
                </w:p>
              </w:tc>
              <w:tc>
                <w:tcPr>
                  <w:tcW w:w="1736" w:type="pct"/>
                  <w:tcMar>
                    <w:top w:w="0" w:type="dxa"/>
                    <w:left w:w="108" w:type="dxa"/>
                    <w:bottom w:w="0" w:type="dxa"/>
                    <w:right w:w="108" w:type="dxa"/>
                  </w:tcMar>
                  <w:vAlign w:val="center"/>
                </w:tcPr>
                <w:p w14:paraId="2AFEC0F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动植物油</w:t>
                  </w:r>
                </w:p>
              </w:tc>
              <w:tc>
                <w:tcPr>
                  <w:tcW w:w="2615" w:type="pct"/>
                  <w:tcMar>
                    <w:top w:w="0" w:type="dxa"/>
                    <w:left w:w="108" w:type="dxa"/>
                    <w:bottom w:w="0" w:type="dxa"/>
                    <w:right w:w="108" w:type="dxa"/>
                  </w:tcMar>
                  <w:vAlign w:val="center"/>
                </w:tcPr>
                <w:p w14:paraId="23BA001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w:t>
                  </w:r>
                </w:p>
              </w:tc>
            </w:tr>
            <w:tr w14:paraId="14939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0" w:hRule="atLeast"/>
                <w:jc w:val="center"/>
              </w:trPr>
              <w:tc>
                <w:tcPr>
                  <w:tcW w:w="648" w:type="pct"/>
                  <w:tcMar>
                    <w:top w:w="0" w:type="dxa"/>
                    <w:left w:w="108" w:type="dxa"/>
                    <w:bottom w:w="0" w:type="dxa"/>
                    <w:right w:w="108" w:type="dxa"/>
                  </w:tcMar>
                  <w:vAlign w:val="center"/>
                </w:tcPr>
                <w:p w14:paraId="2F48FEB4">
                  <w:pPr>
                    <w:spacing w:line="240" w:lineRule="auto"/>
                    <w:jc w:val="center"/>
                    <w:rPr>
                      <w:rFonts w:hint="eastAsia" w:ascii="Times New Roman" w:hAnsi="Times New Roman" w:eastAsia="宋体" w:cs="Times New Roman"/>
                      <w:color w:val="000000" w:themeColor="text1"/>
                      <w:spacing w:val="1"/>
                      <w:sz w:val="21"/>
                      <w:szCs w:val="21"/>
                      <w:lang w:val="en-US" w:eastAsia="zh-CN"/>
                    </w:rPr>
                  </w:pPr>
                  <w:r>
                    <w:rPr>
                      <w:rFonts w:hint="eastAsia" w:ascii="Times New Roman" w:hAnsi="Times New Roman" w:cs="Times New Roman"/>
                      <w:color w:val="000000" w:themeColor="text1"/>
                      <w:spacing w:val="1"/>
                      <w:sz w:val="21"/>
                      <w:szCs w:val="21"/>
                      <w:lang w:val="en-US" w:eastAsia="zh-CN"/>
                    </w:rPr>
                    <w:t>4</w:t>
                  </w:r>
                </w:p>
              </w:tc>
              <w:tc>
                <w:tcPr>
                  <w:tcW w:w="1736" w:type="pct"/>
                  <w:tcMar>
                    <w:top w:w="0" w:type="dxa"/>
                    <w:left w:w="108" w:type="dxa"/>
                    <w:bottom w:w="0" w:type="dxa"/>
                    <w:right w:w="108" w:type="dxa"/>
                  </w:tcMar>
                  <w:vAlign w:val="center"/>
                </w:tcPr>
                <w:p w14:paraId="4E50D001">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石油类</w:t>
                  </w:r>
                </w:p>
              </w:tc>
              <w:tc>
                <w:tcPr>
                  <w:tcW w:w="2615" w:type="pct"/>
                  <w:tcMar>
                    <w:top w:w="0" w:type="dxa"/>
                    <w:left w:w="108" w:type="dxa"/>
                    <w:bottom w:w="0" w:type="dxa"/>
                    <w:right w:w="108" w:type="dxa"/>
                  </w:tcMar>
                  <w:vAlign w:val="center"/>
                </w:tcPr>
                <w:p w14:paraId="0BE4B835">
                  <w:pPr>
                    <w:spacing w:line="240" w:lineRule="auto"/>
                    <w:jc w:val="center"/>
                    <w:rPr>
                      <w:rFonts w:hint="eastAsia" w:ascii="Times New Roman" w:hAnsi="Times New Roman" w:eastAsia="宋体" w:cs="Times New Roman"/>
                      <w:color w:val="000000" w:themeColor="text1"/>
                      <w:spacing w:val="1"/>
                      <w:sz w:val="21"/>
                      <w:szCs w:val="21"/>
                      <w:lang w:val="en-US" w:eastAsia="zh-CN"/>
                    </w:rPr>
                  </w:pPr>
                  <w:r>
                    <w:rPr>
                      <w:rFonts w:hint="eastAsia" w:ascii="Times New Roman" w:hAnsi="Times New Roman" w:cs="Times New Roman"/>
                      <w:color w:val="000000" w:themeColor="text1"/>
                      <w:spacing w:val="1"/>
                      <w:sz w:val="21"/>
                      <w:szCs w:val="21"/>
                      <w:lang w:val="en-US" w:eastAsia="zh-CN"/>
                    </w:rPr>
                    <w:t>1</w:t>
                  </w:r>
                </w:p>
              </w:tc>
            </w:tr>
            <w:tr w14:paraId="728D5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3" w:hRule="atLeast"/>
                <w:jc w:val="center"/>
              </w:trPr>
              <w:tc>
                <w:tcPr>
                  <w:tcW w:w="648" w:type="pct"/>
                  <w:tcBorders>
                    <w:bottom w:val="single" w:color="auto" w:sz="4" w:space="0"/>
                  </w:tcBorders>
                  <w:tcMar>
                    <w:top w:w="0" w:type="dxa"/>
                    <w:left w:w="108" w:type="dxa"/>
                    <w:bottom w:w="0" w:type="dxa"/>
                    <w:right w:w="108" w:type="dxa"/>
                  </w:tcMar>
                  <w:vAlign w:val="center"/>
                </w:tcPr>
                <w:p w14:paraId="4BF20DF5">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5</w:t>
                  </w:r>
                </w:p>
              </w:tc>
              <w:tc>
                <w:tcPr>
                  <w:tcW w:w="1736" w:type="pct"/>
                  <w:tcBorders>
                    <w:bottom w:val="single" w:color="auto" w:sz="4" w:space="0"/>
                  </w:tcBorders>
                  <w:tcMar>
                    <w:top w:w="0" w:type="dxa"/>
                    <w:left w:w="108" w:type="dxa"/>
                    <w:bottom w:w="0" w:type="dxa"/>
                    <w:right w:w="108" w:type="dxa"/>
                  </w:tcMar>
                  <w:vAlign w:val="center"/>
                </w:tcPr>
                <w:p w14:paraId="55DD7CC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总氮（以N计）</w:t>
                  </w:r>
                </w:p>
              </w:tc>
              <w:tc>
                <w:tcPr>
                  <w:tcW w:w="2615" w:type="pct"/>
                  <w:tcBorders>
                    <w:bottom w:val="single" w:color="auto" w:sz="4" w:space="0"/>
                  </w:tcBorders>
                  <w:tcMar>
                    <w:top w:w="0" w:type="dxa"/>
                    <w:left w:w="108" w:type="dxa"/>
                    <w:bottom w:w="0" w:type="dxa"/>
                    <w:right w:w="108" w:type="dxa"/>
                  </w:tcMar>
                  <w:vAlign w:val="center"/>
                </w:tcPr>
                <w:p w14:paraId="55BA977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15</w:t>
                  </w:r>
                </w:p>
              </w:tc>
            </w:tr>
            <w:tr w14:paraId="7464C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9" w:hRule="atLeast"/>
                <w:jc w:val="center"/>
              </w:trPr>
              <w:tc>
                <w:tcPr>
                  <w:tcW w:w="648" w:type="pct"/>
                  <w:tcBorders>
                    <w:top w:val="single" w:color="auto" w:sz="4" w:space="0"/>
                    <w:bottom w:val="single" w:color="auto" w:sz="4" w:space="0"/>
                  </w:tcBorders>
                  <w:tcMar>
                    <w:top w:w="0" w:type="dxa"/>
                    <w:left w:w="108" w:type="dxa"/>
                    <w:bottom w:w="0" w:type="dxa"/>
                    <w:right w:w="108" w:type="dxa"/>
                  </w:tcMar>
                  <w:vAlign w:val="center"/>
                </w:tcPr>
                <w:p w14:paraId="70790049">
                  <w:pPr>
                    <w:spacing w:line="240" w:lineRule="auto"/>
                    <w:jc w:val="center"/>
                    <w:rPr>
                      <w:rFonts w:hint="eastAsia" w:ascii="Times New Roman" w:hAnsi="Times New Roman" w:eastAsia="宋体" w:cs="Times New Roman"/>
                      <w:color w:val="000000" w:themeColor="text1"/>
                      <w:spacing w:val="1"/>
                      <w:sz w:val="21"/>
                      <w:szCs w:val="21"/>
                      <w:lang w:val="en-US" w:eastAsia="zh-CN"/>
                    </w:rPr>
                  </w:pPr>
                  <w:r>
                    <w:rPr>
                      <w:rFonts w:hint="eastAsia" w:ascii="Times New Roman" w:hAnsi="Times New Roman" w:cs="Times New Roman"/>
                      <w:color w:val="000000" w:themeColor="text1"/>
                      <w:spacing w:val="1"/>
                      <w:sz w:val="21"/>
                      <w:szCs w:val="21"/>
                      <w:lang w:val="en-US" w:eastAsia="zh-CN"/>
                    </w:rPr>
                    <w:t>6</w:t>
                  </w:r>
                </w:p>
              </w:tc>
              <w:tc>
                <w:tcPr>
                  <w:tcW w:w="1736" w:type="pct"/>
                  <w:tcBorders>
                    <w:top w:val="single" w:color="auto" w:sz="4" w:space="0"/>
                    <w:bottom w:val="single" w:color="auto" w:sz="4" w:space="0"/>
                  </w:tcBorders>
                  <w:tcMar>
                    <w:top w:w="0" w:type="dxa"/>
                    <w:left w:w="108" w:type="dxa"/>
                    <w:bottom w:w="0" w:type="dxa"/>
                    <w:right w:w="108" w:type="dxa"/>
                  </w:tcMar>
                  <w:vAlign w:val="center"/>
                </w:tcPr>
                <w:p w14:paraId="3981C6BF">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z w:val="21"/>
                      <w:szCs w:val="21"/>
                    </w:rPr>
                    <w:t>总磷（以P计）</w:t>
                  </w:r>
                </w:p>
              </w:tc>
              <w:tc>
                <w:tcPr>
                  <w:tcW w:w="2615" w:type="pct"/>
                  <w:tcBorders>
                    <w:top w:val="single" w:color="auto" w:sz="4" w:space="0"/>
                    <w:bottom w:val="single" w:color="auto" w:sz="4" w:space="0"/>
                  </w:tcBorders>
                  <w:tcMar>
                    <w:top w:w="0" w:type="dxa"/>
                    <w:left w:w="108" w:type="dxa"/>
                    <w:bottom w:w="0" w:type="dxa"/>
                    <w:right w:w="108" w:type="dxa"/>
                  </w:tcMar>
                  <w:vAlign w:val="center"/>
                </w:tcPr>
                <w:p w14:paraId="67238C5E">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0.5</w:t>
                  </w:r>
                </w:p>
              </w:tc>
            </w:tr>
          </w:tbl>
          <w:p w14:paraId="5C6EE206">
            <w:pPr>
              <w:spacing w:beforeLines="50"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2、噪声</w:t>
            </w:r>
          </w:p>
          <w:p w14:paraId="6856667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运营期噪声执行《社会生活环境噪声排放标准》（GB22337-2008）</w:t>
            </w:r>
            <w:r>
              <w:rPr>
                <w:rFonts w:hint="eastAsia"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rPr>
              <w:t>类标准。</w:t>
            </w:r>
          </w:p>
          <w:p w14:paraId="38E9E593">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表1-3</w:t>
            </w:r>
            <w:r>
              <w:rPr>
                <w:rFonts w:hint="default" w:ascii="Times New Roman" w:hAnsi="Times New Roman" w:cs="Times New Roman"/>
                <w:b/>
                <w:bCs/>
                <w:color w:val="000000" w:themeColor="text1"/>
                <w:sz w:val="24"/>
                <w:szCs w:val="24"/>
                <w:lang w:val="en-US" w:eastAsia="zh-CN"/>
              </w:rPr>
              <w:t xml:space="preserve"> </w:t>
            </w:r>
            <w:r>
              <w:rPr>
                <w:rFonts w:hint="default" w:ascii="Times New Roman" w:hAnsi="Times New Roman" w:cs="Times New Roman"/>
                <w:b/>
                <w:bCs/>
                <w:color w:val="000000" w:themeColor="text1"/>
                <w:sz w:val="24"/>
                <w:szCs w:val="24"/>
              </w:rPr>
              <w:t>社会生活环境噪声排放限值</w:t>
            </w:r>
            <w:r>
              <w:rPr>
                <w:rFonts w:hint="default" w:ascii="Times New Roman" w:hAnsi="Times New Roman" w:cs="Times New Roman"/>
                <w:b/>
                <w:bCs/>
                <w:color w:val="000000" w:themeColor="text1"/>
                <w:sz w:val="24"/>
                <w:szCs w:val="24"/>
                <w:lang w:val="en-US" w:eastAsia="zh-CN"/>
              </w:rPr>
              <w:t xml:space="preserve">   </w:t>
            </w:r>
            <w:r>
              <w:rPr>
                <w:rFonts w:hint="default" w:ascii="Times New Roman" w:hAnsi="Times New Roman" w:cs="Times New Roman"/>
                <w:b/>
                <w:bCs/>
                <w:color w:val="000000" w:themeColor="text1"/>
                <w:sz w:val="24"/>
                <w:szCs w:val="24"/>
              </w:rPr>
              <w:t>单位： dB(A)</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6"/>
              <w:gridCol w:w="2438"/>
              <w:gridCol w:w="2117"/>
            </w:tblGrid>
            <w:tr w14:paraId="1CA7D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746" w:type="dxa"/>
                  <w:tcBorders>
                    <w:top w:val="single" w:color="auto" w:sz="4" w:space="0"/>
                    <w:left w:val="single" w:color="auto" w:sz="4" w:space="0"/>
                    <w:bottom w:val="single" w:color="auto" w:sz="4" w:space="0"/>
                    <w:right w:val="single" w:color="auto" w:sz="4" w:space="0"/>
                  </w:tcBorders>
                  <w:vAlign w:val="center"/>
                </w:tcPr>
                <w:p w14:paraId="34D6F9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类别</w:t>
                  </w:r>
                </w:p>
              </w:tc>
              <w:tc>
                <w:tcPr>
                  <w:tcW w:w="2438" w:type="dxa"/>
                  <w:tcBorders>
                    <w:top w:val="single" w:color="auto" w:sz="4" w:space="0"/>
                    <w:left w:val="nil"/>
                    <w:bottom w:val="single" w:color="auto" w:sz="4" w:space="0"/>
                    <w:right w:val="single" w:color="auto" w:sz="4" w:space="0"/>
                  </w:tcBorders>
                  <w:vAlign w:val="center"/>
                </w:tcPr>
                <w:p w14:paraId="6EC743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昼间</w:t>
                  </w:r>
                </w:p>
              </w:tc>
              <w:tc>
                <w:tcPr>
                  <w:tcW w:w="2117" w:type="dxa"/>
                  <w:tcBorders>
                    <w:top w:val="single" w:color="auto" w:sz="4" w:space="0"/>
                    <w:left w:val="nil"/>
                    <w:bottom w:val="single" w:color="auto" w:sz="4" w:space="0"/>
                    <w:right w:val="single" w:color="auto" w:sz="4" w:space="0"/>
                  </w:tcBorders>
                  <w:vAlign w:val="center"/>
                </w:tcPr>
                <w:p w14:paraId="17D2A3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夜间</w:t>
                  </w:r>
                </w:p>
              </w:tc>
            </w:tr>
            <w:tr w14:paraId="03B2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2746" w:type="dxa"/>
                  <w:tcBorders>
                    <w:top w:val="single" w:color="auto" w:sz="4" w:space="0"/>
                    <w:left w:val="single" w:color="auto" w:sz="4" w:space="0"/>
                    <w:bottom w:val="single" w:color="auto" w:sz="4" w:space="0"/>
                    <w:right w:val="single" w:color="auto" w:sz="4" w:space="0"/>
                  </w:tcBorders>
                  <w:vAlign w:val="center"/>
                </w:tcPr>
                <w:p w14:paraId="307EAE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2类</w:t>
                  </w:r>
                </w:p>
              </w:tc>
              <w:tc>
                <w:tcPr>
                  <w:tcW w:w="2438" w:type="dxa"/>
                  <w:tcBorders>
                    <w:top w:val="single" w:color="auto" w:sz="4" w:space="0"/>
                    <w:left w:val="nil"/>
                    <w:bottom w:val="single" w:color="auto" w:sz="4" w:space="0"/>
                    <w:right w:val="single" w:color="auto" w:sz="4" w:space="0"/>
                  </w:tcBorders>
                  <w:vAlign w:val="center"/>
                </w:tcPr>
                <w:p w14:paraId="186BA5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60</w:t>
                  </w:r>
                </w:p>
              </w:tc>
              <w:tc>
                <w:tcPr>
                  <w:tcW w:w="2117" w:type="dxa"/>
                  <w:tcBorders>
                    <w:top w:val="single" w:color="auto" w:sz="4" w:space="0"/>
                    <w:left w:val="nil"/>
                    <w:bottom w:val="single" w:color="auto" w:sz="4" w:space="0"/>
                    <w:right w:val="single" w:color="auto" w:sz="4" w:space="0"/>
                  </w:tcBorders>
                  <w:vAlign w:val="center"/>
                </w:tcPr>
                <w:p w14:paraId="4564D2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50</w:t>
                  </w:r>
                </w:p>
              </w:tc>
            </w:tr>
          </w:tbl>
          <w:p w14:paraId="44670832">
            <w:pPr>
              <w:spacing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3、大气污染物</w:t>
            </w:r>
          </w:p>
          <w:p w14:paraId="5BF360C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恶臭：</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水处理站及化粪池产生的恶臭排放执行《恶臭污染物排放标准》（GB14554-93）表1恶臭污染物厂界标准中新建项目的二级标准，臭气浓度≤20（无量纲）。</w:t>
            </w:r>
          </w:p>
          <w:p w14:paraId="722FF010">
            <w:pPr>
              <w:spacing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4、固体废弃物</w:t>
            </w:r>
          </w:p>
          <w:p w14:paraId="56C30BD6">
            <w:pPr>
              <w:spacing w:line="360" w:lineRule="auto"/>
              <w:ind w:firstLine="480" w:firstLineChars="200"/>
              <w:rPr>
                <w:rFonts w:hint="default" w:ascii="Times New Roman" w:hAnsi="Times New Roman" w:eastAsia="宋体" w:cs="Times New Roman"/>
                <w:color w:val="000000" w:themeColor="text1"/>
                <w:sz w:val="24"/>
                <w:lang w:eastAsia="zh-CN"/>
              </w:rPr>
            </w:pPr>
            <w:r>
              <w:rPr>
                <w:rFonts w:hint="default" w:ascii="Times New Roman" w:hAnsi="Times New Roman" w:cs="Times New Roman"/>
                <w:color w:val="000000" w:themeColor="text1"/>
                <w:sz w:val="24"/>
                <w:szCs w:val="24"/>
              </w:rPr>
              <w:t>项目固体废弃物处置执行《一般工业固体废物贮存和填埋污染控制标准（GB18599-2020）</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eastAsia="zh-CN"/>
              </w:rPr>
              <w:t>。</w:t>
            </w:r>
          </w:p>
          <w:p w14:paraId="0B7B03A7">
            <w:pPr>
              <w:spacing w:line="360" w:lineRule="auto"/>
              <w:ind w:firstLine="480" w:firstLineChars="200"/>
              <w:rPr>
                <w:rFonts w:hint="default" w:ascii="Times New Roman" w:hAnsi="Times New Roman" w:cs="Times New Roman"/>
                <w:color w:val="000000" w:themeColor="text1"/>
                <w:sz w:val="24"/>
              </w:rPr>
            </w:pPr>
          </w:p>
          <w:p w14:paraId="3107A54E">
            <w:pPr>
              <w:spacing w:line="360" w:lineRule="auto"/>
              <w:rPr>
                <w:rFonts w:hint="default" w:ascii="Times New Roman" w:hAnsi="Times New Roman" w:cs="Times New Roman"/>
                <w:color w:val="000000" w:themeColor="text1"/>
                <w:sz w:val="24"/>
              </w:rPr>
            </w:pPr>
          </w:p>
          <w:p w14:paraId="1211C4F8">
            <w:pPr>
              <w:spacing w:line="360" w:lineRule="auto"/>
              <w:rPr>
                <w:rFonts w:hint="default" w:ascii="Times New Roman" w:hAnsi="Times New Roman" w:cs="Times New Roman"/>
                <w:color w:val="000000" w:themeColor="text1"/>
                <w:sz w:val="24"/>
              </w:rPr>
            </w:pPr>
          </w:p>
        </w:tc>
      </w:tr>
    </w:tbl>
    <w:p w14:paraId="5771FF5D">
      <w:pPr>
        <w:spacing w:beforeLines="50" w:line="360" w:lineRule="auto"/>
        <w:outlineLvl w:val="0"/>
        <w:rPr>
          <w:rFonts w:hint="default" w:ascii="Times New Roman" w:hAnsi="Times New Roman" w:cs="Times New Roman"/>
          <w:b/>
          <w:bCs/>
          <w:color w:val="000000" w:themeColor="text1"/>
          <w:sz w:val="30"/>
        </w:rPr>
      </w:pPr>
      <w:bookmarkStart w:id="15" w:name="_Toc527116042"/>
      <w:r>
        <w:rPr>
          <w:rFonts w:hint="default" w:ascii="Times New Roman" w:hAnsi="Times New Roman" w:cs="Times New Roman"/>
          <w:b/>
          <w:bCs/>
          <w:color w:val="000000" w:themeColor="text1"/>
          <w:sz w:val="30"/>
        </w:rPr>
        <w:br w:type="page"/>
      </w:r>
      <w:r>
        <w:rPr>
          <w:rFonts w:hint="default" w:ascii="Times New Roman" w:hAnsi="Times New Roman" w:cs="Times New Roman"/>
          <w:b/>
          <w:bCs/>
          <w:color w:val="000000" w:themeColor="text1"/>
          <w:sz w:val="30"/>
        </w:rPr>
        <w:t>表二</w:t>
      </w:r>
      <w:bookmarkEnd w:id="7"/>
      <w:bookmarkEnd w:id="15"/>
    </w:p>
    <w:tbl>
      <w:tblPr>
        <w:tblStyle w:val="39"/>
        <w:tblW w:w="9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5"/>
      </w:tblGrid>
      <w:tr w14:paraId="5A59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6" w:hRule="atLeast"/>
          <w:jc w:val="center"/>
        </w:trPr>
        <w:tc>
          <w:tcPr>
            <w:tcW w:w="9145" w:type="dxa"/>
            <w:vAlign w:val="center"/>
          </w:tcPr>
          <w:p w14:paraId="6312D964">
            <w:pPr>
              <w:spacing w:line="360" w:lineRule="auto"/>
              <w:rPr>
                <w:rFonts w:hint="default" w:ascii="Times New Roman" w:hAnsi="Times New Roman" w:cs="Times New Roman"/>
                <w:b/>
                <w:bCs/>
                <w:color w:val="000000" w:themeColor="text1"/>
                <w:sz w:val="28"/>
                <w:szCs w:val="28"/>
              </w:rPr>
            </w:pPr>
            <w:bookmarkStart w:id="16" w:name="_Toc239736724"/>
            <w:r>
              <w:rPr>
                <w:rFonts w:hint="default" w:ascii="Times New Roman" w:hAnsi="Times New Roman" w:cs="Times New Roman"/>
                <w:b/>
                <w:bCs/>
                <w:color w:val="000000" w:themeColor="text1"/>
                <w:sz w:val="28"/>
                <w:szCs w:val="28"/>
              </w:rPr>
              <w:t>工程建设内容：</w:t>
            </w:r>
          </w:p>
          <w:p w14:paraId="4EC7E6AE">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1、项目概况</w:t>
            </w:r>
          </w:p>
          <w:p w14:paraId="777258BB">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rPr>
              <w:t>项目名称：</w:t>
            </w:r>
            <w:r>
              <w:rPr>
                <w:rFonts w:ascii="Times New Roman" w:hAnsiTheme="minorEastAsia" w:eastAsiaTheme="minorEastAsia"/>
                <w:bCs/>
                <w:color w:val="000000" w:themeColor="text1"/>
                <w:sz w:val="24"/>
              </w:rPr>
              <w:t>腾冲市</w:t>
            </w:r>
            <w:r>
              <w:rPr>
                <w:rFonts w:ascii="Times New Roman" w:hAnsi="Times New Roman" w:eastAsiaTheme="minorEastAsia"/>
                <w:bCs/>
                <w:color w:val="000000" w:themeColor="text1"/>
                <w:sz w:val="24"/>
              </w:rPr>
              <w:t>“</w:t>
            </w:r>
            <w:r>
              <w:rPr>
                <w:rFonts w:ascii="Times New Roman" w:hAnsiTheme="minorEastAsia" w:eastAsiaTheme="minorEastAsia"/>
                <w:bCs/>
                <w:color w:val="000000" w:themeColor="text1"/>
                <w:sz w:val="24"/>
              </w:rPr>
              <w:t>顺颐府</w:t>
            </w:r>
            <w:r>
              <w:rPr>
                <w:rFonts w:ascii="Times New Roman" w:hAnsi="Times New Roman" w:eastAsiaTheme="minorEastAsia"/>
                <w:bCs/>
                <w:color w:val="000000" w:themeColor="text1"/>
                <w:sz w:val="24"/>
              </w:rPr>
              <w:t>”</w:t>
            </w:r>
            <w:r>
              <w:rPr>
                <w:rFonts w:ascii="Times New Roman" w:hAnsiTheme="minorEastAsia" w:eastAsiaTheme="minorEastAsia"/>
                <w:bCs/>
                <w:color w:val="000000" w:themeColor="text1"/>
                <w:sz w:val="24"/>
              </w:rPr>
              <w:t>住宅建设项目（一期）</w:t>
            </w:r>
          </w:p>
          <w:p w14:paraId="4EC903F5">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建设性质：新建</w:t>
            </w:r>
          </w:p>
          <w:p w14:paraId="04936392">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rPr>
              <w:t>建设地点：</w:t>
            </w:r>
            <w:r>
              <w:rPr>
                <w:rFonts w:ascii="Times New Roman" w:hAnsiTheme="minorEastAsia" w:eastAsiaTheme="minorEastAsia"/>
                <w:color w:val="000000" w:themeColor="text1"/>
                <w:sz w:val="24"/>
              </w:rPr>
              <w:t>腾冲市宝峰社区</w:t>
            </w:r>
          </w:p>
          <w:p w14:paraId="07D1F076">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w:t>
            </w:r>
            <w:r>
              <w:rPr>
                <w:rFonts w:ascii="Times New Roman" w:hAnsiTheme="minorEastAsia" w:eastAsiaTheme="minorEastAsia"/>
                <w:color w:val="000000" w:themeColor="text1"/>
                <w:sz w:val="24"/>
              </w:rPr>
              <w:t>腾冲广恒信达房地产开发有限责任公司</w:t>
            </w:r>
          </w:p>
          <w:p w14:paraId="443A962E">
            <w:pPr>
              <w:autoSpaceDE w:val="0"/>
              <w:autoSpaceDN w:val="0"/>
              <w:spacing w:line="360" w:lineRule="auto"/>
              <w:ind w:firstLine="480" w:firstLineChars="200"/>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rPr>
              <w:t>建设内容：</w:t>
            </w:r>
            <w:r>
              <w:rPr>
                <w:rFonts w:ascii="Times New Roman" w:hAnsiTheme="minorEastAsia" w:eastAsiaTheme="minorEastAsia"/>
                <w:color w:val="000000" w:themeColor="text1"/>
                <w:sz w:val="24"/>
                <w:szCs w:val="24"/>
              </w:rPr>
              <w:t>项目总</w:t>
            </w:r>
            <w:r>
              <w:rPr>
                <w:rFonts w:ascii="Times New Roman" w:hAnsiTheme="minorEastAsia" w:eastAsiaTheme="minorEastAsia"/>
                <w:color w:val="000000" w:themeColor="text1"/>
                <w:sz w:val="24"/>
              </w:rPr>
              <w:t>占地面积</w:t>
            </w:r>
            <w:r>
              <w:rPr>
                <w:rFonts w:ascii="Times New Roman" w:hAnsi="Times New Roman" w:eastAsiaTheme="minorEastAsia"/>
                <w:color w:val="000000" w:themeColor="text1"/>
                <w:sz w:val="24"/>
              </w:rPr>
              <w:t>13897.75</w:t>
            </w:r>
            <w:r>
              <w:rPr>
                <w:rFonts w:ascii="Times New Roman" w:hAnsi="Times New Roman" w:eastAsiaTheme="minorEastAsia"/>
                <w:color w:val="000000" w:themeColor="text1"/>
                <w:sz w:val="24"/>
                <w:szCs w:val="24"/>
              </w:rPr>
              <w:t>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（约</w:t>
            </w:r>
            <w:r>
              <w:rPr>
                <w:rFonts w:ascii="Times New Roman" w:hAnsi="Times New Roman" w:eastAsiaTheme="minorEastAsia"/>
                <w:color w:val="000000" w:themeColor="text1"/>
                <w:sz w:val="24"/>
                <w:szCs w:val="24"/>
              </w:rPr>
              <w:t>20.85</w:t>
            </w:r>
            <w:r>
              <w:rPr>
                <w:rFonts w:ascii="Times New Roman" w:hAnsiTheme="minorEastAsia" w:eastAsiaTheme="minorEastAsia"/>
                <w:color w:val="000000" w:themeColor="text1"/>
                <w:sz w:val="24"/>
                <w:szCs w:val="24"/>
              </w:rPr>
              <w:t>亩）</w:t>
            </w:r>
            <w:r>
              <w:rPr>
                <w:rFonts w:ascii="Times New Roman" w:hAnsiTheme="minorEastAsia" w:eastAsiaTheme="minorEastAsia"/>
                <w:color w:val="000000" w:themeColor="text1"/>
                <w:sz w:val="24"/>
              </w:rPr>
              <w:t>，总建筑面积</w:t>
            </w:r>
            <w:r>
              <w:rPr>
                <w:rFonts w:hint="eastAsia" w:ascii="Times New Roman" w:hAnsiTheme="minorEastAsia" w:eastAsiaTheme="minorEastAsia"/>
                <w:color w:val="000000" w:themeColor="text1"/>
                <w:sz w:val="24"/>
                <w:lang w:val="en-US" w:eastAsia="zh-CN"/>
              </w:rPr>
              <w:t>36499.06</w:t>
            </w:r>
            <w:r>
              <w:rPr>
                <w:rFonts w:ascii="Times New Roman" w:hAnsi="Times New Roman" w:eastAsiaTheme="minorEastAsia"/>
                <w:color w:val="000000" w:themeColor="text1"/>
                <w:sz w:val="24"/>
              </w:rPr>
              <w:t>m</w:t>
            </w:r>
            <w:r>
              <w:rPr>
                <w:rFonts w:ascii="Times New Roman" w:hAnsi="Times New Roman" w:eastAsiaTheme="minorEastAsia"/>
                <w:color w:val="000000" w:themeColor="text1"/>
                <w:sz w:val="24"/>
                <w:vertAlign w:val="superscript"/>
              </w:rPr>
              <w:t>2</w:t>
            </w:r>
            <w:r>
              <w:rPr>
                <w:rFonts w:ascii="Times New Roman" w:hAnsiTheme="minorEastAsia" w:eastAsiaTheme="minorEastAsia"/>
                <w:color w:val="000000" w:themeColor="text1"/>
                <w:sz w:val="24"/>
              </w:rPr>
              <w:t>，主要建设内容为高层住宅、地下停车场及相应配套设施建设</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highlight w:val="none"/>
              </w:rPr>
              <w:t>项目实际总投资</w:t>
            </w:r>
            <w:r>
              <w:rPr>
                <w:rFonts w:hint="eastAsia" w:ascii="Times New Roman" w:hAnsi="Times New Roman" w:cs="Times New Roman"/>
                <w:color w:val="000000" w:themeColor="text1"/>
                <w:sz w:val="24"/>
                <w:szCs w:val="24"/>
                <w:highlight w:val="none"/>
                <w:lang w:val="en-US" w:eastAsia="zh-CN"/>
              </w:rPr>
              <w:t>8200</w:t>
            </w:r>
            <w:r>
              <w:rPr>
                <w:rFonts w:hint="default" w:ascii="Times New Roman" w:hAnsi="Times New Roman" w:cs="Times New Roman"/>
                <w:color w:val="000000" w:themeColor="text1"/>
                <w:sz w:val="24"/>
                <w:szCs w:val="24"/>
                <w:highlight w:val="none"/>
                <w:lang w:val="en-US" w:eastAsia="zh-CN"/>
              </w:rPr>
              <w:t>万</w:t>
            </w:r>
            <w:r>
              <w:rPr>
                <w:rFonts w:hint="default" w:ascii="Times New Roman" w:hAnsi="Times New Roman" w:cs="Times New Roman"/>
                <w:color w:val="000000" w:themeColor="text1"/>
                <w:sz w:val="24"/>
                <w:szCs w:val="24"/>
                <w:highlight w:val="none"/>
              </w:rPr>
              <w:t>元，其中实际环保投资</w:t>
            </w:r>
            <w:r>
              <w:rPr>
                <w:rFonts w:hint="eastAsia" w:ascii="Times New Roman" w:hAnsi="Times New Roman" w:cs="Times New Roman"/>
                <w:bCs/>
                <w:color w:val="000000" w:themeColor="text1"/>
                <w:sz w:val="24"/>
                <w:highlight w:val="none"/>
                <w:lang w:val="en-US" w:eastAsia="zh-CN"/>
              </w:rPr>
              <w:t>196.11</w:t>
            </w:r>
            <w:r>
              <w:rPr>
                <w:rFonts w:hint="default" w:ascii="Times New Roman" w:hAnsi="Times New Roman" w:cs="Times New Roman"/>
                <w:color w:val="000000" w:themeColor="text1"/>
                <w:sz w:val="24"/>
                <w:szCs w:val="24"/>
                <w:highlight w:val="none"/>
              </w:rPr>
              <w:t>万元，占总投资</w:t>
            </w:r>
            <w:r>
              <w:rPr>
                <w:rFonts w:hint="eastAsia" w:ascii="Times New Roman" w:hAnsi="Times New Roman" w:cs="Times New Roman"/>
                <w:color w:val="000000" w:themeColor="text1"/>
                <w:sz w:val="24"/>
                <w:szCs w:val="24"/>
                <w:highlight w:val="none"/>
                <w:lang w:val="en-US" w:eastAsia="zh-CN"/>
              </w:rPr>
              <w:t>2.39</w:t>
            </w:r>
            <w:r>
              <w:rPr>
                <w:rFonts w:hint="default" w:ascii="Times New Roman" w:hAnsi="Times New Roman" w:cs="Times New Roman"/>
                <w:color w:val="000000" w:themeColor="text1"/>
                <w:sz w:val="24"/>
                <w:szCs w:val="24"/>
                <w:highlight w:val="none"/>
              </w:rPr>
              <w:t>%。</w:t>
            </w:r>
          </w:p>
          <w:p w14:paraId="5BF5B7C3">
            <w:pPr>
              <w:autoSpaceDE w:val="0"/>
              <w:autoSpaceDN w:val="0"/>
              <w:spacing w:line="360" w:lineRule="auto"/>
              <w:ind w:firstLine="480" w:firstLineChars="20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4"/>
              </w:rPr>
              <w:t>20</w:t>
            </w:r>
            <w:r>
              <w:rPr>
                <w:rFonts w:hint="eastAsia" w:ascii="Times New Roman" w:hAnsi="Times New Roman" w:cs="Times New Roman"/>
                <w:color w:val="000000" w:themeColor="text1"/>
                <w:sz w:val="24"/>
                <w:szCs w:val="24"/>
                <w:lang w:val="en-US" w:eastAsia="zh-CN"/>
              </w:rPr>
              <w:t>19</w:t>
            </w:r>
            <w:r>
              <w:rPr>
                <w:rFonts w:hint="default" w:ascii="Times New Roman" w:hAnsi="Times New Roman" w:cs="Times New Roman"/>
                <w:color w:val="000000" w:themeColor="text1"/>
                <w:sz w:val="24"/>
                <w:szCs w:val="24"/>
              </w:rPr>
              <w:t>年8月</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日，</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以《</w:t>
            </w:r>
            <w:r>
              <w:rPr>
                <w:rFonts w:ascii="Times New Roman" w:hAnsiTheme="minorEastAsia" w:eastAsiaTheme="minorEastAsia"/>
                <w:bCs/>
                <w:color w:val="000000" w:themeColor="text1"/>
                <w:sz w:val="24"/>
              </w:rPr>
              <w:t>腾冲市</w:t>
            </w:r>
            <w:r>
              <w:rPr>
                <w:rFonts w:ascii="Times New Roman" w:hAnsi="Times New Roman" w:eastAsiaTheme="minorEastAsia"/>
                <w:bCs/>
                <w:color w:val="000000" w:themeColor="text1"/>
                <w:sz w:val="24"/>
              </w:rPr>
              <w:t>“</w:t>
            </w:r>
            <w:r>
              <w:rPr>
                <w:rFonts w:ascii="Times New Roman" w:hAnsiTheme="minorEastAsia" w:eastAsiaTheme="minorEastAsia"/>
                <w:bCs/>
                <w:color w:val="000000" w:themeColor="text1"/>
                <w:sz w:val="24"/>
              </w:rPr>
              <w:t>顺颐府</w:t>
            </w:r>
            <w:r>
              <w:rPr>
                <w:rFonts w:ascii="Times New Roman" w:hAnsi="Times New Roman" w:eastAsiaTheme="minorEastAsia"/>
                <w:bCs/>
                <w:color w:val="000000" w:themeColor="text1"/>
                <w:sz w:val="24"/>
              </w:rPr>
              <w:t>”</w:t>
            </w:r>
            <w:r>
              <w:rPr>
                <w:rFonts w:ascii="Times New Roman" w:hAnsiTheme="minorEastAsia" w:eastAsiaTheme="minorEastAsia"/>
                <w:bCs/>
                <w:color w:val="000000" w:themeColor="text1"/>
                <w:sz w:val="24"/>
              </w:rPr>
              <w:t>住宅建设项目（一期）</w:t>
            </w:r>
            <w:r>
              <w:rPr>
                <w:rFonts w:hint="default" w:ascii="Times New Roman" w:hAnsi="Times New Roman" w:cs="Times New Roman"/>
                <w:color w:val="000000" w:themeColor="text1"/>
                <w:sz w:val="24"/>
                <w:szCs w:val="24"/>
              </w:rPr>
              <w:t>环境影响报告表》的行政许可决定书（腾环准〔201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21</w:t>
            </w:r>
            <w:r>
              <w:rPr>
                <w:rFonts w:hint="default" w:ascii="Times New Roman" w:hAnsi="Times New Roman" w:cs="Times New Roman"/>
                <w:color w:val="000000" w:themeColor="text1"/>
                <w:sz w:val="24"/>
                <w:szCs w:val="24"/>
              </w:rPr>
              <w:t>号）</w:t>
            </w:r>
            <w:r>
              <w:rPr>
                <w:rFonts w:hint="default" w:ascii="Times New Roman" w:hAnsi="Times New Roman" w:cs="Times New Roman"/>
                <w:color w:val="000000" w:themeColor="text1"/>
                <w:sz w:val="24"/>
                <w:szCs w:val="28"/>
              </w:rPr>
              <w:t>文件批准了该项目环境影响报告表，同意本项目的建设。</w:t>
            </w:r>
          </w:p>
          <w:p w14:paraId="7E3D2076">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2、建设内容</w:t>
            </w:r>
          </w:p>
          <w:p w14:paraId="4D5C5770">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rPr>
              <w:t>本项目主要包括主体工程、辅助工程、公用工程、绿化工程及环保工程，</w:t>
            </w:r>
            <w:r>
              <w:rPr>
                <w:rFonts w:hint="default" w:ascii="Times New Roman" w:hAnsi="Times New Roman" w:cs="Times New Roman"/>
                <w:color w:val="000000" w:themeColor="text1"/>
                <w:sz w:val="24"/>
              </w:rPr>
              <w:t>环评与实际技术经济指标对比见表2-1，</w:t>
            </w:r>
            <w:r>
              <w:rPr>
                <w:rFonts w:hint="default" w:ascii="Times New Roman" w:hAnsi="Times New Roman" w:cs="Times New Roman"/>
                <w:color w:val="000000" w:themeColor="text1"/>
                <w:sz w:val="24"/>
                <w:szCs w:val="24"/>
              </w:rPr>
              <w:t>具体建设内容及功能</w:t>
            </w:r>
            <w:r>
              <w:rPr>
                <w:rFonts w:hint="default" w:ascii="Times New Roman" w:hAnsi="Times New Roman" w:cs="Times New Roman"/>
                <w:color w:val="000000" w:themeColor="text1"/>
                <w:sz w:val="24"/>
              </w:rPr>
              <w:t>对比见表2-2。</w:t>
            </w:r>
          </w:p>
          <w:p w14:paraId="5BDC70F4">
            <w:pPr>
              <w:autoSpaceDE w:val="0"/>
              <w:autoSpaceDN w:val="0"/>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表2-1  项目技术经济指标对比一览表</w:t>
            </w:r>
          </w:p>
          <w:tbl>
            <w:tblPr>
              <w:tblStyle w:val="39"/>
              <w:tblW w:w="8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6"/>
              <w:gridCol w:w="2311"/>
              <w:gridCol w:w="1771"/>
              <w:gridCol w:w="1910"/>
              <w:gridCol w:w="1910"/>
            </w:tblGrid>
            <w:tr w14:paraId="5A9E5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54F9FA7D">
                  <w:pPr>
                    <w:jc w:val="center"/>
                    <w:rPr>
                      <w:rFonts w:ascii="Times New Roman" w:hAnsi="Times New Roman" w:eastAsiaTheme="minorEastAsia"/>
                      <w:b/>
                      <w:bCs/>
                      <w:color w:val="000000" w:themeColor="text1"/>
                      <w:szCs w:val="21"/>
                    </w:rPr>
                  </w:pPr>
                  <w:r>
                    <w:rPr>
                      <w:rFonts w:ascii="Times New Roman" w:hAnsiTheme="minorEastAsia" w:eastAsiaTheme="minorEastAsia"/>
                      <w:b/>
                      <w:bCs/>
                      <w:color w:val="000000" w:themeColor="text1"/>
                      <w:szCs w:val="21"/>
                    </w:rPr>
                    <w:t>序号</w:t>
                  </w:r>
                </w:p>
              </w:tc>
              <w:tc>
                <w:tcPr>
                  <w:tcW w:w="2311" w:type="dxa"/>
                  <w:vAlign w:val="center"/>
                </w:tcPr>
                <w:p w14:paraId="14FCE222">
                  <w:pPr>
                    <w:jc w:val="center"/>
                    <w:rPr>
                      <w:rFonts w:hint="default" w:ascii="Times New Roman" w:hAnsi="Times New Roman"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指标名称</w:t>
                  </w:r>
                </w:p>
              </w:tc>
              <w:tc>
                <w:tcPr>
                  <w:tcW w:w="1771" w:type="dxa"/>
                  <w:vAlign w:val="center"/>
                </w:tcPr>
                <w:p w14:paraId="19E6CB45">
                  <w:pPr>
                    <w:jc w:val="center"/>
                    <w:rPr>
                      <w:rFonts w:hint="default" w:ascii="Times New Roman" w:hAnsi="Times New Roman"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环评审批情况</w:t>
                  </w:r>
                </w:p>
              </w:tc>
              <w:tc>
                <w:tcPr>
                  <w:tcW w:w="1910" w:type="dxa"/>
                  <w:vAlign w:val="center"/>
                </w:tcPr>
                <w:p w14:paraId="4BAB2306">
                  <w:pPr>
                    <w:jc w:val="center"/>
                    <w:rPr>
                      <w:rFonts w:hint="default" w:ascii="Times New Roman" w:hAnsiTheme="minorEastAsia"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环评验收情况</w:t>
                  </w:r>
                </w:p>
              </w:tc>
              <w:tc>
                <w:tcPr>
                  <w:tcW w:w="1910" w:type="dxa"/>
                  <w:vAlign w:val="center"/>
                </w:tcPr>
                <w:p w14:paraId="18CB1EA7">
                  <w:pPr>
                    <w:jc w:val="center"/>
                    <w:rPr>
                      <w:rFonts w:hint="eastAsia" w:ascii="Times New Roman" w:hAnsi="Times New Roman" w:eastAsiaTheme="minorEastAsia"/>
                      <w:b/>
                      <w:bCs/>
                      <w:color w:val="000000" w:themeColor="text1"/>
                      <w:szCs w:val="21"/>
                      <w:lang w:eastAsia="zh-CN"/>
                    </w:rPr>
                  </w:pPr>
                  <w:r>
                    <w:rPr>
                      <w:rFonts w:hint="eastAsia" w:ascii="Times New Roman" w:hAnsiTheme="minorEastAsia" w:eastAsiaTheme="minorEastAsia"/>
                      <w:b/>
                      <w:bCs/>
                      <w:color w:val="000000" w:themeColor="text1"/>
                      <w:szCs w:val="21"/>
                      <w:lang w:val="en-US" w:eastAsia="zh-CN"/>
                    </w:rPr>
                    <w:t>变化情况</w:t>
                  </w:r>
                </w:p>
              </w:tc>
            </w:tr>
            <w:tr w14:paraId="76CDC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4DD78A8F">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w:t>
                  </w:r>
                </w:p>
              </w:tc>
              <w:tc>
                <w:tcPr>
                  <w:tcW w:w="2311" w:type="dxa"/>
                  <w:vAlign w:val="center"/>
                </w:tcPr>
                <w:p w14:paraId="0A74F64E">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用地面积</w:t>
                  </w:r>
                </w:p>
              </w:tc>
              <w:tc>
                <w:tcPr>
                  <w:tcW w:w="1771" w:type="dxa"/>
                  <w:vAlign w:val="center"/>
                </w:tcPr>
                <w:p w14:paraId="1924BF2C">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13897.75m</w:t>
                  </w:r>
                  <w:r>
                    <w:rPr>
                      <w:rFonts w:ascii="Times New Roman" w:hAnsi="Times New Roman" w:eastAsiaTheme="minorEastAsia"/>
                      <w:color w:val="000000" w:themeColor="text1"/>
                      <w:szCs w:val="21"/>
                      <w:vertAlign w:val="superscript"/>
                    </w:rPr>
                    <w:t>2</w:t>
                  </w:r>
                </w:p>
              </w:tc>
              <w:tc>
                <w:tcPr>
                  <w:tcW w:w="1910" w:type="dxa"/>
                  <w:vAlign w:val="center"/>
                </w:tcPr>
                <w:p w14:paraId="6A3C1779">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13897.75m</w:t>
                  </w:r>
                  <w:r>
                    <w:rPr>
                      <w:rFonts w:ascii="Times New Roman" w:hAnsi="Times New Roman" w:eastAsiaTheme="minorEastAsia"/>
                      <w:color w:val="000000" w:themeColor="text1"/>
                      <w:szCs w:val="21"/>
                      <w:vertAlign w:val="superscript"/>
                    </w:rPr>
                    <w:t>2</w:t>
                  </w:r>
                </w:p>
              </w:tc>
              <w:tc>
                <w:tcPr>
                  <w:tcW w:w="1910" w:type="dxa"/>
                  <w:vAlign w:val="center"/>
                </w:tcPr>
                <w:p w14:paraId="13639E54">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61C2E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72709DEE">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w:t>
                  </w:r>
                </w:p>
              </w:tc>
              <w:tc>
                <w:tcPr>
                  <w:tcW w:w="2311" w:type="dxa"/>
                  <w:vAlign w:val="center"/>
                </w:tcPr>
                <w:p w14:paraId="1E7ECAC7">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总建筑面积</w:t>
                  </w:r>
                </w:p>
              </w:tc>
              <w:tc>
                <w:tcPr>
                  <w:tcW w:w="1771" w:type="dxa"/>
                  <w:vAlign w:val="center"/>
                </w:tcPr>
                <w:p w14:paraId="40004B8D">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35012.72m</w:t>
                  </w:r>
                  <w:r>
                    <w:rPr>
                      <w:rFonts w:ascii="Times New Roman" w:hAnsi="Times New Roman" w:eastAsiaTheme="minorEastAsia"/>
                      <w:color w:val="000000" w:themeColor="text1"/>
                      <w:szCs w:val="21"/>
                      <w:vertAlign w:val="superscript"/>
                    </w:rPr>
                    <w:t>2</w:t>
                  </w:r>
                </w:p>
              </w:tc>
              <w:tc>
                <w:tcPr>
                  <w:tcW w:w="1910" w:type="dxa"/>
                  <w:vAlign w:val="center"/>
                </w:tcPr>
                <w:p w14:paraId="198CEDE6">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36499.06</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6B7038C0">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+1486.34m</w:t>
                  </w:r>
                  <w:r>
                    <w:rPr>
                      <w:rFonts w:hint="eastAsia" w:ascii="Times New Roman" w:hAnsi="Times New Roman" w:eastAsiaTheme="minorEastAsia"/>
                      <w:color w:val="000000" w:themeColor="text1"/>
                      <w:szCs w:val="21"/>
                      <w:vertAlign w:val="superscript"/>
                      <w:lang w:val="en-US" w:eastAsia="zh-CN"/>
                    </w:rPr>
                    <w:t>2</w:t>
                  </w:r>
                </w:p>
              </w:tc>
            </w:tr>
            <w:tr w14:paraId="30AF1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2FDBE9E6">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2.1</w:t>
                  </w:r>
                </w:p>
              </w:tc>
              <w:tc>
                <w:tcPr>
                  <w:tcW w:w="2311" w:type="dxa"/>
                  <w:vAlign w:val="center"/>
                </w:tcPr>
                <w:p w14:paraId="77678E3E">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地上建筑面积</w:t>
                  </w:r>
                </w:p>
              </w:tc>
              <w:tc>
                <w:tcPr>
                  <w:tcW w:w="1771" w:type="dxa"/>
                  <w:vAlign w:val="center"/>
                </w:tcPr>
                <w:p w14:paraId="66AAEA8F">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27536.75m</w:t>
                  </w:r>
                  <w:r>
                    <w:rPr>
                      <w:rFonts w:ascii="Times New Roman" w:hAnsi="Times New Roman" w:eastAsiaTheme="minorEastAsia"/>
                      <w:color w:val="000000" w:themeColor="text1"/>
                      <w:szCs w:val="21"/>
                      <w:vertAlign w:val="superscript"/>
                    </w:rPr>
                    <w:t>2</w:t>
                  </w:r>
                </w:p>
              </w:tc>
              <w:tc>
                <w:tcPr>
                  <w:tcW w:w="1910" w:type="dxa"/>
                  <w:vAlign w:val="center"/>
                </w:tcPr>
                <w:p w14:paraId="46D415EE">
                  <w:pPr>
                    <w:jc w:val="center"/>
                    <w:rPr>
                      <w:rFonts w:ascii="Times New Roman" w:hAnsi="Times New Roman" w:eastAsiaTheme="minorEastAsia"/>
                      <w:color w:val="000000" w:themeColor="text1"/>
                      <w:szCs w:val="21"/>
                      <w:highlight w:val="none"/>
                    </w:rPr>
                  </w:pPr>
                  <w:r>
                    <w:rPr>
                      <w:rFonts w:hint="eastAsia" w:ascii="Times New Roman" w:hAnsi="Times New Roman" w:eastAsiaTheme="minorEastAsia"/>
                      <w:color w:val="000000" w:themeColor="text1"/>
                      <w:szCs w:val="21"/>
                      <w:highlight w:val="none"/>
                      <w:lang w:val="en-US" w:eastAsia="zh-CN"/>
                    </w:rPr>
                    <w:t>29023.09</w:t>
                  </w:r>
                  <w:r>
                    <w:rPr>
                      <w:rFonts w:ascii="Times New Roman" w:hAnsi="Times New Roman" w:eastAsiaTheme="minorEastAsia"/>
                      <w:color w:val="000000" w:themeColor="text1"/>
                      <w:szCs w:val="21"/>
                      <w:highlight w:val="none"/>
                    </w:rPr>
                    <w:t>m</w:t>
                  </w:r>
                  <w:r>
                    <w:rPr>
                      <w:rFonts w:ascii="Times New Roman" w:hAnsi="Times New Roman" w:eastAsiaTheme="minorEastAsia"/>
                      <w:color w:val="000000" w:themeColor="text1"/>
                      <w:szCs w:val="21"/>
                      <w:highlight w:val="none"/>
                      <w:vertAlign w:val="superscript"/>
                    </w:rPr>
                    <w:t>2</w:t>
                  </w:r>
                </w:p>
              </w:tc>
              <w:tc>
                <w:tcPr>
                  <w:tcW w:w="1910" w:type="dxa"/>
                  <w:vAlign w:val="center"/>
                </w:tcPr>
                <w:p w14:paraId="595A3B63">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+1486.34m</w:t>
                  </w:r>
                  <w:r>
                    <w:rPr>
                      <w:rFonts w:hint="eastAsia" w:ascii="Times New Roman" w:hAnsi="Times New Roman" w:eastAsiaTheme="minorEastAsia"/>
                      <w:color w:val="000000" w:themeColor="text1"/>
                      <w:szCs w:val="21"/>
                      <w:vertAlign w:val="superscript"/>
                      <w:lang w:val="en-US" w:eastAsia="zh-CN"/>
                    </w:rPr>
                    <w:t>2</w:t>
                  </w:r>
                </w:p>
              </w:tc>
            </w:tr>
            <w:tr w14:paraId="400A1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Merge w:val="restart"/>
                  <w:vAlign w:val="center"/>
                </w:tcPr>
                <w:p w14:paraId="7C12930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其中</w:t>
                  </w:r>
                </w:p>
              </w:tc>
              <w:tc>
                <w:tcPr>
                  <w:tcW w:w="2311" w:type="dxa"/>
                  <w:vAlign w:val="center"/>
                </w:tcPr>
                <w:p w14:paraId="53D1D5A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高层住宅面积</w:t>
                  </w:r>
                </w:p>
              </w:tc>
              <w:tc>
                <w:tcPr>
                  <w:tcW w:w="1771" w:type="dxa"/>
                  <w:vAlign w:val="center"/>
                </w:tcPr>
                <w:p w14:paraId="3FDBD8E6">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27317.67m</w:t>
                  </w:r>
                  <w:r>
                    <w:rPr>
                      <w:rFonts w:ascii="Times New Roman" w:hAnsi="Times New Roman" w:eastAsiaTheme="minorEastAsia"/>
                      <w:color w:val="000000" w:themeColor="text1"/>
                      <w:szCs w:val="21"/>
                      <w:vertAlign w:val="superscript"/>
                    </w:rPr>
                    <w:t>2</w:t>
                  </w:r>
                </w:p>
              </w:tc>
              <w:tc>
                <w:tcPr>
                  <w:tcW w:w="1910" w:type="dxa"/>
                  <w:vAlign w:val="center"/>
                </w:tcPr>
                <w:p w14:paraId="79D50599">
                  <w:pPr>
                    <w:jc w:val="center"/>
                    <w:rPr>
                      <w:rFonts w:ascii="Times New Roman" w:hAnsi="Times New Roman" w:eastAsiaTheme="minorEastAsia"/>
                      <w:color w:val="000000" w:themeColor="text1"/>
                      <w:szCs w:val="21"/>
                      <w:highlight w:val="none"/>
                    </w:rPr>
                  </w:pPr>
                  <w:r>
                    <w:rPr>
                      <w:rFonts w:hint="eastAsia" w:ascii="Times New Roman" w:hAnsi="Times New Roman" w:eastAsiaTheme="minorEastAsia"/>
                      <w:color w:val="000000" w:themeColor="text1"/>
                      <w:szCs w:val="21"/>
                      <w:highlight w:val="none"/>
                      <w:lang w:val="en-US" w:eastAsia="zh-CN"/>
                    </w:rPr>
                    <w:t>28804.01</w:t>
                  </w:r>
                  <w:r>
                    <w:rPr>
                      <w:rFonts w:ascii="Times New Roman" w:hAnsi="Times New Roman" w:eastAsiaTheme="minorEastAsia"/>
                      <w:color w:val="000000" w:themeColor="text1"/>
                      <w:szCs w:val="21"/>
                      <w:highlight w:val="none"/>
                    </w:rPr>
                    <w:t>m</w:t>
                  </w:r>
                  <w:r>
                    <w:rPr>
                      <w:rFonts w:ascii="Times New Roman" w:hAnsi="Times New Roman" w:eastAsiaTheme="minorEastAsia"/>
                      <w:color w:val="000000" w:themeColor="text1"/>
                      <w:szCs w:val="21"/>
                      <w:highlight w:val="none"/>
                      <w:vertAlign w:val="superscript"/>
                    </w:rPr>
                    <w:t>2</w:t>
                  </w:r>
                </w:p>
              </w:tc>
              <w:tc>
                <w:tcPr>
                  <w:tcW w:w="1910" w:type="dxa"/>
                  <w:vAlign w:val="center"/>
                </w:tcPr>
                <w:p w14:paraId="0D3F0857">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+1486.34m</w:t>
                  </w:r>
                  <w:r>
                    <w:rPr>
                      <w:rFonts w:hint="eastAsia" w:ascii="Times New Roman" w:hAnsi="Times New Roman" w:eastAsiaTheme="minorEastAsia"/>
                      <w:color w:val="000000" w:themeColor="text1"/>
                      <w:szCs w:val="21"/>
                      <w:vertAlign w:val="superscript"/>
                      <w:lang w:val="en-US" w:eastAsia="zh-CN"/>
                    </w:rPr>
                    <w:t>2</w:t>
                  </w:r>
                </w:p>
              </w:tc>
            </w:tr>
            <w:tr w14:paraId="29AE6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Merge w:val="continue"/>
                  <w:vAlign w:val="center"/>
                </w:tcPr>
                <w:p w14:paraId="6357C0E5">
                  <w:pPr>
                    <w:jc w:val="center"/>
                    <w:rPr>
                      <w:rFonts w:ascii="Times New Roman" w:hAnsi="Times New Roman" w:eastAsiaTheme="minorEastAsia"/>
                      <w:color w:val="000000" w:themeColor="text1"/>
                      <w:szCs w:val="21"/>
                    </w:rPr>
                  </w:pPr>
                </w:p>
              </w:tc>
              <w:tc>
                <w:tcPr>
                  <w:tcW w:w="2311" w:type="dxa"/>
                  <w:vAlign w:val="center"/>
                </w:tcPr>
                <w:p w14:paraId="02A349B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公共架空（不计容）</w:t>
                  </w:r>
                </w:p>
              </w:tc>
              <w:tc>
                <w:tcPr>
                  <w:tcW w:w="1771" w:type="dxa"/>
                  <w:vAlign w:val="center"/>
                </w:tcPr>
                <w:p w14:paraId="6CBA3881">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219.08m</w:t>
                  </w:r>
                  <w:r>
                    <w:rPr>
                      <w:rFonts w:ascii="Times New Roman" w:hAnsi="Times New Roman" w:eastAsiaTheme="minorEastAsia"/>
                      <w:color w:val="000000" w:themeColor="text1"/>
                      <w:szCs w:val="21"/>
                      <w:vertAlign w:val="superscript"/>
                    </w:rPr>
                    <w:t>2</w:t>
                  </w:r>
                </w:p>
              </w:tc>
              <w:tc>
                <w:tcPr>
                  <w:tcW w:w="1910" w:type="dxa"/>
                  <w:vAlign w:val="center"/>
                </w:tcPr>
                <w:p w14:paraId="5C0C3D7E">
                  <w:pPr>
                    <w:jc w:val="center"/>
                    <w:rPr>
                      <w:rFonts w:ascii="Times New Roman" w:hAnsi="Times New Roman" w:eastAsiaTheme="minorEastAsia"/>
                      <w:color w:val="000000" w:themeColor="text1"/>
                      <w:szCs w:val="21"/>
                      <w:highlight w:val="none"/>
                    </w:rPr>
                  </w:pPr>
                  <w:r>
                    <w:rPr>
                      <w:rFonts w:ascii="Times New Roman" w:hAnsi="Times New Roman" w:eastAsiaTheme="minorEastAsia"/>
                      <w:color w:val="000000" w:themeColor="text1"/>
                      <w:szCs w:val="21"/>
                      <w:highlight w:val="none"/>
                    </w:rPr>
                    <w:t>219.08m</w:t>
                  </w:r>
                  <w:r>
                    <w:rPr>
                      <w:rFonts w:ascii="Times New Roman" w:hAnsi="Times New Roman" w:eastAsiaTheme="minorEastAsia"/>
                      <w:color w:val="000000" w:themeColor="text1"/>
                      <w:szCs w:val="21"/>
                      <w:highlight w:val="none"/>
                      <w:vertAlign w:val="superscript"/>
                    </w:rPr>
                    <w:t>2</w:t>
                  </w:r>
                </w:p>
              </w:tc>
              <w:tc>
                <w:tcPr>
                  <w:tcW w:w="1910" w:type="dxa"/>
                  <w:vAlign w:val="center"/>
                </w:tcPr>
                <w:p w14:paraId="3A592646">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08F29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09092E44">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2.2</w:t>
                  </w:r>
                </w:p>
              </w:tc>
              <w:tc>
                <w:tcPr>
                  <w:tcW w:w="2311" w:type="dxa"/>
                  <w:vAlign w:val="center"/>
                </w:tcPr>
                <w:p w14:paraId="3A983432">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地下建筑面积（不计容）</w:t>
                  </w:r>
                </w:p>
              </w:tc>
              <w:tc>
                <w:tcPr>
                  <w:tcW w:w="1771" w:type="dxa"/>
                  <w:vAlign w:val="center"/>
                </w:tcPr>
                <w:p w14:paraId="001764FB">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7475.97m</w:t>
                  </w:r>
                  <w:r>
                    <w:rPr>
                      <w:rFonts w:ascii="Times New Roman" w:hAnsi="Times New Roman" w:eastAsiaTheme="minorEastAsia"/>
                      <w:color w:val="000000" w:themeColor="text1"/>
                      <w:szCs w:val="21"/>
                      <w:vertAlign w:val="superscript"/>
                    </w:rPr>
                    <w:t>2</w:t>
                  </w:r>
                </w:p>
              </w:tc>
              <w:tc>
                <w:tcPr>
                  <w:tcW w:w="1910" w:type="dxa"/>
                  <w:vAlign w:val="center"/>
                </w:tcPr>
                <w:p w14:paraId="5A20C1B6">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7</w:t>
                  </w:r>
                  <w:r>
                    <w:rPr>
                      <w:rFonts w:hint="eastAsia" w:ascii="Times New Roman" w:hAnsi="Times New Roman" w:eastAsiaTheme="minorEastAsia"/>
                      <w:color w:val="000000" w:themeColor="text1"/>
                      <w:szCs w:val="21"/>
                      <w:lang w:val="en-US" w:eastAsia="zh-CN"/>
                    </w:rPr>
                    <w:t>530</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2352A8E9">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+54.03m</w:t>
                  </w:r>
                  <w:r>
                    <w:rPr>
                      <w:rFonts w:hint="eastAsia" w:ascii="Times New Roman" w:hAnsi="Times New Roman" w:eastAsiaTheme="minorEastAsia"/>
                      <w:color w:val="000000" w:themeColor="text1"/>
                      <w:szCs w:val="21"/>
                      <w:vertAlign w:val="superscript"/>
                      <w:lang w:val="en-US" w:eastAsia="zh-CN"/>
                    </w:rPr>
                    <w:t>2</w:t>
                  </w:r>
                </w:p>
              </w:tc>
            </w:tr>
            <w:tr w14:paraId="524FD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04B1A8E3">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w:t>
                  </w:r>
                </w:p>
              </w:tc>
              <w:tc>
                <w:tcPr>
                  <w:tcW w:w="2311" w:type="dxa"/>
                  <w:vAlign w:val="center"/>
                </w:tcPr>
                <w:p w14:paraId="74762B5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容积率</w:t>
                  </w:r>
                </w:p>
              </w:tc>
              <w:tc>
                <w:tcPr>
                  <w:tcW w:w="1771" w:type="dxa"/>
                  <w:vAlign w:val="center"/>
                </w:tcPr>
                <w:p w14:paraId="3ABBC71B">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1.98</w:t>
                  </w:r>
                </w:p>
              </w:tc>
              <w:tc>
                <w:tcPr>
                  <w:tcW w:w="1910" w:type="dxa"/>
                  <w:vAlign w:val="center"/>
                </w:tcPr>
                <w:p w14:paraId="6301588E">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1.98</w:t>
                  </w:r>
                </w:p>
              </w:tc>
              <w:tc>
                <w:tcPr>
                  <w:tcW w:w="1910" w:type="dxa"/>
                  <w:vAlign w:val="center"/>
                </w:tcPr>
                <w:p w14:paraId="47349FBA">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18CD2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1668EA6B">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4</w:t>
                  </w:r>
                </w:p>
              </w:tc>
              <w:tc>
                <w:tcPr>
                  <w:tcW w:w="2311" w:type="dxa"/>
                  <w:vAlign w:val="center"/>
                </w:tcPr>
                <w:p w14:paraId="2AC16A8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建筑密度</w:t>
                  </w:r>
                </w:p>
              </w:tc>
              <w:tc>
                <w:tcPr>
                  <w:tcW w:w="1771" w:type="dxa"/>
                  <w:vAlign w:val="center"/>
                </w:tcPr>
                <w:p w14:paraId="699E2F38">
                  <w:pPr>
                    <w:jc w:val="center"/>
                    <w:rPr>
                      <w:rFonts w:hint="eastAsia" w:ascii="Times New Roman" w:hAnsi="Times New Roman" w:eastAsiaTheme="minorEastAsia"/>
                      <w:color w:val="000000" w:themeColor="text1"/>
                      <w:szCs w:val="21"/>
                      <w:lang w:val="en-US" w:eastAsia="zh-CN"/>
                    </w:rPr>
                  </w:pPr>
                  <w:r>
                    <w:rPr>
                      <w:rFonts w:ascii="Times New Roman" w:hAnsi="Times New Roman" w:eastAsiaTheme="minorEastAsia"/>
                      <w:color w:val="000000" w:themeColor="text1"/>
                      <w:szCs w:val="21"/>
                    </w:rPr>
                    <w:t>17.50</w:t>
                  </w:r>
                  <w:r>
                    <w:rPr>
                      <w:rFonts w:hint="eastAsia" w:ascii="Times New Roman" w:hAnsi="Times New Roman" w:eastAsiaTheme="minorEastAsia"/>
                      <w:color w:val="000000" w:themeColor="text1"/>
                      <w:szCs w:val="21"/>
                      <w:lang w:val="en-US" w:eastAsia="zh-CN"/>
                    </w:rPr>
                    <w:t>%</w:t>
                  </w:r>
                </w:p>
              </w:tc>
              <w:tc>
                <w:tcPr>
                  <w:tcW w:w="1910" w:type="dxa"/>
                  <w:vAlign w:val="center"/>
                </w:tcPr>
                <w:p w14:paraId="43E839A2">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17.50</w:t>
                  </w:r>
                  <w:r>
                    <w:rPr>
                      <w:rFonts w:hint="eastAsia" w:ascii="Times New Roman" w:hAnsi="Times New Roman" w:eastAsiaTheme="minorEastAsia"/>
                      <w:color w:val="000000" w:themeColor="text1"/>
                      <w:szCs w:val="21"/>
                      <w:lang w:val="en-US" w:eastAsia="zh-CN"/>
                    </w:rPr>
                    <w:t>%</w:t>
                  </w:r>
                </w:p>
              </w:tc>
              <w:tc>
                <w:tcPr>
                  <w:tcW w:w="1910" w:type="dxa"/>
                  <w:vAlign w:val="center"/>
                </w:tcPr>
                <w:p w14:paraId="4DBC18CF">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79692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632BE035">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5</w:t>
                  </w:r>
                </w:p>
              </w:tc>
              <w:tc>
                <w:tcPr>
                  <w:tcW w:w="2311" w:type="dxa"/>
                  <w:vAlign w:val="center"/>
                </w:tcPr>
                <w:p w14:paraId="70A1965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停车位</w:t>
                  </w:r>
                </w:p>
              </w:tc>
              <w:tc>
                <w:tcPr>
                  <w:tcW w:w="1771" w:type="dxa"/>
                  <w:vAlign w:val="center"/>
                </w:tcPr>
                <w:p w14:paraId="6DC4C125">
                  <w:pPr>
                    <w:jc w:val="center"/>
                    <w:rPr>
                      <w:rFonts w:hint="eastAsia" w:ascii="Times New Roman" w:hAnsi="Times New Roman" w:eastAsiaTheme="minorEastAsia"/>
                      <w:color w:val="000000" w:themeColor="text1"/>
                      <w:szCs w:val="21"/>
                      <w:lang w:val="en-US" w:eastAsia="zh-CN"/>
                    </w:rPr>
                  </w:pPr>
                  <w:r>
                    <w:rPr>
                      <w:rFonts w:ascii="Times New Roman" w:hAnsi="Times New Roman" w:eastAsiaTheme="minorEastAsia"/>
                      <w:color w:val="000000" w:themeColor="text1"/>
                      <w:szCs w:val="21"/>
                    </w:rPr>
                    <w:t>260</w:t>
                  </w:r>
                  <w:r>
                    <w:rPr>
                      <w:rFonts w:hint="eastAsia" w:ascii="Times New Roman" w:hAnsi="Times New Roman" w:eastAsiaTheme="minorEastAsia"/>
                      <w:color w:val="000000" w:themeColor="text1"/>
                      <w:szCs w:val="21"/>
                      <w:lang w:val="en-US" w:eastAsia="zh-CN"/>
                    </w:rPr>
                    <w:t>个</w:t>
                  </w:r>
                </w:p>
              </w:tc>
              <w:tc>
                <w:tcPr>
                  <w:tcW w:w="1910" w:type="dxa"/>
                  <w:vAlign w:val="center"/>
                </w:tcPr>
                <w:p w14:paraId="13F1FC3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260</w:t>
                  </w:r>
                  <w:r>
                    <w:rPr>
                      <w:rFonts w:hint="eastAsia" w:ascii="Times New Roman" w:hAnsi="Times New Roman" w:eastAsiaTheme="minorEastAsia"/>
                      <w:color w:val="000000" w:themeColor="text1"/>
                      <w:szCs w:val="21"/>
                      <w:lang w:val="en-US" w:eastAsia="zh-CN"/>
                    </w:rPr>
                    <w:t>个</w:t>
                  </w:r>
                </w:p>
              </w:tc>
              <w:tc>
                <w:tcPr>
                  <w:tcW w:w="1910" w:type="dxa"/>
                  <w:vAlign w:val="center"/>
                </w:tcPr>
                <w:p w14:paraId="7AEF0F60">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059D7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4968E6D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6</w:t>
                  </w:r>
                </w:p>
              </w:tc>
              <w:tc>
                <w:tcPr>
                  <w:tcW w:w="2311" w:type="dxa"/>
                  <w:vAlign w:val="center"/>
                </w:tcPr>
                <w:p w14:paraId="09F2B8B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户数</w:t>
                  </w:r>
                </w:p>
              </w:tc>
              <w:tc>
                <w:tcPr>
                  <w:tcW w:w="1771" w:type="dxa"/>
                  <w:vAlign w:val="center"/>
                </w:tcPr>
                <w:p w14:paraId="025F410F">
                  <w:pPr>
                    <w:jc w:val="center"/>
                    <w:rPr>
                      <w:rFonts w:hint="eastAsia" w:ascii="Times New Roman" w:hAnsi="Times New Roman" w:eastAsiaTheme="minorEastAsia"/>
                      <w:color w:val="000000" w:themeColor="text1"/>
                      <w:szCs w:val="21"/>
                      <w:lang w:val="en-US" w:eastAsia="zh-CN"/>
                    </w:rPr>
                  </w:pPr>
                  <w:r>
                    <w:rPr>
                      <w:rFonts w:ascii="Times New Roman" w:hAnsi="Times New Roman" w:eastAsiaTheme="minorEastAsia"/>
                      <w:color w:val="000000" w:themeColor="text1"/>
                      <w:szCs w:val="21"/>
                    </w:rPr>
                    <w:t>304</w:t>
                  </w:r>
                  <w:r>
                    <w:rPr>
                      <w:rFonts w:hint="eastAsia" w:ascii="Times New Roman" w:hAnsi="Times New Roman" w:eastAsiaTheme="minorEastAsia"/>
                      <w:color w:val="000000" w:themeColor="text1"/>
                      <w:szCs w:val="21"/>
                      <w:lang w:val="en-US" w:eastAsia="zh-CN"/>
                    </w:rPr>
                    <w:t>户</w:t>
                  </w:r>
                </w:p>
              </w:tc>
              <w:tc>
                <w:tcPr>
                  <w:tcW w:w="1910" w:type="dxa"/>
                  <w:vAlign w:val="center"/>
                </w:tcPr>
                <w:p w14:paraId="2AE3175D">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283户</w:t>
                  </w:r>
                </w:p>
              </w:tc>
              <w:tc>
                <w:tcPr>
                  <w:tcW w:w="1910" w:type="dxa"/>
                  <w:vAlign w:val="center"/>
                </w:tcPr>
                <w:p w14:paraId="0D255DF4">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-21</w:t>
                  </w:r>
                </w:p>
              </w:tc>
            </w:tr>
            <w:tr w14:paraId="6573E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26A490B6">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7</w:t>
                  </w:r>
                </w:p>
              </w:tc>
              <w:tc>
                <w:tcPr>
                  <w:tcW w:w="2311" w:type="dxa"/>
                  <w:vAlign w:val="center"/>
                </w:tcPr>
                <w:p w14:paraId="15624C5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绿化面积</w:t>
                  </w:r>
                </w:p>
              </w:tc>
              <w:tc>
                <w:tcPr>
                  <w:tcW w:w="1771" w:type="dxa"/>
                  <w:vAlign w:val="center"/>
                </w:tcPr>
                <w:p w14:paraId="7E919C6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4864.21m</w:t>
                  </w:r>
                  <w:r>
                    <w:rPr>
                      <w:rFonts w:ascii="Times New Roman" w:hAnsi="Times New Roman" w:eastAsiaTheme="minorEastAsia"/>
                      <w:color w:val="000000" w:themeColor="text1"/>
                      <w:szCs w:val="21"/>
                      <w:vertAlign w:val="superscript"/>
                    </w:rPr>
                    <w:t>2</w:t>
                  </w:r>
                </w:p>
              </w:tc>
              <w:tc>
                <w:tcPr>
                  <w:tcW w:w="1910" w:type="dxa"/>
                  <w:vAlign w:val="center"/>
                </w:tcPr>
                <w:p w14:paraId="4514A399">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5004</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213963BF">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+139.79m</w:t>
                  </w:r>
                  <w:r>
                    <w:rPr>
                      <w:rFonts w:hint="eastAsia" w:ascii="Times New Roman" w:hAnsi="Times New Roman" w:eastAsiaTheme="minorEastAsia"/>
                      <w:color w:val="000000" w:themeColor="text1"/>
                      <w:szCs w:val="21"/>
                      <w:vertAlign w:val="superscript"/>
                      <w:lang w:val="en-US" w:eastAsia="zh-CN"/>
                    </w:rPr>
                    <w:t>2</w:t>
                  </w:r>
                </w:p>
              </w:tc>
            </w:tr>
            <w:tr w14:paraId="1FC4C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1E8D0874">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8</w:t>
                  </w:r>
                </w:p>
              </w:tc>
              <w:tc>
                <w:tcPr>
                  <w:tcW w:w="2311" w:type="dxa"/>
                  <w:vAlign w:val="center"/>
                </w:tcPr>
                <w:p w14:paraId="0051868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绿地率</w:t>
                  </w:r>
                </w:p>
              </w:tc>
              <w:tc>
                <w:tcPr>
                  <w:tcW w:w="1771" w:type="dxa"/>
                  <w:vAlign w:val="center"/>
                </w:tcPr>
                <w:p w14:paraId="789EC4B4">
                  <w:pPr>
                    <w:jc w:val="center"/>
                    <w:rPr>
                      <w:rFonts w:hint="eastAsia" w:ascii="Times New Roman" w:hAnsi="Times New Roman" w:eastAsiaTheme="minorEastAsia"/>
                      <w:color w:val="000000" w:themeColor="text1"/>
                      <w:szCs w:val="21"/>
                      <w:highlight w:val="green"/>
                      <w:lang w:val="en-US" w:eastAsia="zh-CN"/>
                    </w:rPr>
                  </w:pPr>
                  <w:r>
                    <w:rPr>
                      <w:rFonts w:ascii="Times New Roman" w:hAnsi="Times New Roman" w:eastAsiaTheme="minorEastAsia"/>
                      <w:color w:val="000000" w:themeColor="text1"/>
                      <w:szCs w:val="21"/>
                    </w:rPr>
                    <w:t>35</w:t>
                  </w:r>
                  <w:r>
                    <w:rPr>
                      <w:rFonts w:hint="eastAsia" w:ascii="Times New Roman" w:hAnsi="Times New Roman" w:eastAsiaTheme="minorEastAsia"/>
                      <w:color w:val="000000" w:themeColor="text1"/>
                      <w:szCs w:val="21"/>
                      <w:lang w:val="en-US" w:eastAsia="zh-CN"/>
                    </w:rPr>
                    <w:t>%</w:t>
                  </w:r>
                </w:p>
              </w:tc>
              <w:tc>
                <w:tcPr>
                  <w:tcW w:w="1910" w:type="dxa"/>
                  <w:vAlign w:val="center"/>
                </w:tcPr>
                <w:p w14:paraId="2AE9AFC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w:t>
                  </w:r>
                  <w:r>
                    <w:rPr>
                      <w:rFonts w:hint="eastAsia" w:ascii="Times New Roman" w:hAnsi="Times New Roman" w:eastAsiaTheme="minorEastAsia"/>
                      <w:color w:val="000000" w:themeColor="text1"/>
                      <w:szCs w:val="21"/>
                      <w:lang w:val="en-US" w:eastAsia="zh-CN"/>
                    </w:rPr>
                    <w:t>6%</w:t>
                  </w:r>
                </w:p>
              </w:tc>
              <w:tc>
                <w:tcPr>
                  <w:tcW w:w="1910" w:type="dxa"/>
                  <w:vAlign w:val="center"/>
                </w:tcPr>
                <w:p w14:paraId="66B2310C">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w:t>
                  </w:r>
                </w:p>
              </w:tc>
            </w:tr>
          </w:tbl>
          <w:p w14:paraId="5A73D40D">
            <w:pPr>
              <w:autoSpaceDE w:val="0"/>
              <w:autoSpaceDN w:val="0"/>
              <w:jc w:val="center"/>
              <w:rPr>
                <w:rFonts w:hint="default" w:ascii="Times New Roman" w:hAnsi="Times New Roman" w:cs="Times New Roman"/>
                <w:b/>
                <w:color w:val="000000" w:themeColor="text1"/>
                <w:sz w:val="24"/>
                <w:szCs w:val="24"/>
              </w:rPr>
            </w:pPr>
          </w:p>
          <w:p w14:paraId="047EE6FD">
            <w:pPr>
              <w:autoSpaceDE w:val="0"/>
              <w:autoSpaceDN w:val="0"/>
              <w:spacing w:beforeLines="50"/>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表2-2  项目主要建设内容一览表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178"/>
              <w:gridCol w:w="2670"/>
              <w:gridCol w:w="2703"/>
              <w:gridCol w:w="1592"/>
            </w:tblGrid>
            <w:tr w14:paraId="38A7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Align w:val="center"/>
                </w:tcPr>
                <w:p w14:paraId="0DDA91B5">
                  <w:pPr>
                    <w:jc w:val="center"/>
                    <w:rPr>
                      <w:rFonts w:ascii="Times New Roman" w:hAnsi="Times New Roman" w:eastAsiaTheme="minorEastAsia"/>
                      <w:b/>
                      <w:bCs/>
                      <w:color w:val="000000" w:themeColor="text1"/>
                      <w:szCs w:val="21"/>
                    </w:rPr>
                  </w:pPr>
                  <w:r>
                    <w:rPr>
                      <w:rFonts w:ascii="Times New Roman" w:hAnsiTheme="minorEastAsia" w:eastAsiaTheme="minorEastAsia"/>
                      <w:b/>
                      <w:bCs/>
                      <w:color w:val="000000" w:themeColor="text1"/>
                      <w:szCs w:val="21"/>
                    </w:rPr>
                    <w:t>类别</w:t>
                  </w:r>
                </w:p>
              </w:tc>
              <w:tc>
                <w:tcPr>
                  <w:tcW w:w="1178" w:type="dxa"/>
                  <w:vAlign w:val="center"/>
                </w:tcPr>
                <w:p w14:paraId="518CF808">
                  <w:pPr>
                    <w:jc w:val="center"/>
                    <w:rPr>
                      <w:rFonts w:ascii="Times New Roman" w:hAnsi="Times New Roman" w:eastAsiaTheme="minorEastAsia"/>
                      <w:b/>
                      <w:bCs/>
                      <w:color w:val="000000" w:themeColor="text1"/>
                      <w:szCs w:val="21"/>
                    </w:rPr>
                  </w:pPr>
                  <w:r>
                    <w:rPr>
                      <w:rFonts w:ascii="Times New Roman" w:hAnsiTheme="minorEastAsia" w:eastAsiaTheme="minorEastAsia"/>
                      <w:b/>
                      <w:bCs/>
                      <w:color w:val="000000" w:themeColor="text1"/>
                      <w:szCs w:val="21"/>
                    </w:rPr>
                    <w:t>建设内容</w:t>
                  </w:r>
                </w:p>
              </w:tc>
              <w:tc>
                <w:tcPr>
                  <w:tcW w:w="2670" w:type="dxa"/>
                  <w:vAlign w:val="center"/>
                </w:tcPr>
                <w:p w14:paraId="40F568C6">
                  <w:pPr>
                    <w:jc w:val="center"/>
                    <w:rPr>
                      <w:rFonts w:ascii="Times New Roman" w:hAnsi="Times New Roman" w:eastAsiaTheme="minorEastAsia"/>
                      <w:b/>
                      <w:bCs/>
                      <w:color w:val="000000" w:themeColor="text1"/>
                      <w:szCs w:val="21"/>
                    </w:rPr>
                  </w:pPr>
                  <w:r>
                    <w:rPr>
                      <w:rFonts w:hint="eastAsia" w:ascii="Times New Roman" w:hAnsiTheme="minorEastAsia" w:eastAsiaTheme="minorEastAsia"/>
                      <w:b/>
                      <w:bCs/>
                      <w:color w:val="000000" w:themeColor="text1"/>
                      <w:szCs w:val="21"/>
                      <w:lang w:val="en-US" w:eastAsia="zh-CN"/>
                    </w:rPr>
                    <w:t>环评审批</w:t>
                  </w:r>
                  <w:r>
                    <w:rPr>
                      <w:rFonts w:ascii="Times New Roman" w:hAnsiTheme="minorEastAsia" w:eastAsiaTheme="minorEastAsia"/>
                      <w:b/>
                      <w:bCs/>
                      <w:color w:val="000000" w:themeColor="text1"/>
                      <w:szCs w:val="21"/>
                    </w:rPr>
                    <w:t>情况</w:t>
                  </w:r>
                </w:p>
              </w:tc>
              <w:tc>
                <w:tcPr>
                  <w:tcW w:w="2703" w:type="dxa"/>
                  <w:vAlign w:val="center"/>
                </w:tcPr>
                <w:p w14:paraId="695212EC">
                  <w:pPr>
                    <w:jc w:val="center"/>
                    <w:rPr>
                      <w:rFonts w:hint="default" w:ascii="Times New Roman" w:hAnsiTheme="minorEastAsia"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实际建设情况</w:t>
                  </w:r>
                </w:p>
              </w:tc>
              <w:tc>
                <w:tcPr>
                  <w:tcW w:w="1592" w:type="dxa"/>
                  <w:vAlign w:val="center"/>
                </w:tcPr>
                <w:p w14:paraId="3652B9A0">
                  <w:pPr>
                    <w:jc w:val="center"/>
                    <w:rPr>
                      <w:rFonts w:hint="eastAsia" w:ascii="Times New Roman" w:hAnsi="Times New Roman" w:eastAsiaTheme="minorEastAsia"/>
                      <w:b/>
                      <w:bCs/>
                      <w:color w:val="000000" w:themeColor="text1"/>
                      <w:szCs w:val="21"/>
                      <w:lang w:eastAsia="zh-CN"/>
                    </w:rPr>
                  </w:pPr>
                  <w:r>
                    <w:rPr>
                      <w:rFonts w:hint="eastAsia" w:ascii="Times New Roman" w:hAnsiTheme="minorEastAsia" w:eastAsiaTheme="minorEastAsia"/>
                      <w:b/>
                      <w:bCs/>
                      <w:color w:val="000000" w:themeColor="text1"/>
                      <w:szCs w:val="21"/>
                      <w:lang w:val="en-US" w:eastAsia="zh-CN"/>
                    </w:rPr>
                    <w:t>变更情况</w:t>
                  </w:r>
                </w:p>
              </w:tc>
            </w:tr>
            <w:tr w14:paraId="521F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Align w:val="center"/>
                </w:tcPr>
                <w:p w14:paraId="1F901FC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主体</w:t>
                  </w:r>
                </w:p>
                <w:p w14:paraId="7538AE9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086370A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高层住宅</w:t>
                  </w:r>
                </w:p>
              </w:tc>
              <w:tc>
                <w:tcPr>
                  <w:tcW w:w="2670" w:type="dxa"/>
                  <w:vAlign w:val="center"/>
                </w:tcPr>
                <w:p w14:paraId="7AB6AF1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主要建设</w:t>
                  </w:r>
                  <w:r>
                    <w:rPr>
                      <w:rFonts w:ascii="Times New Roman" w:hAnsi="Times New Roman" w:eastAsiaTheme="minorEastAsia"/>
                      <w:color w:val="000000" w:themeColor="text1"/>
                      <w:szCs w:val="21"/>
                    </w:rPr>
                    <w:t>-1F/11F</w:t>
                  </w:r>
                  <w:r>
                    <w:rPr>
                      <w:rFonts w:ascii="Times New Roman" w:hAnsiTheme="minorEastAsia" w:eastAsiaTheme="minorEastAsia"/>
                      <w:color w:val="000000" w:themeColor="text1"/>
                      <w:szCs w:val="21"/>
                    </w:rPr>
                    <w:t>建筑，共</w:t>
                  </w:r>
                  <w:r>
                    <w:rPr>
                      <w:rFonts w:ascii="Times New Roman" w:hAnsi="Times New Roman" w:eastAsiaTheme="minorEastAsia"/>
                      <w:color w:val="000000" w:themeColor="text1"/>
                      <w:szCs w:val="21"/>
                    </w:rPr>
                    <w:t>4</w:t>
                  </w:r>
                  <w:r>
                    <w:rPr>
                      <w:rFonts w:ascii="Times New Roman" w:hAnsiTheme="minorEastAsia" w:eastAsiaTheme="minorEastAsia"/>
                      <w:color w:val="000000" w:themeColor="text1"/>
                      <w:szCs w:val="21"/>
                    </w:rPr>
                    <w:t>栋，共设置</w:t>
                  </w:r>
                  <w:r>
                    <w:rPr>
                      <w:rFonts w:ascii="Times New Roman" w:hAnsi="Times New Roman" w:eastAsiaTheme="minorEastAsia"/>
                      <w:color w:val="000000" w:themeColor="text1"/>
                      <w:szCs w:val="21"/>
                    </w:rPr>
                    <w:t>304</w:t>
                  </w:r>
                  <w:r>
                    <w:rPr>
                      <w:rFonts w:ascii="Times New Roman" w:hAnsiTheme="minorEastAsia" w:eastAsiaTheme="minorEastAsia"/>
                      <w:color w:val="000000" w:themeColor="text1"/>
                      <w:szCs w:val="21"/>
                    </w:rPr>
                    <w:t>户，总建筑面积</w:t>
                  </w:r>
                  <w:r>
                    <w:rPr>
                      <w:rFonts w:ascii="Times New Roman" w:hAnsi="Times New Roman" w:eastAsiaTheme="minorEastAsia"/>
                      <w:color w:val="000000" w:themeColor="text1"/>
                      <w:szCs w:val="21"/>
                    </w:rPr>
                    <w:t>27536.75m</w:t>
                  </w:r>
                  <w:r>
                    <w:rPr>
                      <w:rFonts w:ascii="Times New Roman" w:hAnsi="Times New Roman" w:eastAsiaTheme="minorEastAsia"/>
                      <w:color w:val="000000" w:themeColor="text1"/>
                      <w:szCs w:val="21"/>
                      <w:vertAlign w:val="superscript"/>
                    </w:rPr>
                    <w:t>2</w:t>
                  </w:r>
                </w:p>
              </w:tc>
              <w:tc>
                <w:tcPr>
                  <w:tcW w:w="2703" w:type="dxa"/>
                  <w:vAlign w:val="center"/>
                </w:tcPr>
                <w:p w14:paraId="3FCC2E27">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主要建设</w:t>
                  </w:r>
                  <w:r>
                    <w:rPr>
                      <w:rFonts w:ascii="Times New Roman" w:hAnsi="Times New Roman" w:eastAsiaTheme="minorEastAsia"/>
                      <w:color w:val="000000" w:themeColor="text1"/>
                      <w:szCs w:val="21"/>
                    </w:rPr>
                    <w:t>-1F/11F</w:t>
                  </w:r>
                  <w:r>
                    <w:rPr>
                      <w:rFonts w:ascii="Times New Roman" w:hAnsiTheme="minorEastAsia" w:eastAsiaTheme="minorEastAsia"/>
                      <w:color w:val="000000" w:themeColor="text1"/>
                      <w:szCs w:val="21"/>
                    </w:rPr>
                    <w:t>建筑，共</w:t>
                  </w:r>
                  <w:r>
                    <w:rPr>
                      <w:rFonts w:ascii="Times New Roman" w:hAnsi="Times New Roman" w:eastAsiaTheme="minorEastAsia"/>
                      <w:color w:val="000000" w:themeColor="text1"/>
                      <w:szCs w:val="21"/>
                    </w:rPr>
                    <w:t>4</w:t>
                  </w:r>
                  <w:r>
                    <w:rPr>
                      <w:rFonts w:ascii="Times New Roman" w:hAnsiTheme="minorEastAsia" w:eastAsiaTheme="minorEastAsia"/>
                      <w:color w:val="000000" w:themeColor="text1"/>
                      <w:szCs w:val="21"/>
                    </w:rPr>
                    <w:t>栋，</w:t>
                  </w:r>
                  <w:r>
                    <w:rPr>
                      <w:rFonts w:ascii="Times New Roman" w:hAnsiTheme="minorEastAsia" w:eastAsiaTheme="minorEastAsia"/>
                      <w:color w:val="000000" w:themeColor="text1"/>
                      <w:szCs w:val="21"/>
                      <w:highlight w:val="none"/>
                    </w:rPr>
                    <w:t>共设置</w:t>
                  </w:r>
                  <w:r>
                    <w:rPr>
                      <w:rFonts w:hint="eastAsia" w:ascii="Times New Roman" w:hAnsi="Times New Roman" w:eastAsiaTheme="minorEastAsia"/>
                      <w:color w:val="000000" w:themeColor="text1"/>
                      <w:szCs w:val="21"/>
                      <w:highlight w:val="none"/>
                      <w:lang w:val="en-US" w:eastAsia="zh-CN"/>
                    </w:rPr>
                    <w:t>283</w:t>
                  </w:r>
                  <w:r>
                    <w:rPr>
                      <w:rFonts w:ascii="Times New Roman" w:hAnsiTheme="minorEastAsia" w:eastAsiaTheme="minorEastAsia"/>
                      <w:color w:val="000000" w:themeColor="text1"/>
                      <w:szCs w:val="21"/>
                      <w:highlight w:val="none"/>
                    </w:rPr>
                    <w:t>户，总建筑面积</w:t>
                  </w:r>
                  <w:r>
                    <w:rPr>
                      <w:rFonts w:hint="eastAsia" w:ascii="Times New Roman" w:hAnsi="Times New Roman" w:eastAsiaTheme="minorEastAsia"/>
                      <w:color w:val="000000" w:themeColor="text1"/>
                      <w:szCs w:val="21"/>
                      <w:highlight w:val="none"/>
                      <w:lang w:val="en-US" w:eastAsia="zh-CN"/>
                    </w:rPr>
                    <w:t>36499.06</w:t>
                  </w:r>
                  <w:r>
                    <w:rPr>
                      <w:rFonts w:ascii="Times New Roman" w:hAnsi="Times New Roman" w:eastAsiaTheme="minorEastAsia"/>
                      <w:color w:val="000000" w:themeColor="text1"/>
                      <w:szCs w:val="21"/>
                      <w:highlight w:val="none"/>
                    </w:rPr>
                    <w:t>m</w:t>
                  </w:r>
                  <w:r>
                    <w:rPr>
                      <w:rFonts w:ascii="Times New Roman" w:hAnsi="Times New Roman" w:eastAsiaTheme="minorEastAsia"/>
                      <w:color w:val="000000" w:themeColor="text1"/>
                      <w:szCs w:val="21"/>
                      <w:highlight w:val="none"/>
                      <w:vertAlign w:val="superscript"/>
                    </w:rPr>
                    <w:t>2</w:t>
                  </w:r>
                </w:p>
              </w:tc>
              <w:tc>
                <w:tcPr>
                  <w:tcW w:w="1592" w:type="dxa"/>
                  <w:vAlign w:val="center"/>
                </w:tcPr>
                <w:p w14:paraId="632EF66B">
                  <w:pPr>
                    <w:jc w:val="center"/>
                    <w:rPr>
                      <w:rFonts w:hint="eastAsia" w:ascii="Times New Roman" w:hAnsi="Times New Roman" w:eastAsiaTheme="minorEastAsia"/>
                      <w:color w:val="000000" w:themeColor="text1"/>
                      <w:szCs w:val="21"/>
                      <w:vertAlign w:val="superscript"/>
                      <w:lang w:val="en-US" w:eastAsia="zh-CN"/>
                    </w:rPr>
                  </w:pPr>
                  <w:r>
                    <w:rPr>
                      <w:rFonts w:hint="eastAsia" w:ascii="Times New Roman" w:hAnsi="Times New Roman" w:eastAsiaTheme="minorEastAsia"/>
                      <w:color w:val="000000" w:themeColor="text1"/>
                      <w:szCs w:val="21"/>
                      <w:lang w:val="en-US" w:eastAsia="zh-CN"/>
                    </w:rPr>
                    <w:t>与环评相比实际户数减少12户，总建筑面积增加1486.34m</w:t>
                  </w:r>
                  <w:r>
                    <w:rPr>
                      <w:rFonts w:hint="eastAsia" w:ascii="Times New Roman" w:hAnsi="Times New Roman" w:eastAsiaTheme="minorEastAsia"/>
                      <w:color w:val="000000" w:themeColor="text1"/>
                      <w:szCs w:val="21"/>
                      <w:vertAlign w:val="superscript"/>
                      <w:lang w:val="en-US" w:eastAsia="zh-CN"/>
                    </w:rPr>
                    <w:t>2</w:t>
                  </w:r>
                </w:p>
                <w:p w14:paraId="644E0D95">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vertAlign w:val="baseline"/>
                      <w:lang w:val="en-US" w:eastAsia="zh-CN"/>
                    </w:rPr>
                    <w:t>，主要为户型发生了变化，满足人员居住要求</w:t>
                  </w:r>
                </w:p>
              </w:tc>
            </w:tr>
            <w:tr w14:paraId="30E7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Align w:val="center"/>
                </w:tcPr>
                <w:p w14:paraId="1DAFEF5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辅助</w:t>
                  </w:r>
                </w:p>
                <w:p w14:paraId="33B58B75">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35B7FC85">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地下车库</w:t>
                  </w:r>
                </w:p>
              </w:tc>
              <w:tc>
                <w:tcPr>
                  <w:tcW w:w="2670" w:type="dxa"/>
                  <w:vAlign w:val="center"/>
                </w:tcPr>
                <w:p w14:paraId="1D00BE8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设置于项目地下一层，共设置</w:t>
                  </w:r>
                  <w:r>
                    <w:rPr>
                      <w:rFonts w:ascii="Times New Roman" w:hAnsi="Times New Roman" w:eastAsiaTheme="minorEastAsia"/>
                      <w:color w:val="000000" w:themeColor="text1"/>
                      <w:szCs w:val="21"/>
                    </w:rPr>
                    <w:t>260</w:t>
                  </w:r>
                  <w:r>
                    <w:rPr>
                      <w:rFonts w:ascii="Times New Roman" w:hAnsiTheme="minorEastAsia" w:eastAsiaTheme="minorEastAsia"/>
                      <w:color w:val="000000" w:themeColor="text1"/>
                      <w:szCs w:val="21"/>
                    </w:rPr>
                    <w:t>个停车位，建筑面积为</w:t>
                  </w:r>
                  <w:r>
                    <w:rPr>
                      <w:rFonts w:ascii="Times New Roman" w:hAnsi="Times New Roman" w:eastAsiaTheme="minorEastAsia"/>
                      <w:color w:val="000000" w:themeColor="text1"/>
                      <w:szCs w:val="21"/>
                    </w:rPr>
                    <w:t>7475.97m</w:t>
                  </w:r>
                  <w:r>
                    <w:rPr>
                      <w:rFonts w:ascii="Times New Roman" w:hAnsi="Times New Roman" w:eastAsiaTheme="minorEastAsia"/>
                      <w:color w:val="000000" w:themeColor="text1"/>
                      <w:szCs w:val="21"/>
                      <w:vertAlign w:val="superscript"/>
                    </w:rPr>
                    <w:t>2</w:t>
                  </w:r>
                </w:p>
              </w:tc>
              <w:tc>
                <w:tcPr>
                  <w:tcW w:w="2703" w:type="dxa"/>
                  <w:vAlign w:val="center"/>
                </w:tcPr>
                <w:p w14:paraId="1059015E">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设置于项目地下一层，共设置</w:t>
                  </w:r>
                  <w:r>
                    <w:rPr>
                      <w:rFonts w:ascii="Times New Roman" w:hAnsi="Times New Roman" w:eastAsiaTheme="minorEastAsia"/>
                      <w:color w:val="000000" w:themeColor="text1"/>
                      <w:szCs w:val="21"/>
                    </w:rPr>
                    <w:t>260</w:t>
                  </w:r>
                  <w:r>
                    <w:rPr>
                      <w:rFonts w:ascii="Times New Roman" w:hAnsiTheme="minorEastAsia" w:eastAsiaTheme="minorEastAsia"/>
                      <w:color w:val="000000" w:themeColor="text1"/>
                      <w:szCs w:val="21"/>
                    </w:rPr>
                    <w:t>个停车位，建筑面积为</w:t>
                  </w:r>
                  <w:r>
                    <w:rPr>
                      <w:rFonts w:ascii="Times New Roman" w:hAnsi="Times New Roman" w:eastAsiaTheme="minorEastAsia"/>
                      <w:color w:val="000000" w:themeColor="text1"/>
                      <w:szCs w:val="21"/>
                    </w:rPr>
                    <w:t>7</w:t>
                  </w:r>
                  <w:r>
                    <w:rPr>
                      <w:rFonts w:hint="eastAsia" w:ascii="Times New Roman" w:hAnsi="Times New Roman" w:eastAsiaTheme="minorEastAsia"/>
                      <w:color w:val="000000" w:themeColor="text1"/>
                      <w:szCs w:val="21"/>
                      <w:lang w:val="en-US" w:eastAsia="zh-CN"/>
                    </w:rPr>
                    <w:t>530</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592" w:type="dxa"/>
                  <w:vAlign w:val="center"/>
                </w:tcPr>
                <w:p w14:paraId="2AEE8351">
                  <w:pPr>
                    <w:jc w:val="center"/>
                    <w:rPr>
                      <w:rFonts w:hint="default" w:ascii="Times New Roman" w:hAnsi="Times New Roman" w:eastAsiaTheme="minorEastAsia"/>
                      <w:color w:val="000000" w:themeColor="text1"/>
                      <w:szCs w:val="21"/>
                      <w:lang w:val="en-US"/>
                    </w:rPr>
                  </w:pPr>
                  <w:r>
                    <w:rPr>
                      <w:rFonts w:hint="eastAsia" w:ascii="Times New Roman" w:hAnsi="Times New Roman" w:eastAsiaTheme="minorEastAsia"/>
                      <w:color w:val="000000" w:themeColor="text1"/>
                      <w:szCs w:val="21"/>
                      <w:lang w:val="en-US" w:eastAsia="zh-CN"/>
                    </w:rPr>
                    <w:t>与环评相比实际建筑面积增加54.03m</w:t>
                  </w:r>
                  <w:r>
                    <w:rPr>
                      <w:rFonts w:hint="eastAsia" w:ascii="Times New Roman" w:hAnsi="Times New Roman" w:eastAsiaTheme="minorEastAsia"/>
                      <w:color w:val="000000" w:themeColor="text1"/>
                      <w:szCs w:val="21"/>
                      <w:vertAlign w:val="superscript"/>
                      <w:lang w:val="en-US" w:eastAsia="zh-CN"/>
                    </w:rPr>
                    <w:t>2</w:t>
                  </w:r>
                  <w:r>
                    <w:rPr>
                      <w:rFonts w:hint="eastAsia" w:ascii="Times New Roman" w:hAnsi="Times New Roman" w:eastAsiaTheme="minorEastAsia"/>
                      <w:color w:val="000000" w:themeColor="text1"/>
                      <w:szCs w:val="21"/>
                      <w:vertAlign w:val="baseline"/>
                      <w:lang w:val="en-US" w:eastAsia="zh-CN"/>
                    </w:rPr>
                    <w:t>，满足居民停车要求</w:t>
                  </w:r>
                </w:p>
              </w:tc>
            </w:tr>
            <w:tr w14:paraId="75B9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restart"/>
                  <w:vAlign w:val="center"/>
                </w:tcPr>
                <w:p w14:paraId="065E8F3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公用</w:t>
                  </w:r>
                </w:p>
                <w:p w14:paraId="55108092">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480509F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给水</w:t>
                  </w:r>
                </w:p>
              </w:tc>
              <w:tc>
                <w:tcPr>
                  <w:tcW w:w="2670" w:type="dxa"/>
                  <w:vAlign w:val="center"/>
                </w:tcPr>
                <w:p w14:paraId="54780DA3">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项目生活及消防用水由市政给水干管供给，由市政路引入供水管道，在建筑周围内形成环网作为本项目生活及消防的给水源</w:t>
                  </w:r>
                </w:p>
              </w:tc>
              <w:tc>
                <w:tcPr>
                  <w:tcW w:w="2703" w:type="dxa"/>
                  <w:vAlign w:val="center"/>
                </w:tcPr>
                <w:p w14:paraId="05C36BA8">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项目生活及消防用水由市政给水干管供给，由市政路引入供水管道，在建筑周围内形成环网作为本项目生活及消防的给水源</w:t>
                  </w:r>
                </w:p>
              </w:tc>
              <w:tc>
                <w:tcPr>
                  <w:tcW w:w="1592" w:type="dxa"/>
                  <w:vAlign w:val="center"/>
                </w:tcPr>
                <w:p w14:paraId="2DF3E934">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7FC5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4571D452">
                  <w:pPr>
                    <w:jc w:val="center"/>
                    <w:rPr>
                      <w:rFonts w:ascii="Times New Roman" w:hAnsi="Times New Roman" w:eastAsiaTheme="minorEastAsia"/>
                      <w:color w:val="000000" w:themeColor="text1"/>
                      <w:szCs w:val="21"/>
                    </w:rPr>
                  </w:pPr>
                </w:p>
              </w:tc>
              <w:tc>
                <w:tcPr>
                  <w:tcW w:w="1178" w:type="dxa"/>
                  <w:vAlign w:val="center"/>
                </w:tcPr>
                <w:p w14:paraId="131ED177">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排水</w:t>
                  </w:r>
                </w:p>
              </w:tc>
              <w:tc>
                <w:tcPr>
                  <w:tcW w:w="2670" w:type="dxa"/>
                  <w:vAlign w:val="center"/>
                </w:tcPr>
                <w:p w14:paraId="00B9901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本项目采用</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雨污分流</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排水系统。雨水经收集后外排至室外雨水管网；项目运营期产生的生活污水先经防渗化粪池处理后，排入项目内的污水处理站进行处理达到《城市污水再生利用</w:t>
                  </w:r>
                  <w:r>
                    <w:rPr>
                      <w:rFonts w:ascii="Times New Roman" w:hAnsi="Times New Roman" w:eastAsiaTheme="minorEastAsia"/>
                      <w:color w:val="000000" w:themeColor="text1"/>
                      <w:szCs w:val="21"/>
                    </w:rPr>
                    <w:t xml:space="preserve"> </w:t>
                  </w:r>
                  <w:r>
                    <w:rPr>
                      <w:rFonts w:ascii="Times New Roman" w:hAnsiTheme="minorEastAsia" w:eastAsiaTheme="minorEastAsia"/>
                      <w:color w:val="000000" w:themeColor="text1"/>
                      <w:szCs w:val="21"/>
                    </w:rPr>
                    <w:t>城市杂用水水质》（</w:t>
                  </w:r>
                  <w:r>
                    <w:rPr>
                      <w:rFonts w:ascii="Times New Roman" w:hAnsi="Times New Roman" w:eastAsiaTheme="minorEastAsia"/>
                      <w:color w:val="000000" w:themeColor="text1"/>
                      <w:szCs w:val="21"/>
                    </w:rPr>
                    <w:t>GB/T18920-2002</w:t>
                  </w:r>
                  <w:r>
                    <w:rPr>
                      <w:rFonts w:ascii="Times New Roman" w:hAnsiTheme="minorEastAsia" w:eastAsiaTheme="minorEastAsia"/>
                      <w:color w:val="000000" w:themeColor="text1"/>
                      <w:szCs w:val="21"/>
                    </w:rPr>
                    <w:t>）城市绿化水质标准及</w:t>
                  </w:r>
                  <w:r>
                    <w:rPr>
                      <w:rFonts w:ascii="Times New Roman" w:hAnsiTheme="minorEastAsia" w:eastAsiaTheme="minorEastAsia"/>
                      <w:bCs/>
                      <w:color w:val="000000" w:themeColor="text1"/>
                      <w:szCs w:val="21"/>
                    </w:rPr>
                    <w:t>《城镇污水处理厂污染物排放标准》（</w:t>
                  </w:r>
                  <w:r>
                    <w:rPr>
                      <w:rFonts w:ascii="Times New Roman" w:hAnsi="Times New Roman" w:eastAsiaTheme="minorEastAsia"/>
                      <w:bCs/>
                      <w:color w:val="000000" w:themeColor="text1"/>
                      <w:szCs w:val="21"/>
                    </w:rPr>
                    <w:t>GB18918-2002</w:t>
                  </w:r>
                  <w:r>
                    <w:rPr>
                      <w:rFonts w:ascii="Times New Roman" w:hAnsiTheme="minorEastAsia" w:eastAsiaTheme="minorEastAsia"/>
                      <w:bCs/>
                      <w:color w:val="000000" w:themeColor="text1"/>
                      <w:szCs w:val="21"/>
                    </w:rPr>
                    <w:t>）一级</w:t>
                  </w:r>
                  <w:r>
                    <w:rPr>
                      <w:rFonts w:ascii="Times New Roman" w:hAnsi="Times New Roman" w:eastAsiaTheme="minorEastAsia"/>
                      <w:bCs/>
                      <w:color w:val="000000" w:themeColor="text1"/>
                      <w:szCs w:val="21"/>
                    </w:rPr>
                    <w:t>A</w:t>
                  </w:r>
                  <w:r>
                    <w:rPr>
                      <w:rFonts w:ascii="Times New Roman" w:hAnsiTheme="minorEastAsia" w:eastAsiaTheme="minorEastAsia"/>
                      <w:bCs/>
                      <w:color w:val="000000" w:themeColor="text1"/>
                      <w:szCs w:val="21"/>
                    </w:rPr>
                    <w:t>标准</w:t>
                  </w:r>
                  <w:r>
                    <w:rPr>
                      <w:rFonts w:ascii="Times New Roman" w:hAnsiTheme="minorEastAsia" w:eastAsiaTheme="minorEastAsia"/>
                      <w:color w:val="000000" w:themeColor="text1"/>
                      <w:szCs w:val="21"/>
                    </w:rPr>
                    <w:t>后，排入市政污水管网，最终进入腾冲市污水处理厂</w:t>
                  </w:r>
                </w:p>
              </w:tc>
              <w:tc>
                <w:tcPr>
                  <w:tcW w:w="2703" w:type="dxa"/>
                  <w:vAlign w:val="center"/>
                </w:tcPr>
                <w:p w14:paraId="22497E1C">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本项目采用</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雨污分流</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排水系统。雨水经收集后外排至室外雨水管网；项目运营期产生的生活污水先经防渗化粪池处理后，排入项目内的污水处理站进行处理达到《城市污水再生利用</w:t>
                  </w:r>
                  <w:r>
                    <w:rPr>
                      <w:rFonts w:ascii="Times New Roman" w:hAnsi="Times New Roman" w:eastAsiaTheme="minorEastAsia"/>
                      <w:color w:val="000000" w:themeColor="text1"/>
                      <w:szCs w:val="21"/>
                    </w:rPr>
                    <w:t xml:space="preserve"> </w:t>
                  </w:r>
                  <w:r>
                    <w:rPr>
                      <w:rFonts w:ascii="Times New Roman" w:hAnsiTheme="minorEastAsia" w:eastAsiaTheme="minorEastAsia"/>
                      <w:color w:val="000000" w:themeColor="text1"/>
                      <w:szCs w:val="21"/>
                    </w:rPr>
                    <w:t>城市杂用水水质》（</w:t>
                  </w:r>
                  <w:r>
                    <w:rPr>
                      <w:rFonts w:ascii="Times New Roman" w:hAnsi="Times New Roman" w:eastAsiaTheme="minorEastAsia"/>
                      <w:color w:val="000000" w:themeColor="text1"/>
                      <w:szCs w:val="21"/>
                    </w:rPr>
                    <w:t>GB/T18920-20</w:t>
                  </w:r>
                  <w:r>
                    <w:rPr>
                      <w:rFonts w:hint="eastAsia" w:ascii="Times New Roman" w:hAnsi="Times New Roman" w:eastAsiaTheme="minorEastAsia"/>
                      <w:color w:val="000000" w:themeColor="text1"/>
                      <w:szCs w:val="21"/>
                      <w:lang w:val="en-US" w:eastAsia="zh-CN"/>
                    </w:rPr>
                    <w:t>20</w:t>
                  </w:r>
                  <w:r>
                    <w:rPr>
                      <w:rFonts w:ascii="Times New Roman" w:hAnsiTheme="minorEastAsia" w:eastAsiaTheme="minorEastAsia"/>
                      <w:color w:val="000000" w:themeColor="text1"/>
                      <w:szCs w:val="21"/>
                    </w:rPr>
                    <w:t>）城市绿化水质标准及</w:t>
                  </w:r>
                  <w:r>
                    <w:rPr>
                      <w:rFonts w:ascii="Times New Roman" w:hAnsiTheme="minorEastAsia" w:eastAsiaTheme="minorEastAsia"/>
                      <w:bCs/>
                      <w:color w:val="000000" w:themeColor="text1"/>
                      <w:szCs w:val="21"/>
                    </w:rPr>
                    <w:t>《城镇污水处理厂污染物排放标准》（</w:t>
                  </w:r>
                  <w:r>
                    <w:rPr>
                      <w:rFonts w:ascii="Times New Roman" w:hAnsi="Times New Roman" w:eastAsiaTheme="minorEastAsia"/>
                      <w:bCs/>
                      <w:color w:val="000000" w:themeColor="text1"/>
                      <w:szCs w:val="21"/>
                    </w:rPr>
                    <w:t>GB18918-2002</w:t>
                  </w:r>
                  <w:r>
                    <w:rPr>
                      <w:rFonts w:ascii="Times New Roman" w:hAnsiTheme="minorEastAsia" w:eastAsiaTheme="minorEastAsia"/>
                      <w:bCs/>
                      <w:color w:val="000000" w:themeColor="text1"/>
                      <w:szCs w:val="21"/>
                    </w:rPr>
                    <w:t>）一级</w:t>
                  </w:r>
                  <w:r>
                    <w:rPr>
                      <w:rFonts w:ascii="Times New Roman" w:hAnsi="Times New Roman" w:eastAsiaTheme="minorEastAsia"/>
                      <w:bCs/>
                      <w:color w:val="000000" w:themeColor="text1"/>
                      <w:szCs w:val="21"/>
                    </w:rPr>
                    <w:t>A</w:t>
                  </w:r>
                  <w:r>
                    <w:rPr>
                      <w:rFonts w:ascii="Times New Roman" w:hAnsiTheme="minorEastAsia" w:eastAsiaTheme="minorEastAsia"/>
                      <w:bCs/>
                      <w:color w:val="000000" w:themeColor="text1"/>
                      <w:szCs w:val="21"/>
                    </w:rPr>
                    <w:t>标准</w:t>
                  </w:r>
                  <w:r>
                    <w:rPr>
                      <w:rFonts w:ascii="Times New Roman" w:hAnsiTheme="minorEastAsia" w:eastAsiaTheme="minorEastAsia"/>
                      <w:color w:val="000000" w:themeColor="text1"/>
                      <w:szCs w:val="21"/>
                    </w:rPr>
                    <w:t>后，排入市政污水管网，最终进入腾冲市污水处理厂</w:t>
                  </w:r>
                </w:p>
              </w:tc>
              <w:tc>
                <w:tcPr>
                  <w:tcW w:w="1592" w:type="dxa"/>
                  <w:vAlign w:val="center"/>
                </w:tcPr>
                <w:p w14:paraId="50063FD6">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332B4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0332B2F6">
                  <w:pPr>
                    <w:jc w:val="center"/>
                    <w:rPr>
                      <w:rFonts w:ascii="Times New Roman" w:hAnsi="Times New Roman" w:eastAsiaTheme="minorEastAsia"/>
                      <w:color w:val="000000" w:themeColor="text1"/>
                      <w:szCs w:val="21"/>
                    </w:rPr>
                  </w:pPr>
                </w:p>
              </w:tc>
              <w:tc>
                <w:tcPr>
                  <w:tcW w:w="1178" w:type="dxa"/>
                  <w:vAlign w:val="center"/>
                </w:tcPr>
                <w:p w14:paraId="23A83DB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供电</w:t>
                  </w:r>
                </w:p>
              </w:tc>
              <w:tc>
                <w:tcPr>
                  <w:tcW w:w="2670" w:type="dxa"/>
                  <w:vAlign w:val="center"/>
                </w:tcPr>
                <w:p w14:paraId="7CDFF9A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由市政供电网供给，并设有柴油发电机作为备用电源</w:t>
                  </w:r>
                </w:p>
              </w:tc>
              <w:tc>
                <w:tcPr>
                  <w:tcW w:w="2703" w:type="dxa"/>
                  <w:vAlign w:val="center"/>
                </w:tcPr>
                <w:p w14:paraId="32217129">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由市政供电网供给，并设有柴油发电机作为备用电源</w:t>
                  </w:r>
                </w:p>
              </w:tc>
              <w:tc>
                <w:tcPr>
                  <w:tcW w:w="1592" w:type="dxa"/>
                  <w:vAlign w:val="center"/>
                </w:tcPr>
                <w:p w14:paraId="6E5F37DF">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2402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69B446AD">
                  <w:pPr>
                    <w:jc w:val="center"/>
                    <w:rPr>
                      <w:rFonts w:ascii="Times New Roman" w:hAnsi="Times New Roman" w:eastAsiaTheme="minorEastAsia"/>
                      <w:color w:val="000000" w:themeColor="text1"/>
                      <w:szCs w:val="21"/>
                    </w:rPr>
                  </w:pPr>
                </w:p>
              </w:tc>
              <w:tc>
                <w:tcPr>
                  <w:tcW w:w="1178" w:type="dxa"/>
                  <w:vAlign w:val="center"/>
                </w:tcPr>
                <w:p w14:paraId="48155A9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供热</w:t>
                  </w:r>
                </w:p>
              </w:tc>
              <w:tc>
                <w:tcPr>
                  <w:tcW w:w="2670" w:type="dxa"/>
                  <w:vAlign w:val="center"/>
                </w:tcPr>
                <w:p w14:paraId="77ED95F2">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position w:val="-2"/>
                      <w:szCs w:val="21"/>
                    </w:rPr>
                    <w:t>项目不进行统一供热，热水系统采用太阳能及电能辅助供热</w:t>
                  </w:r>
                </w:p>
              </w:tc>
              <w:tc>
                <w:tcPr>
                  <w:tcW w:w="2703" w:type="dxa"/>
                  <w:vAlign w:val="center"/>
                </w:tcPr>
                <w:p w14:paraId="62F4AB15">
                  <w:pPr>
                    <w:jc w:val="center"/>
                    <w:rPr>
                      <w:rFonts w:ascii="Times New Roman" w:hAnsiTheme="minorEastAsia" w:eastAsiaTheme="minorEastAsia"/>
                      <w:color w:val="000000" w:themeColor="text1"/>
                      <w:position w:val="-2"/>
                      <w:szCs w:val="21"/>
                    </w:rPr>
                  </w:pPr>
                  <w:r>
                    <w:rPr>
                      <w:rFonts w:ascii="Times New Roman" w:hAnsiTheme="minorEastAsia" w:eastAsiaTheme="minorEastAsia"/>
                      <w:color w:val="000000" w:themeColor="text1"/>
                      <w:position w:val="-2"/>
                      <w:szCs w:val="21"/>
                    </w:rPr>
                    <w:t>项目不进行统一供热，热水系统采用太阳能及电能辅助供热</w:t>
                  </w:r>
                </w:p>
              </w:tc>
              <w:tc>
                <w:tcPr>
                  <w:tcW w:w="1592" w:type="dxa"/>
                  <w:vAlign w:val="center"/>
                </w:tcPr>
                <w:p w14:paraId="63701781">
                  <w:pPr>
                    <w:jc w:val="center"/>
                    <w:rPr>
                      <w:rFonts w:ascii="Times New Roman" w:hAnsi="Times New Roman" w:eastAsiaTheme="minorEastAsia"/>
                      <w:color w:val="000000" w:themeColor="text1"/>
                      <w:position w:val="-2"/>
                      <w:szCs w:val="21"/>
                    </w:rPr>
                  </w:pPr>
                  <w:r>
                    <w:rPr>
                      <w:rFonts w:hint="eastAsia" w:ascii="Times New Roman" w:hAnsi="Times New Roman" w:eastAsiaTheme="minorEastAsia"/>
                      <w:color w:val="000000" w:themeColor="text1"/>
                      <w:szCs w:val="21"/>
                      <w:lang w:val="en-US" w:eastAsia="zh-CN"/>
                    </w:rPr>
                    <w:t>与环评一致</w:t>
                  </w:r>
                </w:p>
              </w:tc>
            </w:tr>
            <w:tr w14:paraId="183FC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729B193E">
                  <w:pPr>
                    <w:jc w:val="center"/>
                    <w:rPr>
                      <w:rFonts w:ascii="Times New Roman" w:hAnsi="Times New Roman" w:eastAsiaTheme="minorEastAsia"/>
                      <w:color w:val="000000" w:themeColor="text1"/>
                      <w:szCs w:val="21"/>
                    </w:rPr>
                  </w:pPr>
                </w:p>
              </w:tc>
              <w:tc>
                <w:tcPr>
                  <w:tcW w:w="1178" w:type="dxa"/>
                  <w:vAlign w:val="center"/>
                </w:tcPr>
                <w:p w14:paraId="41D98D0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消防</w:t>
                  </w:r>
                </w:p>
              </w:tc>
              <w:tc>
                <w:tcPr>
                  <w:tcW w:w="2670" w:type="dxa"/>
                  <w:vAlign w:val="center"/>
                </w:tcPr>
                <w:p w14:paraId="483A214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设计室外消防系统、室内消防系统两部分</w:t>
                  </w:r>
                </w:p>
              </w:tc>
              <w:tc>
                <w:tcPr>
                  <w:tcW w:w="2703" w:type="dxa"/>
                  <w:vAlign w:val="center"/>
                </w:tcPr>
                <w:p w14:paraId="159AF046">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设计室外消防系统、室内消防系统两部分</w:t>
                  </w:r>
                </w:p>
              </w:tc>
              <w:tc>
                <w:tcPr>
                  <w:tcW w:w="1592" w:type="dxa"/>
                  <w:vAlign w:val="center"/>
                </w:tcPr>
                <w:p w14:paraId="5B17818B">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2B44C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4F82CAC9">
                  <w:pPr>
                    <w:jc w:val="center"/>
                    <w:rPr>
                      <w:rFonts w:ascii="Times New Roman" w:hAnsi="Times New Roman" w:eastAsiaTheme="minorEastAsia"/>
                      <w:color w:val="000000" w:themeColor="text1"/>
                      <w:szCs w:val="21"/>
                    </w:rPr>
                  </w:pPr>
                </w:p>
              </w:tc>
              <w:tc>
                <w:tcPr>
                  <w:tcW w:w="1178" w:type="dxa"/>
                  <w:vAlign w:val="center"/>
                </w:tcPr>
                <w:p w14:paraId="71FA587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道路</w:t>
                  </w:r>
                </w:p>
              </w:tc>
              <w:tc>
                <w:tcPr>
                  <w:tcW w:w="2670" w:type="dxa"/>
                  <w:vAlign w:val="center"/>
                </w:tcPr>
                <w:p w14:paraId="49FFDE0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主要</w:t>
                  </w:r>
                  <w:r>
                    <w:rPr>
                      <w:rFonts w:ascii="Times New Roman" w:hAnsiTheme="minorEastAsia" w:eastAsiaTheme="minorEastAsia"/>
                      <w:color w:val="000000" w:themeColor="text1"/>
                      <w:position w:val="-2"/>
                      <w:szCs w:val="21"/>
                    </w:rPr>
                    <w:t>包括车行道、人行道，</w:t>
                  </w:r>
                  <w:r>
                    <w:rPr>
                      <w:rFonts w:ascii="Times New Roman" w:hAnsiTheme="minorEastAsia" w:eastAsiaTheme="minorEastAsia"/>
                      <w:color w:val="000000" w:themeColor="text1"/>
                      <w:szCs w:val="21"/>
                    </w:rPr>
                    <w:t>道路采用多孔隙沥青路面和防滑石板路面</w:t>
                  </w:r>
                </w:p>
              </w:tc>
              <w:tc>
                <w:tcPr>
                  <w:tcW w:w="2703" w:type="dxa"/>
                  <w:vAlign w:val="center"/>
                </w:tcPr>
                <w:p w14:paraId="562FAABA">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主要</w:t>
                  </w:r>
                  <w:r>
                    <w:rPr>
                      <w:rFonts w:ascii="Times New Roman" w:hAnsiTheme="minorEastAsia" w:eastAsiaTheme="minorEastAsia"/>
                      <w:color w:val="000000" w:themeColor="text1"/>
                      <w:position w:val="-2"/>
                      <w:szCs w:val="21"/>
                    </w:rPr>
                    <w:t>包括车行道、人行道，</w:t>
                  </w:r>
                  <w:r>
                    <w:rPr>
                      <w:rFonts w:ascii="Times New Roman" w:hAnsiTheme="minorEastAsia" w:eastAsiaTheme="minorEastAsia"/>
                      <w:color w:val="000000" w:themeColor="text1"/>
                      <w:szCs w:val="21"/>
                    </w:rPr>
                    <w:t>道路采用多孔隙沥青路面和防滑石板路面</w:t>
                  </w:r>
                </w:p>
              </w:tc>
              <w:tc>
                <w:tcPr>
                  <w:tcW w:w="1592" w:type="dxa"/>
                  <w:vAlign w:val="center"/>
                </w:tcPr>
                <w:p w14:paraId="1941BD0E">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639F9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776" w:type="dxa"/>
                  <w:vMerge w:val="restart"/>
                  <w:vAlign w:val="center"/>
                </w:tcPr>
                <w:p w14:paraId="202F8D8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环保</w:t>
                  </w:r>
                </w:p>
                <w:p w14:paraId="48FB5A7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2AD5C17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防渗化粪池</w:t>
                  </w:r>
                </w:p>
              </w:tc>
              <w:tc>
                <w:tcPr>
                  <w:tcW w:w="2670" w:type="dxa"/>
                  <w:vAlign w:val="center"/>
                </w:tcPr>
                <w:p w14:paraId="7B54464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设置</w:t>
                  </w:r>
                  <w:r>
                    <w:rPr>
                      <w:rFonts w:ascii="Times New Roman" w:hAnsi="Times New Roman" w:eastAsiaTheme="minorEastAsia"/>
                      <w:color w:val="000000" w:themeColor="text1"/>
                      <w:szCs w:val="21"/>
                    </w:rPr>
                    <w:t>1</w:t>
                  </w:r>
                  <w:r>
                    <w:rPr>
                      <w:rFonts w:ascii="Times New Roman" w:hAnsiTheme="minorEastAsia" w:eastAsiaTheme="minorEastAsia"/>
                      <w:color w:val="000000" w:themeColor="text1"/>
                      <w:szCs w:val="21"/>
                    </w:rPr>
                    <w:t>个防渗化粪池，容积为</w:t>
                  </w:r>
                  <w:r>
                    <w:rPr>
                      <w:rFonts w:ascii="Times New Roman" w:hAnsi="Times New Roman" w:eastAsiaTheme="minorEastAsia"/>
                      <w:color w:val="000000" w:themeColor="text1"/>
                      <w:szCs w:val="21"/>
                    </w:rPr>
                    <w:t>100m</w:t>
                  </w:r>
                  <w:r>
                    <w:rPr>
                      <w:rFonts w:ascii="Times New Roman" w:hAnsi="Times New Roman" w:eastAsiaTheme="minorEastAsia"/>
                      <w:color w:val="000000" w:themeColor="text1"/>
                      <w:szCs w:val="21"/>
                      <w:vertAlign w:val="superscript"/>
                    </w:rPr>
                    <w:t>3</w:t>
                  </w:r>
                  <w:r>
                    <w:rPr>
                      <w:rFonts w:ascii="Times New Roman" w:hAnsiTheme="minorEastAsia" w:eastAsiaTheme="minorEastAsia"/>
                      <w:color w:val="000000" w:themeColor="text1"/>
                      <w:szCs w:val="21"/>
                    </w:rPr>
                    <w:t>，位于</w:t>
                  </w:r>
                  <w:r>
                    <w:rPr>
                      <w:rFonts w:hint="eastAsia" w:ascii="Times New Roman" w:hAnsiTheme="minorEastAsia" w:eastAsiaTheme="minorEastAsia"/>
                      <w:color w:val="000000" w:themeColor="text1"/>
                      <w:szCs w:val="21"/>
                      <w:lang w:val="en-US" w:eastAsia="zh-CN"/>
                    </w:rPr>
                    <w:t>G</w:t>
                  </w:r>
                  <w:r>
                    <w:rPr>
                      <w:rFonts w:ascii="Times New Roman" w:hAnsi="Times New Roman" w:eastAsiaTheme="minorEastAsia"/>
                      <w:color w:val="000000" w:themeColor="text1"/>
                      <w:szCs w:val="21"/>
                    </w:rPr>
                    <w:t>5#</w:t>
                  </w:r>
                  <w:r>
                    <w:rPr>
                      <w:rFonts w:ascii="Times New Roman" w:hAnsiTheme="minorEastAsia" w:eastAsiaTheme="minorEastAsia"/>
                      <w:color w:val="000000" w:themeColor="text1"/>
                      <w:szCs w:val="21"/>
                    </w:rPr>
                    <w:t>住宅南侧</w:t>
                  </w:r>
                </w:p>
              </w:tc>
              <w:tc>
                <w:tcPr>
                  <w:tcW w:w="2703" w:type="dxa"/>
                  <w:vAlign w:val="center"/>
                </w:tcPr>
                <w:p w14:paraId="42139D75">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设置</w:t>
                  </w:r>
                  <w:r>
                    <w:rPr>
                      <w:rFonts w:ascii="Times New Roman" w:hAnsi="Times New Roman" w:eastAsiaTheme="minorEastAsia"/>
                      <w:color w:val="000000" w:themeColor="text1"/>
                      <w:szCs w:val="21"/>
                    </w:rPr>
                    <w:t>1</w:t>
                  </w:r>
                  <w:r>
                    <w:rPr>
                      <w:rFonts w:ascii="Times New Roman" w:hAnsiTheme="minorEastAsia" w:eastAsiaTheme="minorEastAsia"/>
                      <w:color w:val="000000" w:themeColor="text1"/>
                      <w:szCs w:val="21"/>
                    </w:rPr>
                    <w:t>个防渗化粪池，容积为</w:t>
                  </w:r>
                  <w:r>
                    <w:rPr>
                      <w:rFonts w:ascii="Times New Roman" w:hAnsi="Times New Roman" w:eastAsiaTheme="minorEastAsia"/>
                      <w:color w:val="000000" w:themeColor="text1"/>
                      <w:szCs w:val="21"/>
                      <w:highlight w:val="none"/>
                    </w:rPr>
                    <w:t>100m</w:t>
                  </w:r>
                  <w:r>
                    <w:rPr>
                      <w:rFonts w:ascii="Times New Roman" w:hAnsi="Times New Roman" w:eastAsiaTheme="minorEastAsia"/>
                      <w:color w:val="000000" w:themeColor="text1"/>
                      <w:szCs w:val="21"/>
                      <w:highlight w:val="none"/>
                      <w:vertAlign w:val="superscript"/>
                    </w:rPr>
                    <w:t>3</w:t>
                  </w:r>
                  <w:r>
                    <w:rPr>
                      <w:rFonts w:ascii="Times New Roman" w:hAnsiTheme="minorEastAsia" w:eastAsiaTheme="minorEastAsia"/>
                      <w:color w:val="000000" w:themeColor="text1"/>
                      <w:szCs w:val="21"/>
                    </w:rPr>
                    <w:t>，位于</w:t>
                  </w:r>
                  <w:r>
                    <w:rPr>
                      <w:rFonts w:hint="eastAsia" w:ascii="Times New Roman" w:hAnsiTheme="minorEastAsia" w:eastAsiaTheme="minorEastAsia"/>
                      <w:color w:val="000000" w:themeColor="text1"/>
                      <w:szCs w:val="21"/>
                      <w:lang w:val="en-US" w:eastAsia="zh-CN"/>
                    </w:rPr>
                    <w:t>G</w:t>
                  </w:r>
                  <w:r>
                    <w:rPr>
                      <w:rFonts w:ascii="Times New Roman" w:hAnsi="Times New Roman" w:eastAsiaTheme="minorEastAsia"/>
                      <w:color w:val="000000" w:themeColor="text1"/>
                      <w:szCs w:val="21"/>
                    </w:rPr>
                    <w:t>5#</w:t>
                  </w:r>
                  <w:r>
                    <w:rPr>
                      <w:rFonts w:ascii="Times New Roman" w:hAnsiTheme="minorEastAsia" w:eastAsiaTheme="minorEastAsia"/>
                      <w:color w:val="000000" w:themeColor="text1"/>
                      <w:szCs w:val="21"/>
                    </w:rPr>
                    <w:t>住宅</w:t>
                  </w:r>
                  <w:r>
                    <w:rPr>
                      <w:rFonts w:hint="eastAsia" w:ascii="Times New Roman" w:hAnsiTheme="minorEastAsia" w:eastAsiaTheme="minorEastAsia"/>
                      <w:color w:val="000000" w:themeColor="text1"/>
                      <w:szCs w:val="21"/>
                      <w:lang w:val="en-US" w:eastAsia="zh-CN"/>
                    </w:rPr>
                    <w:t>东</w:t>
                  </w:r>
                  <w:r>
                    <w:rPr>
                      <w:rFonts w:ascii="Times New Roman" w:hAnsiTheme="minorEastAsia" w:eastAsiaTheme="minorEastAsia"/>
                      <w:color w:val="000000" w:themeColor="text1"/>
                      <w:szCs w:val="21"/>
                    </w:rPr>
                    <w:t>侧</w:t>
                  </w:r>
                </w:p>
              </w:tc>
              <w:tc>
                <w:tcPr>
                  <w:tcW w:w="1592" w:type="dxa"/>
                  <w:vAlign w:val="center"/>
                </w:tcPr>
                <w:p w14:paraId="695344EB">
                  <w:pPr>
                    <w:jc w:val="center"/>
                    <w:rPr>
                      <w:rFonts w:hint="default" w:ascii="Times New Roman" w:hAnsi="Times New Roman" w:eastAsiaTheme="minorEastAsia"/>
                      <w:color w:val="000000" w:themeColor="text1"/>
                      <w:szCs w:val="21"/>
                      <w:lang w:val="en-US"/>
                    </w:rPr>
                  </w:pPr>
                  <w:r>
                    <w:rPr>
                      <w:rFonts w:hint="eastAsia" w:ascii="Times New Roman" w:hAnsi="Times New Roman" w:eastAsiaTheme="minorEastAsia"/>
                      <w:color w:val="000000" w:themeColor="text1"/>
                      <w:szCs w:val="21"/>
                      <w:lang w:val="en-US" w:eastAsia="zh-CN"/>
                    </w:rPr>
                    <w:t>与环评相比实际化粪池位置发生改变，满足项目污水处理要求</w:t>
                  </w:r>
                </w:p>
              </w:tc>
            </w:tr>
            <w:tr w14:paraId="6C3C3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776" w:type="dxa"/>
                  <w:vMerge w:val="continue"/>
                  <w:vAlign w:val="center"/>
                </w:tcPr>
                <w:p w14:paraId="3B680CDC">
                  <w:pPr>
                    <w:jc w:val="center"/>
                    <w:rPr>
                      <w:rFonts w:ascii="Times New Roman" w:hAnsiTheme="minorEastAsia" w:eastAsiaTheme="minorEastAsia"/>
                      <w:color w:val="000000" w:themeColor="text1"/>
                      <w:szCs w:val="21"/>
                    </w:rPr>
                  </w:pPr>
                </w:p>
              </w:tc>
              <w:tc>
                <w:tcPr>
                  <w:tcW w:w="1178" w:type="dxa"/>
                  <w:vAlign w:val="center"/>
                </w:tcPr>
                <w:p w14:paraId="2BCFFA36">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污水处理站</w:t>
                  </w:r>
                </w:p>
              </w:tc>
              <w:tc>
                <w:tcPr>
                  <w:tcW w:w="2670" w:type="dxa"/>
                  <w:vAlign w:val="center"/>
                </w:tcPr>
                <w:p w14:paraId="27E56E91">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设置1个污水处理站，处理能力为350m</w:t>
                  </w:r>
                  <w:r>
                    <w:rPr>
                      <w:rFonts w:hint="eastAsia" w:ascii="Times New Roman" w:hAnsiTheme="minorEastAsia" w:eastAsiaTheme="minorEastAsia"/>
                      <w:color w:val="000000" w:themeColor="text1"/>
                      <w:szCs w:val="21"/>
                      <w:vertAlign w:val="superscript"/>
                      <w:lang w:val="en-US" w:eastAsia="zh-CN"/>
                    </w:rPr>
                    <w:t>3</w:t>
                  </w:r>
                  <w:r>
                    <w:rPr>
                      <w:rFonts w:hint="eastAsia" w:ascii="Times New Roman" w:hAnsiTheme="minorEastAsia" w:eastAsiaTheme="minorEastAsia"/>
                      <w:color w:val="000000" w:themeColor="text1"/>
                      <w:szCs w:val="21"/>
                      <w:lang w:val="en-US" w:eastAsia="zh-CN"/>
                    </w:rPr>
                    <w:t>/d，位于项目东南侧</w:t>
                  </w:r>
                </w:p>
              </w:tc>
              <w:tc>
                <w:tcPr>
                  <w:tcW w:w="2703" w:type="dxa"/>
                  <w:vAlign w:val="center"/>
                </w:tcPr>
                <w:p w14:paraId="7D79CD0D">
                  <w:pPr>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设置1个污水处理站，处理能力为384m</w:t>
                  </w:r>
                  <w:r>
                    <w:rPr>
                      <w:rFonts w:hint="eastAsia" w:ascii="Times New Roman" w:hAnsiTheme="minorEastAsia" w:eastAsiaTheme="minorEastAsia"/>
                      <w:color w:val="000000" w:themeColor="text1"/>
                      <w:szCs w:val="21"/>
                      <w:vertAlign w:val="superscript"/>
                      <w:lang w:val="en-US" w:eastAsia="zh-CN"/>
                    </w:rPr>
                    <w:t>3</w:t>
                  </w:r>
                  <w:r>
                    <w:rPr>
                      <w:rFonts w:hint="eastAsia" w:ascii="Times New Roman" w:hAnsiTheme="minorEastAsia" w:eastAsiaTheme="minorEastAsia"/>
                      <w:color w:val="000000" w:themeColor="text1"/>
                      <w:szCs w:val="21"/>
                      <w:lang w:val="en-US" w:eastAsia="zh-CN"/>
                    </w:rPr>
                    <w:t>/d，位于项目东南侧</w:t>
                  </w:r>
                </w:p>
              </w:tc>
              <w:tc>
                <w:tcPr>
                  <w:tcW w:w="1592" w:type="dxa"/>
                  <w:vAlign w:val="center"/>
                </w:tcPr>
                <w:p w14:paraId="0B252F13">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cs="Times New Roman" w:eastAsiaTheme="minorEastAsia"/>
                      <w:color w:val="000000" w:themeColor="text1"/>
                      <w:szCs w:val="21"/>
                      <w:lang w:val="en-US" w:eastAsia="zh-CN"/>
                    </w:rPr>
                    <w:t>从整体考虑腾冲市“顺颐府”住宅建设项目与腾冲市“顺颐府”商业建设项目共设置1个污水处理站，污水处理站为腾冲市“顺颐府”商业建设项目建设内容，但腾冲市“顺颐府”商业建设项目主体工程未建设完成，无法验收，因此污水处理站于本项目完成验收</w:t>
                  </w:r>
                </w:p>
              </w:tc>
            </w:tr>
            <w:tr w14:paraId="6993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410CF135">
                  <w:pPr>
                    <w:jc w:val="center"/>
                    <w:rPr>
                      <w:rFonts w:ascii="Times New Roman" w:hAnsi="Times New Roman" w:eastAsiaTheme="minorEastAsia"/>
                      <w:color w:val="000000" w:themeColor="text1"/>
                      <w:szCs w:val="21"/>
                    </w:rPr>
                  </w:pPr>
                </w:p>
              </w:tc>
              <w:tc>
                <w:tcPr>
                  <w:tcW w:w="1178" w:type="dxa"/>
                  <w:vAlign w:val="center"/>
                </w:tcPr>
                <w:p w14:paraId="06EB60B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垃圾收集设施</w:t>
                  </w:r>
                </w:p>
              </w:tc>
              <w:tc>
                <w:tcPr>
                  <w:tcW w:w="2670" w:type="dxa"/>
                  <w:vAlign w:val="center"/>
                </w:tcPr>
                <w:p w14:paraId="0373304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在道路两侧、住宅楼等分别设置垃圾收集桶</w:t>
                  </w:r>
                </w:p>
              </w:tc>
              <w:tc>
                <w:tcPr>
                  <w:tcW w:w="2703" w:type="dxa"/>
                  <w:vAlign w:val="center"/>
                </w:tcPr>
                <w:p w14:paraId="07AC2796">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在道路两侧、住宅楼等分别设置垃圾收集桶</w:t>
                  </w:r>
                </w:p>
              </w:tc>
              <w:tc>
                <w:tcPr>
                  <w:tcW w:w="1592" w:type="dxa"/>
                  <w:vAlign w:val="center"/>
                </w:tcPr>
                <w:p w14:paraId="534AF8A6">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712DA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65BB75E3">
                  <w:pPr>
                    <w:jc w:val="center"/>
                    <w:rPr>
                      <w:rFonts w:ascii="Times New Roman" w:hAnsi="Times New Roman" w:eastAsiaTheme="minorEastAsia"/>
                      <w:color w:val="000000" w:themeColor="text1"/>
                      <w:szCs w:val="21"/>
                    </w:rPr>
                  </w:pPr>
                </w:p>
              </w:tc>
              <w:tc>
                <w:tcPr>
                  <w:tcW w:w="1178" w:type="dxa"/>
                  <w:vAlign w:val="center"/>
                </w:tcPr>
                <w:p w14:paraId="5BE39E5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绿化</w:t>
                  </w:r>
                </w:p>
              </w:tc>
              <w:tc>
                <w:tcPr>
                  <w:tcW w:w="2670" w:type="dxa"/>
                  <w:vAlign w:val="center"/>
                </w:tcPr>
                <w:p w14:paraId="321C0B2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绿地面积为</w:t>
                  </w:r>
                  <w:r>
                    <w:rPr>
                      <w:rFonts w:ascii="Times New Roman" w:hAnsi="Times New Roman" w:eastAsiaTheme="minorEastAsia"/>
                      <w:color w:val="000000" w:themeColor="text1"/>
                      <w:szCs w:val="21"/>
                    </w:rPr>
                    <w:t>4864.21m</w:t>
                  </w:r>
                  <w:r>
                    <w:rPr>
                      <w:rFonts w:ascii="Times New Roman" w:hAnsi="Times New Roman" w:eastAsiaTheme="minorEastAsia"/>
                      <w:color w:val="000000" w:themeColor="text1"/>
                      <w:szCs w:val="21"/>
                      <w:vertAlign w:val="superscript"/>
                    </w:rPr>
                    <w:t>2</w:t>
                  </w:r>
                  <w:r>
                    <w:rPr>
                      <w:rFonts w:ascii="Times New Roman" w:hAnsiTheme="minorEastAsia" w:eastAsiaTheme="minorEastAsia"/>
                      <w:color w:val="000000" w:themeColor="text1"/>
                      <w:szCs w:val="21"/>
                    </w:rPr>
                    <w:t>，绿化率为</w:t>
                  </w:r>
                  <w:r>
                    <w:rPr>
                      <w:rFonts w:ascii="Times New Roman" w:hAnsi="Times New Roman" w:eastAsiaTheme="minorEastAsia"/>
                      <w:color w:val="000000" w:themeColor="text1"/>
                      <w:szCs w:val="21"/>
                    </w:rPr>
                    <w:t>35%</w:t>
                  </w:r>
                </w:p>
              </w:tc>
              <w:tc>
                <w:tcPr>
                  <w:tcW w:w="2703" w:type="dxa"/>
                  <w:vAlign w:val="center"/>
                </w:tcPr>
                <w:p w14:paraId="0B0CBBEF">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绿地面积为</w:t>
                  </w:r>
                  <w:r>
                    <w:rPr>
                      <w:rFonts w:hint="eastAsia" w:ascii="Times New Roman" w:hAnsi="Times New Roman" w:eastAsiaTheme="minorEastAsia"/>
                      <w:color w:val="000000" w:themeColor="text1"/>
                      <w:szCs w:val="21"/>
                      <w:lang w:val="en-US" w:eastAsia="zh-CN"/>
                    </w:rPr>
                    <w:t>5004</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r>
                    <w:rPr>
                      <w:rFonts w:ascii="Times New Roman" w:hAnsiTheme="minorEastAsia" w:eastAsiaTheme="minorEastAsia"/>
                      <w:color w:val="000000" w:themeColor="text1"/>
                      <w:szCs w:val="21"/>
                    </w:rPr>
                    <w:t>，绿化率为</w:t>
                  </w:r>
                  <w:r>
                    <w:rPr>
                      <w:rFonts w:ascii="Times New Roman" w:hAnsi="Times New Roman" w:eastAsiaTheme="minorEastAsia"/>
                      <w:color w:val="000000" w:themeColor="text1"/>
                      <w:szCs w:val="21"/>
                    </w:rPr>
                    <w:t>3</w:t>
                  </w:r>
                  <w:r>
                    <w:rPr>
                      <w:rFonts w:hint="eastAsia" w:ascii="Times New Roman" w:hAnsi="Times New Roman" w:eastAsiaTheme="minorEastAsia"/>
                      <w:color w:val="000000" w:themeColor="text1"/>
                      <w:szCs w:val="21"/>
                      <w:lang w:val="en-US" w:eastAsia="zh-CN"/>
                    </w:rPr>
                    <w:t>6</w:t>
                  </w:r>
                  <w:r>
                    <w:rPr>
                      <w:rFonts w:ascii="Times New Roman" w:hAnsi="Times New Roman" w:eastAsiaTheme="minorEastAsia"/>
                      <w:color w:val="000000" w:themeColor="text1"/>
                      <w:szCs w:val="21"/>
                    </w:rPr>
                    <w:t>%</w:t>
                  </w:r>
                </w:p>
              </w:tc>
              <w:tc>
                <w:tcPr>
                  <w:tcW w:w="1592" w:type="dxa"/>
                  <w:vAlign w:val="center"/>
                </w:tcPr>
                <w:p w14:paraId="4B9F98DD">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与环评相比实际绿化面积增加139.79m</w:t>
                  </w:r>
                  <w:r>
                    <w:rPr>
                      <w:rFonts w:hint="eastAsia" w:ascii="Times New Roman" w:hAnsi="Times New Roman" w:eastAsiaTheme="minorEastAsia"/>
                      <w:color w:val="000000" w:themeColor="text1"/>
                      <w:szCs w:val="21"/>
                      <w:vertAlign w:val="superscript"/>
                      <w:lang w:val="en-US" w:eastAsia="zh-CN"/>
                    </w:rPr>
                    <w:t>2</w:t>
                  </w:r>
                  <w:r>
                    <w:rPr>
                      <w:rFonts w:hint="eastAsia" w:hAnsi="Times New Roman" w:cs="Times New Roman"/>
                      <w:color w:val="000000" w:themeColor="text1"/>
                      <w:sz w:val="21"/>
                      <w:szCs w:val="21"/>
                      <w:vertAlign w:val="baseline"/>
                      <w:lang w:val="en-US" w:eastAsia="zh-CN"/>
                    </w:rPr>
                    <w:t>，满足绿化要求</w:t>
                  </w:r>
                </w:p>
              </w:tc>
            </w:tr>
            <w:tr w14:paraId="0028B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Align w:val="center"/>
                </w:tcPr>
                <w:p w14:paraId="0D680BA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储运依托工程</w:t>
                  </w:r>
                </w:p>
              </w:tc>
              <w:tc>
                <w:tcPr>
                  <w:tcW w:w="1178" w:type="dxa"/>
                  <w:vAlign w:val="center"/>
                </w:tcPr>
                <w:p w14:paraId="144BBC77">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道路</w:t>
                  </w:r>
                </w:p>
              </w:tc>
              <w:tc>
                <w:tcPr>
                  <w:tcW w:w="2670" w:type="dxa"/>
                  <w:vAlign w:val="center"/>
                </w:tcPr>
                <w:p w14:paraId="51E627FD">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项目施工及运营期材料及物料的运输依托项目北侧桃园路、东侧宝峰路</w:t>
                  </w:r>
                  <w:r>
                    <w:rPr>
                      <w:rFonts w:ascii="Times New Roman" w:hAnsi="Times New Roman" w:eastAsiaTheme="minorEastAsia"/>
                      <w:color w:val="000000" w:themeColor="text1"/>
                      <w:szCs w:val="21"/>
                    </w:rPr>
                    <w:t xml:space="preserve"> </w:t>
                  </w:r>
                </w:p>
              </w:tc>
              <w:tc>
                <w:tcPr>
                  <w:tcW w:w="2703" w:type="dxa"/>
                  <w:vAlign w:val="center"/>
                </w:tcPr>
                <w:p w14:paraId="4D86B483">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项目施工及运营期材料及物料的运输依托项目北侧桃园路、东侧宝峰路</w:t>
                  </w:r>
                  <w:r>
                    <w:rPr>
                      <w:rFonts w:ascii="Times New Roman" w:hAnsi="Times New Roman" w:eastAsiaTheme="minorEastAsia"/>
                      <w:color w:val="000000" w:themeColor="text1"/>
                      <w:szCs w:val="21"/>
                    </w:rPr>
                    <w:t xml:space="preserve"> </w:t>
                  </w:r>
                </w:p>
              </w:tc>
              <w:tc>
                <w:tcPr>
                  <w:tcW w:w="1592" w:type="dxa"/>
                  <w:vAlign w:val="center"/>
                </w:tcPr>
                <w:p w14:paraId="09604622">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bl>
          <w:p w14:paraId="65A34E4C">
            <w:pPr>
              <w:pStyle w:val="19"/>
              <w:spacing w:after="0" w:line="360" w:lineRule="auto"/>
              <w:ind w:firstLine="480" w:firstLineChars="200"/>
              <w:jc w:val="left"/>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由于实际施工等原因，项目实际工程与环评设计有一定出入，</w:t>
            </w:r>
            <w:r>
              <w:rPr>
                <w:rFonts w:hint="default" w:ascii="Times New Roman" w:hAnsi="Times New Roman" w:cs="Times New Roman"/>
                <w:bCs/>
                <w:color w:val="000000" w:themeColor="text1"/>
                <w:sz w:val="24"/>
                <w:szCs w:val="24"/>
                <w:highlight w:val="none"/>
              </w:rPr>
              <w:t>但总用地面积、建筑面积</w:t>
            </w:r>
            <w:r>
              <w:rPr>
                <w:rFonts w:hint="eastAsia" w:ascii="Times New Roman" w:hAnsi="Times New Roman" w:cs="Times New Roman"/>
                <w:bCs/>
                <w:color w:val="000000" w:themeColor="text1"/>
                <w:sz w:val="24"/>
                <w:szCs w:val="24"/>
                <w:highlight w:val="none"/>
                <w:lang w:val="en-US" w:eastAsia="zh-CN"/>
              </w:rPr>
              <w:t>未发生较大变化，基本与环评报告书及其批复一致。项目建设过程中，严格按照环评要求认真落实各项环保设施及措施，满足环评预期要求。</w:t>
            </w:r>
            <w:r>
              <w:rPr>
                <w:rFonts w:hint="default" w:ascii="Times New Roman" w:hAnsi="Times New Roman" w:cs="Times New Roman"/>
                <w:bCs/>
                <w:color w:val="000000" w:themeColor="text1"/>
                <w:sz w:val="24"/>
                <w:szCs w:val="24"/>
              </w:rPr>
              <w:t>对照《污染影响类建设项目重大变动清单（试行）》（环办环评函〔2020〕688号）文件</w:t>
            </w:r>
            <w:r>
              <w:rPr>
                <w:rFonts w:hint="default" w:ascii="Times New Roman" w:hAnsi="Times New Roman" w:eastAsia="宋体" w:cs="Times New Roman"/>
                <w:color w:val="000000" w:themeColor="text1"/>
                <w:sz w:val="24"/>
                <w:szCs w:val="24"/>
              </w:rPr>
              <w:t>中重大变动清单的对比分析可知，本项目无重大变动情况，可正常纳入竣工环境保护验收管理。</w:t>
            </w:r>
            <w:r>
              <w:rPr>
                <w:rFonts w:hint="default" w:ascii="Times New Roman" w:hAnsi="Times New Roman" w:cs="Times New Roman"/>
                <w:bCs/>
                <w:color w:val="000000" w:themeColor="text1"/>
                <w:sz w:val="24"/>
                <w:szCs w:val="24"/>
              </w:rPr>
              <w:t>具体见下表；</w:t>
            </w:r>
          </w:p>
          <w:p w14:paraId="7DE68C73">
            <w:pPr>
              <w:pStyle w:val="19"/>
              <w:spacing w:after="0"/>
              <w:jc w:val="center"/>
              <w:rPr>
                <w:rFonts w:hint="default" w:ascii="Times New Roman" w:hAnsi="Times New Roman" w:cs="Times New Roman"/>
                <w:b/>
                <w:color w:val="000000" w:themeColor="text1"/>
              </w:rPr>
            </w:pPr>
            <w:r>
              <w:rPr>
                <w:rFonts w:hint="default" w:ascii="Times New Roman" w:hAnsi="Times New Roman" w:cs="Times New Roman"/>
                <w:b/>
                <w:color w:val="000000" w:themeColor="text1"/>
                <w:sz w:val="24"/>
                <w:szCs w:val="24"/>
              </w:rPr>
              <w:t>表2-3  项目主要工程变化情况表</w:t>
            </w:r>
          </w:p>
          <w:tbl>
            <w:tblPr>
              <w:tblStyle w:val="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917"/>
              <w:gridCol w:w="2986"/>
              <w:gridCol w:w="2667"/>
              <w:gridCol w:w="1522"/>
            </w:tblGrid>
            <w:tr w14:paraId="0103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7EB2FBBE">
                  <w:pPr>
                    <w:spacing w:line="240" w:lineRule="auto"/>
                    <w:jc w:val="center"/>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类别</w:t>
                  </w:r>
                </w:p>
              </w:tc>
              <w:tc>
                <w:tcPr>
                  <w:tcW w:w="514" w:type="pct"/>
                  <w:tcBorders>
                    <w:top w:val="single" w:color="auto" w:sz="4" w:space="0"/>
                    <w:left w:val="single" w:color="auto" w:sz="4" w:space="0"/>
                    <w:bottom w:val="single" w:color="auto" w:sz="4" w:space="0"/>
                    <w:right w:val="single" w:color="auto" w:sz="4" w:space="0"/>
                  </w:tcBorders>
                  <w:vAlign w:val="center"/>
                </w:tcPr>
                <w:p w14:paraId="6FD95E10">
                  <w:pPr>
                    <w:spacing w:line="240" w:lineRule="auto"/>
                    <w:jc w:val="center"/>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序号</w:t>
                  </w:r>
                </w:p>
              </w:tc>
              <w:tc>
                <w:tcPr>
                  <w:tcW w:w="1674" w:type="pct"/>
                  <w:tcBorders>
                    <w:top w:val="single" w:color="auto" w:sz="4" w:space="0"/>
                    <w:left w:val="single" w:color="auto" w:sz="4" w:space="0"/>
                    <w:bottom w:val="single" w:color="auto" w:sz="4" w:space="0"/>
                    <w:right w:val="single" w:color="auto" w:sz="4" w:space="0"/>
                  </w:tcBorders>
                  <w:vAlign w:val="center"/>
                </w:tcPr>
                <w:p w14:paraId="756283DB">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kern w:val="0"/>
                      <w:sz w:val="21"/>
                      <w:szCs w:val="21"/>
                    </w:rPr>
                    <w:t>重大变动清单</w:t>
                  </w:r>
                </w:p>
              </w:tc>
              <w:tc>
                <w:tcPr>
                  <w:tcW w:w="1495" w:type="pct"/>
                  <w:tcBorders>
                    <w:top w:val="single" w:color="auto" w:sz="4" w:space="0"/>
                    <w:left w:val="single" w:color="auto" w:sz="4" w:space="0"/>
                    <w:bottom w:val="single" w:color="auto" w:sz="4" w:space="0"/>
                    <w:right w:val="single" w:color="auto" w:sz="4" w:space="0"/>
                  </w:tcBorders>
                  <w:vAlign w:val="center"/>
                </w:tcPr>
                <w:p w14:paraId="17646721">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kern w:val="0"/>
                      <w:sz w:val="21"/>
                      <w:szCs w:val="21"/>
                    </w:rPr>
                    <w:t>实际建设情况</w:t>
                  </w:r>
                </w:p>
              </w:tc>
              <w:tc>
                <w:tcPr>
                  <w:tcW w:w="853" w:type="pct"/>
                  <w:tcBorders>
                    <w:top w:val="single" w:color="auto" w:sz="4" w:space="0"/>
                    <w:left w:val="single" w:color="auto" w:sz="4" w:space="0"/>
                    <w:bottom w:val="single" w:color="auto" w:sz="4" w:space="0"/>
                    <w:right w:val="single" w:color="auto" w:sz="4" w:space="0"/>
                  </w:tcBorders>
                  <w:vAlign w:val="center"/>
                </w:tcPr>
                <w:p w14:paraId="04899411">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是否属于重大变更</w:t>
                  </w:r>
                </w:p>
              </w:tc>
            </w:tr>
            <w:tr w14:paraId="2C60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1C4897B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性质</w:t>
                  </w:r>
                </w:p>
              </w:tc>
              <w:tc>
                <w:tcPr>
                  <w:tcW w:w="514" w:type="pct"/>
                  <w:tcBorders>
                    <w:top w:val="single" w:color="auto" w:sz="4" w:space="0"/>
                    <w:left w:val="single" w:color="auto" w:sz="4" w:space="0"/>
                    <w:bottom w:val="single" w:color="auto" w:sz="4" w:space="0"/>
                    <w:right w:val="single" w:color="auto" w:sz="4" w:space="0"/>
                  </w:tcBorders>
                  <w:vAlign w:val="center"/>
                </w:tcPr>
                <w:p w14:paraId="68DCAA22">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w:t>
                  </w:r>
                </w:p>
              </w:tc>
              <w:tc>
                <w:tcPr>
                  <w:tcW w:w="1674" w:type="pct"/>
                  <w:tcBorders>
                    <w:top w:val="single" w:color="auto" w:sz="4" w:space="0"/>
                    <w:left w:val="single" w:color="auto" w:sz="4" w:space="0"/>
                    <w:bottom w:val="single" w:color="auto" w:sz="4" w:space="0"/>
                    <w:right w:val="single" w:color="auto" w:sz="4" w:space="0"/>
                  </w:tcBorders>
                  <w:vAlign w:val="center"/>
                </w:tcPr>
                <w:p w14:paraId="1A0D2727">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建设项目开发、使用功能发生变化的</w:t>
                  </w:r>
                </w:p>
              </w:tc>
              <w:tc>
                <w:tcPr>
                  <w:tcW w:w="1495" w:type="pct"/>
                  <w:tcBorders>
                    <w:top w:val="single" w:color="auto" w:sz="4" w:space="0"/>
                    <w:left w:val="single" w:color="auto" w:sz="4" w:space="0"/>
                    <w:bottom w:val="single" w:color="auto" w:sz="4" w:space="0"/>
                    <w:right w:val="single" w:color="auto" w:sz="4" w:space="0"/>
                  </w:tcBorders>
                  <w:vAlign w:val="center"/>
                </w:tcPr>
                <w:p w14:paraId="3FE24A86">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rPr>
                    <w:t>主要建设内容为高层住宅、地下停车场及相应配套设施</w:t>
                  </w:r>
                  <w:r>
                    <w:rPr>
                      <w:rFonts w:hint="eastAsia" w:ascii="Times New Roman" w:hAnsi="Times New Roman" w:cs="Times New Roman"/>
                      <w:color w:val="000000" w:themeColor="text1"/>
                      <w:sz w:val="21"/>
                      <w:szCs w:val="21"/>
                      <w:lang w:eastAsia="zh-CN"/>
                    </w:rPr>
                    <w:t>，</w:t>
                  </w:r>
                  <w:r>
                    <w:rPr>
                      <w:rFonts w:hint="eastAsia" w:ascii="Times New Roman" w:hAnsi="Times New Roman" w:cs="Times New Roman"/>
                      <w:color w:val="000000" w:themeColor="text1"/>
                      <w:sz w:val="21"/>
                      <w:szCs w:val="21"/>
                      <w:lang w:val="en-US" w:eastAsia="zh-CN"/>
                    </w:rPr>
                    <w:t>与环评一致</w:t>
                  </w:r>
                </w:p>
              </w:tc>
              <w:tc>
                <w:tcPr>
                  <w:tcW w:w="853" w:type="pct"/>
                  <w:tcBorders>
                    <w:top w:val="single" w:color="auto" w:sz="4" w:space="0"/>
                    <w:left w:val="single" w:color="auto" w:sz="4" w:space="0"/>
                    <w:bottom w:val="single" w:color="auto" w:sz="4" w:space="0"/>
                    <w:right w:val="single" w:color="auto" w:sz="4" w:space="0"/>
                  </w:tcBorders>
                  <w:vAlign w:val="center"/>
                </w:tcPr>
                <w:p w14:paraId="4CF35B2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7414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tcBorders>
                    <w:top w:val="single" w:color="auto" w:sz="4" w:space="0"/>
                    <w:left w:val="single" w:color="auto" w:sz="4" w:space="0"/>
                    <w:bottom w:val="single" w:color="auto" w:sz="4" w:space="0"/>
                    <w:right w:val="single" w:color="auto" w:sz="4" w:space="0"/>
                  </w:tcBorders>
                  <w:vAlign w:val="center"/>
                </w:tcPr>
                <w:p w14:paraId="055B3B6E">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规模</w:t>
                  </w:r>
                </w:p>
              </w:tc>
              <w:tc>
                <w:tcPr>
                  <w:tcW w:w="514" w:type="pct"/>
                  <w:tcBorders>
                    <w:top w:val="single" w:color="auto" w:sz="4" w:space="0"/>
                    <w:left w:val="single" w:color="auto" w:sz="4" w:space="0"/>
                    <w:bottom w:val="single" w:color="auto" w:sz="4" w:space="0"/>
                    <w:right w:val="single" w:color="auto" w:sz="4" w:space="0"/>
                  </w:tcBorders>
                  <w:vAlign w:val="center"/>
                </w:tcPr>
                <w:p w14:paraId="5027081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2</w:t>
                  </w:r>
                </w:p>
              </w:tc>
              <w:tc>
                <w:tcPr>
                  <w:tcW w:w="1674" w:type="pct"/>
                  <w:tcBorders>
                    <w:top w:val="single" w:color="auto" w:sz="4" w:space="0"/>
                    <w:left w:val="single" w:color="auto" w:sz="4" w:space="0"/>
                    <w:bottom w:val="single" w:color="auto" w:sz="4" w:space="0"/>
                    <w:right w:val="single" w:color="auto" w:sz="4" w:space="0"/>
                  </w:tcBorders>
                  <w:vAlign w:val="center"/>
                </w:tcPr>
                <w:p w14:paraId="23EB5012">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生产、处置或储存能力增大30%及以上的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5FBC13BD">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rPr>
                    <w:t>总住宅户数为</w:t>
                  </w:r>
                  <w:r>
                    <w:rPr>
                      <w:rFonts w:hint="eastAsia" w:ascii="Times New Roman" w:hAnsi="Times New Roman" w:cs="Times New Roman"/>
                      <w:color w:val="000000" w:themeColor="text1"/>
                      <w:sz w:val="21"/>
                      <w:szCs w:val="21"/>
                      <w:highlight w:val="none"/>
                      <w:lang w:val="en-US" w:eastAsia="zh-CN"/>
                    </w:rPr>
                    <w:t>283</w:t>
                  </w:r>
                  <w:r>
                    <w:rPr>
                      <w:rFonts w:hint="default" w:ascii="Times New Roman" w:hAnsi="Times New Roman" w:cs="Times New Roman"/>
                      <w:color w:val="000000" w:themeColor="text1"/>
                      <w:sz w:val="21"/>
                      <w:szCs w:val="21"/>
                    </w:rPr>
                    <w:t>户；总建筑面积为</w:t>
                  </w:r>
                  <w:r>
                    <w:rPr>
                      <w:rFonts w:hint="eastAsia" w:ascii="Times New Roman" w:hAnsi="Times New Roman" w:eastAsiaTheme="minorEastAsia"/>
                      <w:color w:val="000000" w:themeColor="text1"/>
                      <w:szCs w:val="21"/>
                      <w:lang w:val="en-US" w:eastAsia="zh-CN"/>
                    </w:rPr>
                    <w:t>36499.06</w:t>
                  </w:r>
                  <w:r>
                    <w:rPr>
                      <w:rFonts w:hint="default" w:ascii="Times New Roman" w:hAnsi="Times New Roman" w:cs="Times New Roman"/>
                      <w:color w:val="000000" w:themeColor="text1"/>
                      <w:sz w:val="21"/>
                      <w:szCs w:val="21"/>
                    </w:rPr>
                    <w:t>m</w:t>
                  </w:r>
                  <w:r>
                    <w:rPr>
                      <w:rFonts w:hint="default" w:ascii="Times New Roman" w:hAnsi="Times New Roman" w:cs="Times New Roman"/>
                      <w:color w:val="000000" w:themeColor="text1"/>
                      <w:sz w:val="21"/>
                      <w:szCs w:val="21"/>
                      <w:vertAlign w:val="superscript"/>
                    </w:rPr>
                    <w:t>2</w:t>
                  </w:r>
                  <w:r>
                    <w:rPr>
                      <w:rFonts w:hint="eastAsia" w:ascii="Times New Roman" w:hAnsi="Times New Roman" w:cs="Times New Roman"/>
                      <w:color w:val="000000" w:themeColor="text1"/>
                      <w:sz w:val="21"/>
                      <w:szCs w:val="21"/>
                      <w:vertAlign w:val="baseline"/>
                      <w:lang w:eastAsia="zh-CN"/>
                    </w:rPr>
                    <w:t>，</w:t>
                  </w:r>
                  <w:r>
                    <w:rPr>
                      <w:rFonts w:hint="eastAsia" w:ascii="Times New Roman" w:hAnsi="Times New Roman" w:cs="Times New Roman"/>
                      <w:color w:val="000000" w:themeColor="text1"/>
                      <w:sz w:val="21"/>
                      <w:szCs w:val="21"/>
                      <w:vertAlign w:val="baseline"/>
                      <w:lang w:val="en-US" w:eastAsia="zh-CN"/>
                    </w:rPr>
                    <w:t>与环评相比总住宅入驻户数减少21户</w:t>
                  </w:r>
                </w:p>
              </w:tc>
              <w:tc>
                <w:tcPr>
                  <w:tcW w:w="853" w:type="pct"/>
                  <w:tcBorders>
                    <w:top w:val="single" w:color="auto" w:sz="4" w:space="0"/>
                    <w:left w:val="single" w:color="auto" w:sz="4" w:space="0"/>
                    <w:bottom w:val="single" w:color="auto" w:sz="4" w:space="0"/>
                    <w:right w:val="single" w:color="auto" w:sz="4" w:space="0"/>
                  </w:tcBorders>
                  <w:vAlign w:val="center"/>
                </w:tcPr>
                <w:p w14:paraId="73CF092B">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1346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7475251F">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5E62F42D">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3</w:t>
                  </w:r>
                </w:p>
              </w:tc>
              <w:tc>
                <w:tcPr>
                  <w:tcW w:w="1674" w:type="pct"/>
                  <w:tcBorders>
                    <w:top w:val="single" w:color="auto" w:sz="4" w:space="0"/>
                    <w:left w:val="single" w:color="auto" w:sz="4" w:space="0"/>
                    <w:bottom w:val="single" w:color="auto" w:sz="4" w:space="0"/>
                    <w:right w:val="single" w:color="auto" w:sz="4" w:space="0"/>
                  </w:tcBorders>
                  <w:vAlign w:val="center"/>
                </w:tcPr>
                <w:p w14:paraId="5F94248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生产、处置或储存能力增大，导致废水第一类污染物排放量增加的</w:t>
                  </w:r>
                </w:p>
              </w:tc>
              <w:tc>
                <w:tcPr>
                  <w:tcW w:w="1495" w:type="pct"/>
                  <w:tcBorders>
                    <w:top w:val="single" w:color="auto" w:sz="4" w:space="0"/>
                    <w:left w:val="single" w:color="auto" w:sz="4" w:space="0"/>
                    <w:bottom w:val="single" w:color="auto" w:sz="4" w:space="0"/>
                    <w:right w:val="single" w:color="auto" w:sz="4" w:space="0"/>
                  </w:tcBorders>
                  <w:vAlign w:val="center"/>
                </w:tcPr>
                <w:p w14:paraId="46778956">
                  <w:pPr>
                    <w:spacing w:line="240" w:lineRule="auto"/>
                    <w:jc w:val="center"/>
                    <w:rPr>
                      <w:rFonts w:hint="default" w:ascii="Times New Roman" w:hAnsi="Times New Roman" w:cs="Times New Roman"/>
                      <w:color w:val="000000" w:themeColor="text1"/>
                      <w:sz w:val="21"/>
                      <w:szCs w:val="21"/>
                      <w:lang w:val="en-US"/>
                    </w:rPr>
                  </w:pPr>
                  <w:r>
                    <w:rPr>
                      <w:rFonts w:hint="default" w:ascii="Times New Roman" w:hAnsi="Times New Roman" w:cs="Times New Roman"/>
                      <w:color w:val="000000" w:themeColor="text1"/>
                      <w:sz w:val="21"/>
                      <w:szCs w:val="21"/>
                    </w:rPr>
                    <w:t>总住宅户数为</w:t>
                  </w:r>
                  <w:r>
                    <w:rPr>
                      <w:rFonts w:hint="eastAsia" w:ascii="Times New Roman" w:hAnsi="Times New Roman" w:cs="Times New Roman"/>
                      <w:color w:val="000000" w:themeColor="text1"/>
                      <w:sz w:val="21"/>
                      <w:szCs w:val="21"/>
                      <w:highlight w:val="none"/>
                      <w:lang w:val="en-US" w:eastAsia="zh-CN"/>
                    </w:rPr>
                    <w:t>283</w:t>
                  </w:r>
                  <w:r>
                    <w:rPr>
                      <w:rFonts w:hint="default" w:ascii="Times New Roman" w:hAnsi="Times New Roman" w:cs="Times New Roman"/>
                      <w:color w:val="000000" w:themeColor="text1"/>
                      <w:sz w:val="21"/>
                      <w:szCs w:val="21"/>
                    </w:rPr>
                    <w:t>户；总建筑面积为</w:t>
                  </w:r>
                  <w:r>
                    <w:rPr>
                      <w:rFonts w:hint="eastAsia" w:ascii="Times New Roman" w:hAnsi="Times New Roman" w:eastAsiaTheme="minorEastAsia"/>
                      <w:color w:val="000000" w:themeColor="text1"/>
                      <w:szCs w:val="21"/>
                      <w:lang w:val="en-US" w:eastAsia="zh-CN"/>
                    </w:rPr>
                    <w:t>36499.06</w:t>
                  </w:r>
                  <w:r>
                    <w:rPr>
                      <w:rFonts w:hint="default" w:ascii="Times New Roman" w:hAnsi="Times New Roman" w:cs="Times New Roman"/>
                      <w:color w:val="000000" w:themeColor="text1"/>
                      <w:sz w:val="21"/>
                      <w:szCs w:val="21"/>
                    </w:rPr>
                    <w:t>m</w:t>
                  </w:r>
                  <w:r>
                    <w:rPr>
                      <w:rFonts w:hint="default" w:ascii="Times New Roman" w:hAnsi="Times New Roman" w:cs="Times New Roman"/>
                      <w:color w:val="000000" w:themeColor="text1"/>
                      <w:sz w:val="21"/>
                      <w:szCs w:val="21"/>
                      <w:vertAlign w:val="superscript"/>
                    </w:rPr>
                    <w:t>2</w:t>
                  </w:r>
                  <w:r>
                    <w:rPr>
                      <w:rFonts w:hint="eastAsia" w:ascii="Times New Roman" w:hAnsi="Times New Roman" w:cs="Times New Roman"/>
                      <w:color w:val="000000" w:themeColor="text1"/>
                      <w:sz w:val="21"/>
                      <w:szCs w:val="21"/>
                      <w:vertAlign w:val="baseline"/>
                      <w:lang w:eastAsia="zh-CN"/>
                    </w:rPr>
                    <w:t>，</w:t>
                  </w:r>
                  <w:r>
                    <w:rPr>
                      <w:rFonts w:hint="eastAsia" w:ascii="Times New Roman" w:hAnsi="Times New Roman" w:cs="Times New Roman"/>
                      <w:color w:val="000000" w:themeColor="text1"/>
                      <w:sz w:val="21"/>
                      <w:szCs w:val="21"/>
                      <w:vertAlign w:val="baseline"/>
                      <w:lang w:val="en-US" w:eastAsia="zh-CN"/>
                    </w:rPr>
                    <w:t>与环评相比总住宅户数减少21户，废水污染物排放量有所减少</w:t>
                  </w:r>
                </w:p>
              </w:tc>
              <w:tc>
                <w:tcPr>
                  <w:tcW w:w="853" w:type="pct"/>
                  <w:tcBorders>
                    <w:top w:val="single" w:color="auto" w:sz="4" w:space="0"/>
                    <w:left w:val="single" w:color="auto" w:sz="4" w:space="0"/>
                    <w:bottom w:val="single" w:color="auto" w:sz="4" w:space="0"/>
                    <w:right w:val="single" w:color="auto" w:sz="4" w:space="0"/>
                  </w:tcBorders>
                  <w:vAlign w:val="center"/>
                </w:tcPr>
                <w:p w14:paraId="2BA4522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1302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27C78DF3">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6A5A4B9B">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4</w:t>
                  </w:r>
                </w:p>
              </w:tc>
              <w:tc>
                <w:tcPr>
                  <w:tcW w:w="1674" w:type="pct"/>
                  <w:tcBorders>
                    <w:top w:val="single" w:color="auto" w:sz="4" w:space="0"/>
                    <w:left w:val="single" w:color="auto" w:sz="4" w:space="0"/>
                    <w:bottom w:val="single" w:color="auto" w:sz="4" w:space="0"/>
                    <w:right w:val="single" w:color="auto" w:sz="4" w:space="0"/>
                  </w:tcBorders>
                  <w:vAlign w:val="center"/>
                </w:tcPr>
                <w:p w14:paraId="5F6234A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6CB11EA7">
                  <w:pPr>
                    <w:spacing w:line="240" w:lineRule="auto"/>
                    <w:jc w:val="center"/>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本项目位于腾冲市宝峰社区，</w:t>
                  </w:r>
                  <w:r>
                    <w:rPr>
                      <w:rFonts w:hint="default" w:ascii="Times New Roman" w:hAnsi="Times New Roman" w:eastAsia="宋体" w:cs="Times New Roman"/>
                      <w:color w:val="000000" w:themeColor="text1"/>
                      <w:sz w:val="21"/>
                      <w:szCs w:val="21"/>
                      <w:lang w:val="en-US" w:eastAsia="zh-CN"/>
                    </w:rPr>
                    <w:t>项目所在区域为环境质量达标区。</w:t>
                  </w:r>
                  <w:r>
                    <w:rPr>
                      <w:rFonts w:hint="eastAsia" w:ascii="Times New Roman" w:hAnsi="Times New Roman" w:eastAsia="宋体" w:cs="Times New Roman"/>
                      <w:color w:val="000000" w:themeColor="text1"/>
                      <w:sz w:val="21"/>
                      <w:szCs w:val="21"/>
                      <w:lang w:val="en-US" w:eastAsia="zh-CN"/>
                    </w:rPr>
                    <w:t>本项目总住宅入驻户数与环评相比有所减少，所产生的污染物与环评相比有所减少</w:t>
                  </w:r>
                </w:p>
              </w:tc>
              <w:tc>
                <w:tcPr>
                  <w:tcW w:w="853" w:type="pct"/>
                  <w:tcBorders>
                    <w:top w:val="single" w:color="auto" w:sz="4" w:space="0"/>
                    <w:left w:val="single" w:color="auto" w:sz="4" w:space="0"/>
                    <w:bottom w:val="single" w:color="auto" w:sz="4" w:space="0"/>
                    <w:right w:val="single" w:color="auto" w:sz="4" w:space="0"/>
                  </w:tcBorders>
                  <w:vAlign w:val="center"/>
                </w:tcPr>
                <w:p w14:paraId="5566A46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28C20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0DC24AA9">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地点</w:t>
                  </w:r>
                </w:p>
              </w:tc>
              <w:tc>
                <w:tcPr>
                  <w:tcW w:w="514" w:type="pct"/>
                  <w:tcBorders>
                    <w:top w:val="single" w:color="auto" w:sz="4" w:space="0"/>
                    <w:left w:val="single" w:color="auto" w:sz="4" w:space="0"/>
                    <w:bottom w:val="single" w:color="auto" w:sz="4" w:space="0"/>
                    <w:right w:val="single" w:color="auto" w:sz="4" w:space="0"/>
                  </w:tcBorders>
                  <w:vAlign w:val="center"/>
                </w:tcPr>
                <w:p w14:paraId="63352636">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5</w:t>
                  </w:r>
                </w:p>
              </w:tc>
              <w:tc>
                <w:tcPr>
                  <w:tcW w:w="1674" w:type="pct"/>
                  <w:tcBorders>
                    <w:top w:val="single" w:color="auto" w:sz="4" w:space="0"/>
                    <w:left w:val="single" w:color="auto" w:sz="4" w:space="0"/>
                    <w:bottom w:val="single" w:color="auto" w:sz="4" w:space="0"/>
                    <w:right w:val="single" w:color="auto" w:sz="4" w:space="0"/>
                  </w:tcBorders>
                  <w:vAlign w:val="center"/>
                </w:tcPr>
                <w:p w14:paraId="7527269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重新选址；在原厂址附近调整（包括总平面布置变化）导致环境防护距离范围变化且新增敏感点的</w:t>
                  </w:r>
                </w:p>
              </w:tc>
              <w:tc>
                <w:tcPr>
                  <w:tcW w:w="1495" w:type="pct"/>
                  <w:tcBorders>
                    <w:top w:val="single" w:color="auto" w:sz="4" w:space="0"/>
                    <w:left w:val="single" w:color="auto" w:sz="4" w:space="0"/>
                    <w:bottom w:val="single" w:color="auto" w:sz="4" w:space="0"/>
                    <w:right w:val="single" w:color="auto" w:sz="4" w:space="0"/>
                  </w:tcBorders>
                  <w:vAlign w:val="center"/>
                </w:tcPr>
                <w:p w14:paraId="0306810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本项目建设地点与环评选址一致</w:t>
                  </w:r>
                </w:p>
              </w:tc>
              <w:tc>
                <w:tcPr>
                  <w:tcW w:w="853" w:type="pct"/>
                  <w:tcBorders>
                    <w:top w:val="single" w:color="auto" w:sz="4" w:space="0"/>
                    <w:left w:val="single" w:color="auto" w:sz="4" w:space="0"/>
                    <w:bottom w:val="single" w:color="auto" w:sz="4" w:space="0"/>
                    <w:right w:val="single" w:color="auto" w:sz="4" w:space="0"/>
                  </w:tcBorders>
                  <w:vAlign w:val="center"/>
                </w:tcPr>
                <w:p w14:paraId="32E793D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0132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tcBorders>
                    <w:top w:val="single" w:color="auto" w:sz="4" w:space="0"/>
                    <w:left w:val="single" w:color="auto" w:sz="4" w:space="0"/>
                    <w:bottom w:val="single" w:color="auto" w:sz="4" w:space="0"/>
                    <w:right w:val="single" w:color="auto" w:sz="4" w:space="0"/>
                  </w:tcBorders>
                  <w:vAlign w:val="center"/>
                </w:tcPr>
                <w:p w14:paraId="653C4B71">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生产工艺</w:t>
                  </w:r>
                </w:p>
              </w:tc>
              <w:tc>
                <w:tcPr>
                  <w:tcW w:w="514" w:type="pct"/>
                  <w:tcBorders>
                    <w:top w:val="single" w:color="auto" w:sz="4" w:space="0"/>
                    <w:left w:val="single" w:color="auto" w:sz="4" w:space="0"/>
                    <w:bottom w:val="single" w:color="auto" w:sz="4" w:space="0"/>
                    <w:right w:val="single" w:color="auto" w:sz="4" w:space="0"/>
                  </w:tcBorders>
                  <w:vAlign w:val="center"/>
                </w:tcPr>
                <w:p w14:paraId="1EE31932">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6</w:t>
                  </w:r>
                </w:p>
              </w:tc>
              <w:tc>
                <w:tcPr>
                  <w:tcW w:w="1674" w:type="pct"/>
                  <w:tcBorders>
                    <w:top w:val="single" w:color="auto" w:sz="4" w:space="0"/>
                    <w:left w:val="single" w:color="auto" w:sz="4" w:space="0"/>
                    <w:bottom w:val="single" w:color="auto" w:sz="4" w:space="0"/>
                    <w:right w:val="single" w:color="auto" w:sz="4" w:space="0"/>
                  </w:tcBorders>
                  <w:vAlign w:val="center"/>
                </w:tcPr>
                <w:p w14:paraId="4FC543B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新增产品品种或生产工艺（含主要生产装置、设备及配套设施）、主要原辅材料、燃料变化，导致以下情形之一：（1）新增排放污染物种类的（毒性、挥发性降低的除外）；（2）位于环境质量不达标区的建设项目相应污染物排放量增加的；（3）废水第一类污染物排放量增加的；（4）其他污染物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011F527A">
                  <w:pPr>
                    <w:autoSpaceDE w:val="0"/>
                    <w:autoSpaceDN w:val="0"/>
                    <w:adjustRightInd w:val="0"/>
                    <w:spacing w:line="240" w:lineRule="auto"/>
                    <w:jc w:val="center"/>
                    <w:rPr>
                      <w:rFonts w:hint="default" w:ascii="Times New Roman" w:hAnsi="Times New Roman" w:cs="Times New Roman"/>
                      <w:color w:val="000000" w:themeColor="text1"/>
                      <w:sz w:val="21"/>
                      <w:szCs w:val="21"/>
                      <w:highlight w:val="yellow"/>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5756922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551D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035DD252">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5BAEA3B4">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7</w:t>
                  </w:r>
                </w:p>
              </w:tc>
              <w:tc>
                <w:tcPr>
                  <w:tcW w:w="1674" w:type="pct"/>
                  <w:tcBorders>
                    <w:top w:val="single" w:color="auto" w:sz="4" w:space="0"/>
                    <w:left w:val="single" w:color="auto" w:sz="4" w:space="0"/>
                    <w:bottom w:val="single" w:color="auto" w:sz="4" w:space="0"/>
                    <w:right w:val="single" w:color="auto" w:sz="4" w:space="0"/>
                  </w:tcBorders>
                  <w:vAlign w:val="center"/>
                </w:tcPr>
                <w:p w14:paraId="262F97CF">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物料运输、装卸、贮存方式变化，导致大气污染物无组织排放量增加10%及以上的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008DF66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0C64CC2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51B3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tcBorders>
                    <w:top w:val="single" w:color="auto" w:sz="4" w:space="0"/>
                    <w:left w:val="single" w:color="auto" w:sz="4" w:space="0"/>
                    <w:bottom w:val="single" w:color="auto" w:sz="4" w:space="0"/>
                    <w:right w:val="single" w:color="auto" w:sz="4" w:space="0"/>
                  </w:tcBorders>
                  <w:vAlign w:val="center"/>
                </w:tcPr>
                <w:p w14:paraId="018AD1DE">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环境保护措施</w:t>
                  </w:r>
                </w:p>
              </w:tc>
              <w:tc>
                <w:tcPr>
                  <w:tcW w:w="514" w:type="pct"/>
                  <w:tcBorders>
                    <w:top w:val="single" w:color="auto" w:sz="4" w:space="0"/>
                    <w:left w:val="single" w:color="auto" w:sz="4" w:space="0"/>
                    <w:bottom w:val="single" w:color="auto" w:sz="4" w:space="0"/>
                    <w:right w:val="single" w:color="auto" w:sz="4" w:space="0"/>
                  </w:tcBorders>
                  <w:vAlign w:val="center"/>
                </w:tcPr>
                <w:p w14:paraId="3D91D24B">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8</w:t>
                  </w:r>
                </w:p>
              </w:tc>
              <w:tc>
                <w:tcPr>
                  <w:tcW w:w="1674" w:type="pct"/>
                  <w:tcBorders>
                    <w:top w:val="single" w:color="auto" w:sz="4" w:space="0"/>
                    <w:left w:val="single" w:color="auto" w:sz="4" w:space="0"/>
                    <w:bottom w:val="single" w:color="auto" w:sz="4" w:space="0"/>
                    <w:right w:val="single" w:color="auto" w:sz="4" w:space="0"/>
                  </w:tcBorders>
                  <w:vAlign w:val="center"/>
                </w:tcPr>
                <w:p w14:paraId="68AD6555">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废气、废水污染防治措施变化，导致第6条中所列情形之一（废气无组织排放改为有组织排放、污染防治措施强化或改进的除外）或大气污染物无组织排放量增加10%及以上的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68686FF9">
                  <w:pPr>
                    <w:pStyle w:val="85"/>
                    <w:spacing w:line="240" w:lineRule="auto"/>
                    <w:ind w:firstLine="0"/>
                    <w:jc w:val="center"/>
                    <w:rPr>
                      <w:rFonts w:hint="default" w:ascii="Times New Roman" w:hAnsi="Times New Roman" w:cs="Times New Roman"/>
                      <w:color w:val="000000" w:themeColor="text1"/>
                      <w:sz w:val="21"/>
                      <w:szCs w:val="21"/>
                      <w:lang w:val="en-US"/>
                    </w:rPr>
                  </w:pPr>
                  <w:r>
                    <w:rPr>
                      <w:rFonts w:hint="eastAsia" w:ascii="Times New Roman" w:hAnsi="Times New Roman" w:cs="Times New Roman"/>
                      <w:color w:val="000000" w:themeColor="text1"/>
                      <w:sz w:val="21"/>
                      <w:szCs w:val="21"/>
                      <w:lang w:val="en-US" w:eastAsia="zh-CN"/>
                    </w:rPr>
                    <w:t>项目废水污染防治措施与环评一致</w:t>
                  </w:r>
                </w:p>
              </w:tc>
              <w:tc>
                <w:tcPr>
                  <w:tcW w:w="853" w:type="pct"/>
                  <w:tcBorders>
                    <w:top w:val="single" w:color="auto" w:sz="4" w:space="0"/>
                    <w:left w:val="single" w:color="auto" w:sz="4" w:space="0"/>
                    <w:bottom w:val="single" w:color="auto" w:sz="4" w:space="0"/>
                    <w:right w:val="single" w:color="auto" w:sz="4" w:space="0"/>
                  </w:tcBorders>
                  <w:vAlign w:val="center"/>
                </w:tcPr>
                <w:p w14:paraId="55E69FA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3881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7A702824">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5B5775D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9</w:t>
                  </w:r>
                </w:p>
              </w:tc>
              <w:tc>
                <w:tcPr>
                  <w:tcW w:w="1674" w:type="pct"/>
                  <w:tcBorders>
                    <w:top w:val="single" w:color="auto" w:sz="4" w:space="0"/>
                    <w:left w:val="single" w:color="auto" w:sz="4" w:space="0"/>
                    <w:bottom w:val="single" w:color="auto" w:sz="4" w:space="0"/>
                    <w:right w:val="single" w:color="auto" w:sz="4" w:space="0"/>
                  </w:tcBorders>
                  <w:vAlign w:val="center"/>
                </w:tcPr>
                <w:p w14:paraId="3FC5A9D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新增废水直接排放口；废水由间接排放改为直接排放；废水直接排放口位置变化，导致不利环境影响加重的</w:t>
                  </w:r>
                </w:p>
              </w:tc>
              <w:tc>
                <w:tcPr>
                  <w:tcW w:w="1495" w:type="pct"/>
                  <w:tcBorders>
                    <w:top w:val="single" w:color="auto" w:sz="4" w:space="0"/>
                    <w:left w:val="single" w:color="auto" w:sz="4" w:space="0"/>
                    <w:bottom w:val="single" w:color="auto" w:sz="4" w:space="0"/>
                    <w:right w:val="single" w:color="auto" w:sz="4" w:space="0"/>
                  </w:tcBorders>
                  <w:vAlign w:val="center"/>
                </w:tcPr>
                <w:p w14:paraId="1987D8DA">
                  <w:pPr>
                    <w:pStyle w:val="85"/>
                    <w:spacing w:line="240" w:lineRule="auto"/>
                    <w:ind w:firstLine="0"/>
                    <w:jc w:val="center"/>
                    <w:rPr>
                      <w:rFonts w:hint="default" w:ascii="Times New Roman" w:hAnsi="Times New Roman" w:cs="Times New Roman"/>
                      <w:color w:val="000000" w:themeColor="text1"/>
                      <w:sz w:val="21"/>
                      <w:szCs w:val="21"/>
                    </w:rPr>
                  </w:pPr>
                  <w:r>
                    <w:rPr>
                      <w:rFonts w:ascii="Times New Roman" w:hAnsiTheme="minorEastAsia" w:eastAsiaTheme="minorEastAsia"/>
                      <w:color w:val="000000" w:themeColor="text1"/>
                      <w:szCs w:val="21"/>
                    </w:rPr>
                    <w:t>本项目采用</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雨污分流</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排水系统。雨水经收集后外排至室外雨水管网；项目运营期产生的生活污水先经防渗化粪池处理后，排入项目内的污水处理站进行处理</w:t>
                  </w:r>
                  <w:r>
                    <w:rPr>
                      <w:rFonts w:hint="eastAsia" w:ascii="Times New Roman" w:hAnsiTheme="minorEastAsia" w:eastAsiaTheme="minorEastAsia"/>
                      <w:color w:val="000000" w:themeColor="text1"/>
                      <w:szCs w:val="21"/>
                      <w:lang w:eastAsia="zh-CN"/>
                    </w:rPr>
                    <w:t>，</w:t>
                  </w:r>
                  <w:r>
                    <w:rPr>
                      <w:rFonts w:hint="default" w:ascii="Times New Roman" w:hAnsi="Times New Roman" w:cs="Times New Roman"/>
                      <w:color w:val="000000" w:themeColor="text1"/>
                      <w:sz w:val="21"/>
                      <w:szCs w:val="21"/>
                    </w:rPr>
                    <w:t>处理达标后排入</w:t>
                  </w:r>
                  <w:r>
                    <w:rPr>
                      <w:rFonts w:ascii="Times New Roman" w:hAnsiTheme="minorEastAsia" w:eastAsiaTheme="minorEastAsia"/>
                      <w:color w:val="000000" w:themeColor="text1"/>
                      <w:szCs w:val="21"/>
                    </w:rPr>
                    <w:t>市政污水管网，最终进入腾冲市污水处理厂</w:t>
                  </w:r>
                </w:p>
              </w:tc>
              <w:tc>
                <w:tcPr>
                  <w:tcW w:w="853" w:type="pct"/>
                  <w:tcBorders>
                    <w:top w:val="single" w:color="auto" w:sz="4" w:space="0"/>
                    <w:left w:val="single" w:color="auto" w:sz="4" w:space="0"/>
                    <w:bottom w:val="single" w:color="auto" w:sz="4" w:space="0"/>
                    <w:right w:val="single" w:color="auto" w:sz="4" w:space="0"/>
                  </w:tcBorders>
                  <w:vAlign w:val="center"/>
                </w:tcPr>
                <w:p w14:paraId="3CF5404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41BE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64F587E8">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491A7D06">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10</w:t>
                  </w:r>
                </w:p>
              </w:tc>
              <w:tc>
                <w:tcPr>
                  <w:tcW w:w="1674" w:type="pct"/>
                  <w:tcBorders>
                    <w:top w:val="single" w:color="auto" w:sz="4" w:space="0"/>
                    <w:left w:val="single" w:color="auto" w:sz="4" w:space="0"/>
                    <w:bottom w:val="single" w:color="auto" w:sz="4" w:space="0"/>
                    <w:right w:val="single" w:color="auto" w:sz="4" w:space="0"/>
                  </w:tcBorders>
                  <w:vAlign w:val="center"/>
                </w:tcPr>
                <w:p w14:paraId="685BD5B3">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新增废气主要排放口（废气无组织排放改为有组织排放的除外）；主要排放口排气筒高度降低10%及以上的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54F229EF">
                  <w:pPr>
                    <w:pStyle w:val="85"/>
                    <w:spacing w:line="240" w:lineRule="auto"/>
                    <w:ind w:firstLine="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1BEBC7F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4C98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53FF7165">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62EA03F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11</w:t>
                  </w:r>
                </w:p>
              </w:tc>
              <w:tc>
                <w:tcPr>
                  <w:tcW w:w="1674" w:type="pct"/>
                  <w:tcBorders>
                    <w:top w:val="single" w:color="auto" w:sz="4" w:space="0"/>
                    <w:left w:val="single" w:color="auto" w:sz="4" w:space="0"/>
                    <w:bottom w:val="single" w:color="auto" w:sz="4" w:space="0"/>
                    <w:right w:val="single" w:color="auto" w:sz="4" w:space="0"/>
                  </w:tcBorders>
                  <w:vAlign w:val="center"/>
                </w:tcPr>
                <w:p w14:paraId="393BFED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噪声、土壤或地下水污染防治措施变化，导致不利环境影响加重的</w:t>
                  </w:r>
                </w:p>
              </w:tc>
              <w:tc>
                <w:tcPr>
                  <w:tcW w:w="1495" w:type="pct"/>
                  <w:tcBorders>
                    <w:top w:val="single" w:color="auto" w:sz="4" w:space="0"/>
                    <w:left w:val="single" w:color="auto" w:sz="4" w:space="0"/>
                    <w:bottom w:val="single" w:color="auto" w:sz="4" w:space="0"/>
                    <w:right w:val="single" w:color="auto" w:sz="4" w:space="0"/>
                  </w:tcBorders>
                  <w:vAlign w:val="center"/>
                </w:tcPr>
                <w:p w14:paraId="61B91CB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009F064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B0A4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0D40B007">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276F2386">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12</w:t>
                  </w:r>
                </w:p>
              </w:tc>
              <w:tc>
                <w:tcPr>
                  <w:tcW w:w="1674" w:type="pct"/>
                  <w:tcBorders>
                    <w:top w:val="single" w:color="auto" w:sz="4" w:space="0"/>
                    <w:left w:val="single" w:color="auto" w:sz="4" w:space="0"/>
                    <w:bottom w:val="single" w:color="auto" w:sz="4" w:space="0"/>
                    <w:right w:val="single" w:color="auto" w:sz="4" w:space="0"/>
                  </w:tcBorders>
                  <w:vAlign w:val="center"/>
                </w:tcPr>
                <w:p w14:paraId="2B6AAEF5">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固体废物利用处置方式由委托外单位利用处置改为自行利用处置的（自行利用处置设施单独开展环境影响评价的除外）；固体废物自行处置方式变化，导致不利环境影响加重的</w:t>
                  </w:r>
                </w:p>
              </w:tc>
              <w:tc>
                <w:tcPr>
                  <w:tcW w:w="1495" w:type="pct"/>
                  <w:tcBorders>
                    <w:top w:val="single" w:color="auto" w:sz="4" w:space="0"/>
                    <w:left w:val="single" w:color="auto" w:sz="4" w:space="0"/>
                    <w:bottom w:val="single" w:color="auto" w:sz="4" w:space="0"/>
                    <w:right w:val="single" w:color="auto" w:sz="4" w:space="0"/>
                  </w:tcBorders>
                  <w:vAlign w:val="center"/>
                </w:tcPr>
                <w:p w14:paraId="332D086C">
                  <w:pPr>
                    <w:pStyle w:val="85"/>
                    <w:spacing w:line="240" w:lineRule="auto"/>
                    <w:ind w:firstLine="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项目生活垃圾统一收集后，委托腾冲市无害化垃圾处理有限责任公司给予清运、处置</w:t>
                  </w:r>
                </w:p>
              </w:tc>
              <w:tc>
                <w:tcPr>
                  <w:tcW w:w="853" w:type="pct"/>
                  <w:tcBorders>
                    <w:top w:val="single" w:color="auto" w:sz="4" w:space="0"/>
                    <w:left w:val="single" w:color="auto" w:sz="4" w:space="0"/>
                    <w:bottom w:val="single" w:color="auto" w:sz="4" w:space="0"/>
                    <w:right w:val="single" w:color="auto" w:sz="4" w:space="0"/>
                  </w:tcBorders>
                  <w:vAlign w:val="center"/>
                </w:tcPr>
                <w:p w14:paraId="6717EEE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39B6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6960481A">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21104D70">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13</w:t>
                  </w:r>
                </w:p>
              </w:tc>
              <w:tc>
                <w:tcPr>
                  <w:tcW w:w="1674" w:type="pct"/>
                  <w:tcBorders>
                    <w:top w:val="single" w:color="auto" w:sz="4" w:space="0"/>
                    <w:left w:val="single" w:color="auto" w:sz="4" w:space="0"/>
                    <w:bottom w:val="single" w:color="auto" w:sz="4" w:space="0"/>
                    <w:right w:val="single" w:color="auto" w:sz="4" w:space="0"/>
                  </w:tcBorders>
                  <w:vAlign w:val="center"/>
                </w:tcPr>
                <w:p w14:paraId="494B2573">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事故废水暂存能力或拦截设施变化，导致环境风险防范能力弱化或降低的</w:t>
                  </w:r>
                </w:p>
              </w:tc>
              <w:tc>
                <w:tcPr>
                  <w:tcW w:w="1495" w:type="pct"/>
                  <w:tcBorders>
                    <w:top w:val="single" w:color="auto" w:sz="4" w:space="0"/>
                    <w:left w:val="single" w:color="auto" w:sz="4" w:space="0"/>
                    <w:bottom w:val="single" w:color="auto" w:sz="4" w:space="0"/>
                    <w:right w:val="single" w:color="auto" w:sz="4" w:space="0"/>
                  </w:tcBorders>
                  <w:vAlign w:val="center"/>
                </w:tcPr>
                <w:p w14:paraId="03F7AE19">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rPr>
                    <w:t>事故废水暂存能力</w:t>
                  </w:r>
                  <w:r>
                    <w:rPr>
                      <w:rFonts w:hint="eastAsia" w:ascii="Times New Roman" w:hAnsi="Times New Roman" w:cs="Times New Roman"/>
                      <w:color w:val="000000" w:themeColor="text1"/>
                      <w:sz w:val="21"/>
                      <w:szCs w:val="21"/>
                      <w:lang w:val="en-US" w:eastAsia="zh-CN"/>
                    </w:rPr>
                    <w:t>未发生</w:t>
                  </w:r>
                  <w:r>
                    <w:rPr>
                      <w:rFonts w:hint="default" w:ascii="Times New Roman" w:hAnsi="Times New Roman" w:cs="Times New Roman"/>
                      <w:color w:val="000000" w:themeColor="text1"/>
                      <w:sz w:val="21"/>
                      <w:szCs w:val="21"/>
                    </w:rPr>
                    <w:t>变化</w:t>
                  </w:r>
                </w:p>
              </w:tc>
              <w:tc>
                <w:tcPr>
                  <w:tcW w:w="853" w:type="pct"/>
                  <w:tcBorders>
                    <w:top w:val="single" w:color="auto" w:sz="4" w:space="0"/>
                    <w:left w:val="single" w:color="auto" w:sz="4" w:space="0"/>
                    <w:bottom w:val="single" w:color="auto" w:sz="4" w:space="0"/>
                    <w:right w:val="single" w:color="auto" w:sz="4" w:space="0"/>
                  </w:tcBorders>
                  <w:vAlign w:val="center"/>
                </w:tcPr>
                <w:p w14:paraId="2411B2C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bl>
          <w:p w14:paraId="294C8FF5">
            <w:pPr>
              <w:tabs>
                <w:tab w:val="left" w:pos="1965"/>
              </w:tabs>
              <w:spacing w:line="360" w:lineRule="auto"/>
              <w:ind w:firstLine="480" w:firstLineChars="200"/>
              <w:rPr>
                <w:rFonts w:hint="default" w:ascii="Times New Roman" w:hAnsi="Times New Roman" w:cs="Times New Roman"/>
                <w:color w:val="000000" w:themeColor="text1"/>
                <w:sz w:val="24"/>
                <w:szCs w:val="24"/>
                <w:lang w:val="en-US" w:eastAsia="zh-CN"/>
              </w:rPr>
            </w:pPr>
            <w:r>
              <w:rPr>
                <w:rFonts w:hint="default" w:ascii="Times New Roman" w:hAnsi="Times New Roman" w:cs="Times New Roman"/>
                <w:color w:val="000000" w:themeColor="text1"/>
                <w:sz w:val="24"/>
                <w:szCs w:val="24"/>
                <w:lang w:val="en-US" w:eastAsia="zh-CN"/>
              </w:rPr>
              <w:t>根据上表可知，项目实际建设内容与环评及环评批复的内容有所变化，</w:t>
            </w:r>
            <w:r>
              <w:rPr>
                <w:rFonts w:hint="default" w:ascii="Times New Roman" w:hAnsi="Times New Roman" w:cs="Times New Roman"/>
                <w:color w:val="000000" w:themeColor="text1"/>
                <w:sz w:val="24"/>
                <w:szCs w:val="24"/>
              </w:rPr>
              <w:t>通过与生态环境部办公厅文件《污染影响类建设项目重大变动清单（试行）》（环办环评函〔2020〕688号）中重大变动清单的对比分析可知</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项目的变化不属于</w:t>
            </w:r>
            <w:r>
              <w:rPr>
                <w:rFonts w:hint="default" w:ascii="Times New Roman" w:hAnsi="Times New Roman" w:cs="Times New Roman"/>
                <w:color w:val="000000" w:themeColor="text1"/>
                <w:sz w:val="24"/>
                <w:szCs w:val="24"/>
              </w:rPr>
              <w:t>（环办环评函〔2020〕688号）</w:t>
            </w:r>
            <w:r>
              <w:rPr>
                <w:rFonts w:hint="default" w:ascii="Times New Roman" w:hAnsi="Times New Roman" w:cs="Times New Roman"/>
                <w:color w:val="000000" w:themeColor="text1"/>
                <w:sz w:val="24"/>
                <w:szCs w:val="24"/>
                <w:lang w:val="en-US" w:eastAsia="zh-CN"/>
              </w:rPr>
              <w:t>中所列重大变动情况，即本项目变动不属于重大变动。</w:t>
            </w:r>
          </w:p>
          <w:p w14:paraId="6BB219CF">
            <w:pPr>
              <w:tabs>
                <w:tab w:val="left" w:pos="1965"/>
              </w:tabs>
              <w:spacing w:line="360" w:lineRule="auto"/>
              <w:ind w:firstLine="480" w:firstLineChars="200"/>
              <w:rPr>
                <w:rFonts w:hint="eastAsia" w:ascii="Times New Roman" w:hAnsi="Times New Roman"/>
                <w:color w:val="000000" w:themeColor="text1"/>
                <w:sz w:val="24"/>
              </w:rPr>
            </w:pPr>
            <w:r>
              <w:rPr>
                <w:rFonts w:hint="eastAsia" w:ascii="Times New Roman" w:hAnsi="Times New Roman"/>
                <w:color w:val="000000" w:themeColor="text1"/>
                <w:sz w:val="24"/>
              </w:rPr>
              <w:t>对照</w:t>
            </w:r>
            <w:r>
              <w:rPr>
                <w:rFonts w:ascii="Times New Roman" w:hAnsi="Times New Roman"/>
                <w:color w:val="000000" w:themeColor="text1"/>
                <w:sz w:val="24"/>
              </w:rPr>
              <w:t>《建设项目竣工环境保护验收暂行办法》（国环规环评〔20</w:t>
            </w:r>
            <w:r>
              <w:rPr>
                <w:rFonts w:hint="eastAsia" w:ascii="Times New Roman" w:hAnsi="Times New Roman"/>
                <w:color w:val="000000" w:themeColor="text1"/>
                <w:sz w:val="24"/>
              </w:rPr>
              <w:t>17</w:t>
            </w:r>
            <w:r>
              <w:rPr>
                <w:rFonts w:ascii="Times New Roman" w:hAnsi="Times New Roman"/>
                <w:color w:val="000000" w:themeColor="text1"/>
                <w:sz w:val="24"/>
              </w:rPr>
              <w:t>〕4号）</w:t>
            </w:r>
            <w:r>
              <w:rPr>
                <w:rFonts w:hint="eastAsia" w:ascii="Times New Roman" w:hAnsi="Times New Roman"/>
                <w:color w:val="000000" w:themeColor="text1"/>
                <w:sz w:val="24"/>
              </w:rPr>
              <w:t>文件第八条建设项目环境保护措施存在下列情形之一的，建设单位不得提出验收合格的意见，具体情况见下表：</w:t>
            </w:r>
          </w:p>
          <w:p w14:paraId="26C425C4">
            <w:pPr>
              <w:keepNext w:val="0"/>
              <w:keepLines w:val="0"/>
              <w:pageBreakBefore w:val="0"/>
              <w:widowControl w:val="0"/>
              <w:tabs>
                <w:tab w:val="left" w:pos="1965"/>
              </w:tabs>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b/>
                <w:bCs/>
                <w:color w:val="000000" w:themeColor="text1"/>
                <w:sz w:val="24"/>
              </w:rPr>
            </w:pPr>
            <w:r>
              <w:rPr>
                <w:rFonts w:hint="eastAsia" w:ascii="Times New Roman" w:hAnsi="Times New Roman"/>
                <w:b/>
                <w:bCs/>
                <w:color w:val="000000" w:themeColor="text1"/>
                <w:sz w:val="24"/>
              </w:rPr>
              <w:t>表2-4  项目与验收暂行办法对照表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3751"/>
              <w:gridCol w:w="3360"/>
              <w:gridCol w:w="1044"/>
            </w:tblGrid>
            <w:tr w14:paraId="61A2F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6131972E">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序号</w:t>
                  </w:r>
                </w:p>
              </w:tc>
              <w:tc>
                <w:tcPr>
                  <w:tcW w:w="2102" w:type="pct"/>
                  <w:noWrap w:val="0"/>
                  <w:vAlign w:val="center"/>
                </w:tcPr>
                <w:p w14:paraId="308ADB66">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暂行办法</w:t>
                  </w:r>
                </w:p>
              </w:tc>
              <w:tc>
                <w:tcPr>
                  <w:tcW w:w="1883" w:type="pct"/>
                  <w:noWrap w:val="0"/>
                  <w:vAlign w:val="center"/>
                </w:tcPr>
                <w:p w14:paraId="35200255">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实际情况</w:t>
                  </w:r>
                </w:p>
              </w:tc>
              <w:tc>
                <w:tcPr>
                  <w:tcW w:w="585" w:type="pct"/>
                  <w:noWrap w:val="0"/>
                  <w:vAlign w:val="center"/>
                </w:tcPr>
                <w:p w14:paraId="65D9BEDA">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是否属于规定的情形</w:t>
                  </w:r>
                </w:p>
              </w:tc>
            </w:tr>
            <w:tr w14:paraId="0176A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04DBE6C4">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1</w:t>
                  </w:r>
                </w:p>
              </w:tc>
              <w:tc>
                <w:tcPr>
                  <w:tcW w:w="2102" w:type="pct"/>
                  <w:noWrap w:val="0"/>
                  <w:vAlign w:val="center"/>
                </w:tcPr>
                <w:p w14:paraId="7C0A843D">
                  <w:pPr>
                    <w:widowControl/>
                    <w:tabs>
                      <w:tab w:val="left" w:pos="1965"/>
                    </w:tabs>
                    <w:adjustRightInd w:val="0"/>
                    <w:snapToGrid w:val="0"/>
                    <w:jc w:val="center"/>
                    <w:rPr>
                      <w:rFonts w:hint="eastAsia" w:ascii="Times New Roman" w:hAnsi="Times New Roman" w:eastAsia="宋体"/>
                      <w:bCs/>
                      <w:color w:val="000000" w:themeColor="text1"/>
                      <w:sz w:val="21"/>
                      <w:szCs w:val="21"/>
                      <w:lang w:val="en-US" w:eastAsia="zh-CN"/>
                    </w:rPr>
                  </w:pPr>
                  <w:r>
                    <w:rPr>
                      <w:rFonts w:ascii="Times New Roman" w:hAnsi="Times New Roman"/>
                      <w:bCs/>
                      <w:color w:val="000000" w:themeColor="text1"/>
                      <w:sz w:val="21"/>
                      <w:szCs w:val="21"/>
                    </w:rPr>
                    <w:t>未按环境影响报告书（表）及其审批部门审批决定要求建成环境保护设施，或者环境保护设施不能与主体工程同时投产或者使用的</w:t>
                  </w:r>
                  <w:r>
                    <w:rPr>
                      <w:rFonts w:hint="eastAsia" w:ascii="Times New Roman" w:hAnsi="Times New Roman"/>
                      <w:bCs/>
                      <w:color w:val="000000" w:themeColor="text1"/>
                      <w:sz w:val="21"/>
                      <w:szCs w:val="21"/>
                      <w:lang w:val="en-US" w:eastAsia="zh-CN"/>
                    </w:rPr>
                    <w:t xml:space="preserve"> </w:t>
                  </w:r>
                </w:p>
              </w:tc>
              <w:tc>
                <w:tcPr>
                  <w:tcW w:w="1883" w:type="pct"/>
                  <w:noWrap w:val="0"/>
                  <w:vAlign w:val="center"/>
                </w:tcPr>
                <w:p w14:paraId="4801D10F">
                  <w:pPr>
                    <w:widowControl/>
                    <w:tabs>
                      <w:tab w:val="left" w:pos="1965"/>
                    </w:tabs>
                    <w:adjustRightInd w:val="0"/>
                    <w:snapToGrid w:val="0"/>
                    <w:jc w:val="center"/>
                    <w:rPr>
                      <w:rFonts w:hint="eastAsia" w:ascii="Times New Roman" w:hAnsi="Times New Roman"/>
                      <w:bCs/>
                      <w:color w:val="000000" w:themeColor="text1"/>
                      <w:sz w:val="21"/>
                      <w:szCs w:val="21"/>
                    </w:rPr>
                  </w:pPr>
                  <w:r>
                    <w:rPr>
                      <w:rFonts w:ascii="Times New Roman" w:hAnsi="Times New Roman"/>
                      <w:bCs/>
                      <w:color w:val="000000" w:themeColor="text1"/>
                      <w:sz w:val="21"/>
                      <w:szCs w:val="21"/>
                    </w:rPr>
                    <w:t>项目建设过程中，严格按照环评要求认真落实各项环保设施及措施</w:t>
                  </w:r>
                  <w:r>
                    <w:rPr>
                      <w:rFonts w:hint="eastAsia" w:ascii="Times New Roman" w:hAnsi="Times New Roman"/>
                      <w:bCs/>
                      <w:color w:val="000000" w:themeColor="text1"/>
                      <w:sz w:val="21"/>
                      <w:szCs w:val="21"/>
                    </w:rPr>
                    <w:t>，</w:t>
                  </w:r>
                  <w:r>
                    <w:rPr>
                      <w:rFonts w:ascii="Times New Roman" w:hAnsi="Times New Roman"/>
                      <w:bCs/>
                      <w:color w:val="000000" w:themeColor="text1"/>
                      <w:sz w:val="21"/>
                      <w:szCs w:val="21"/>
                    </w:rPr>
                    <w:t>满足环评预期要求</w:t>
                  </w:r>
                  <w:r>
                    <w:rPr>
                      <w:rFonts w:hint="eastAsia" w:ascii="Times New Roman" w:hAnsi="Times New Roman"/>
                      <w:bCs/>
                      <w:color w:val="000000" w:themeColor="text1"/>
                      <w:sz w:val="21"/>
                      <w:szCs w:val="21"/>
                    </w:rPr>
                    <w:t>。严格执行环境影响评价和环境保护“三同时”制度，各项环保设施与主体工程同时设计、同时施工、同时投入使用</w:t>
                  </w:r>
                </w:p>
              </w:tc>
              <w:tc>
                <w:tcPr>
                  <w:tcW w:w="585" w:type="pct"/>
                  <w:noWrap w:val="0"/>
                  <w:vAlign w:val="center"/>
                </w:tcPr>
                <w:p w14:paraId="5E05D67B">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078E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127A2FC7">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2</w:t>
                  </w:r>
                </w:p>
              </w:tc>
              <w:tc>
                <w:tcPr>
                  <w:tcW w:w="2102" w:type="pct"/>
                  <w:noWrap w:val="0"/>
                  <w:vAlign w:val="center"/>
                </w:tcPr>
                <w:p w14:paraId="6F900D9A">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污染物排放不符合国家和地方相关标准、环境影响报告书（表）及其审批部门审批决定或者重点污染物排放总量控制指标要求的</w:t>
                  </w:r>
                </w:p>
              </w:tc>
              <w:tc>
                <w:tcPr>
                  <w:tcW w:w="1883" w:type="pct"/>
                  <w:noWrap w:val="0"/>
                  <w:vAlign w:val="center"/>
                </w:tcPr>
                <w:p w14:paraId="0ABD4663">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本项目运营期污染物排放符合环评提出的验收标准且未超过环评设置的</w:t>
                  </w:r>
                  <w:r>
                    <w:rPr>
                      <w:rFonts w:hint="eastAsia" w:ascii="Times New Roman" w:hAnsi="Times New Roman"/>
                      <w:bCs/>
                      <w:color w:val="000000" w:themeColor="text1"/>
                      <w:sz w:val="21"/>
                      <w:szCs w:val="21"/>
                      <w:lang w:val="en-US" w:eastAsia="zh-CN"/>
                    </w:rPr>
                    <w:t>固废</w:t>
                  </w:r>
                  <w:r>
                    <w:rPr>
                      <w:rFonts w:hint="eastAsia" w:ascii="Times New Roman" w:hAnsi="Times New Roman"/>
                      <w:bCs/>
                      <w:color w:val="000000" w:themeColor="text1"/>
                      <w:sz w:val="21"/>
                      <w:szCs w:val="21"/>
                    </w:rPr>
                    <w:t>、废水污染物排放总量控制指标</w:t>
                  </w:r>
                </w:p>
              </w:tc>
              <w:tc>
                <w:tcPr>
                  <w:tcW w:w="585" w:type="pct"/>
                  <w:noWrap w:val="0"/>
                  <w:vAlign w:val="center"/>
                </w:tcPr>
                <w:p w14:paraId="1FFB228D">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3FEB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525AC292">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3</w:t>
                  </w:r>
                </w:p>
              </w:tc>
              <w:tc>
                <w:tcPr>
                  <w:tcW w:w="2102" w:type="pct"/>
                  <w:noWrap w:val="0"/>
                  <w:vAlign w:val="center"/>
                </w:tcPr>
                <w:p w14:paraId="3A972619">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环境影响报告书（表）经批准后，该建设项目的性质、规模、地点、采用的生产工艺或者防治污染、防止生态破坏的措施发生重大变动，建设单位未重新报批环境影响报告书（表）或者环境影响报告书（表）未经批准的</w:t>
                  </w:r>
                </w:p>
              </w:tc>
              <w:tc>
                <w:tcPr>
                  <w:tcW w:w="1883" w:type="pct"/>
                  <w:noWrap w:val="0"/>
                  <w:vAlign w:val="center"/>
                </w:tcPr>
                <w:p w14:paraId="65876ADC">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本项目建设与环境影响报告表及其批复</w:t>
                  </w:r>
                  <w:r>
                    <w:rPr>
                      <w:rFonts w:hint="eastAsia" w:ascii="Times New Roman" w:hAnsi="Times New Roman"/>
                      <w:bCs/>
                      <w:color w:val="000000" w:themeColor="text1"/>
                      <w:sz w:val="21"/>
                      <w:szCs w:val="21"/>
                    </w:rPr>
                    <w:t>保持一致</w:t>
                  </w:r>
                  <w:r>
                    <w:rPr>
                      <w:rFonts w:ascii="Times New Roman" w:hAnsi="Times New Roman"/>
                      <w:bCs/>
                      <w:color w:val="000000" w:themeColor="text1"/>
                      <w:sz w:val="21"/>
                      <w:szCs w:val="21"/>
                    </w:rPr>
                    <w:t>，项目实际建设地点、建设规模不变，且项目污染物产生量及环保措施均未发生重大改变</w:t>
                  </w:r>
                </w:p>
              </w:tc>
              <w:tc>
                <w:tcPr>
                  <w:tcW w:w="585" w:type="pct"/>
                  <w:noWrap w:val="0"/>
                  <w:vAlign w:val="center"/>
                </w:tcPr>
                <w:p w14:paraId="204E3BAA">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2EA83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7EFF9F88">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4</w:t>
                  </w:r>
                </w:p>
              </w:tc>
              <w:tc>
                <w:tcPr>
                  <w:tcW w:w="2102" w:type="pct"/>
                  <w:noWrap w:val="0"/>
                  <w:vAlign w:val="center"/>
                </w:tcPr>
                <w:p w14:paraId="7009D1CB">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建设过程中造成重大环境污染未治理完成，或者造成重大生态破坏未恢复的</w:t>
                  </w:r>
                </w:p>
              </w:tc>
              <w:tc>
                <w:tcPr>
                  <w:tcW w:w="1883" w:type="pct"/>
                  <w:noWrap w:val="0"/>
                  <w:vAlign w:val="center"/>
                </w:tcPr>
                <w:p w14:paraId="3CD3F3A4">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项目建设过程中，</w:t>
                  </w:r>
                  <w:r>
                    <w:rPr>
                      <w:rFonts w:hint="eastAsia" w:ascii="Times New Roman" w:hAnsi="Times New Roman"/>
                      <w:bCs/>
                      <w:color w:val="000000" w:themeColor="text1"/>
                      <w:sz w:val="21"/>
                      <w:szCs w:val="21"/>
                    </w:rPr>
                    <w:t>未造成</w:t>
                  </w:r>
                  <w:r>
                    <w:rPr>
                      <w:rFonts w:ascii="Times New Roman" w:hAnsi="Times New Roman"/>
                      <w:bCs/>
                      <w:color w:val="000000" w:themeColor="text1"/>
                      <w:sz w:val="21"/>
                      <w:szCs w:val="21"/>
                    </w:rPr>
                    <w:t>重大环境污染</w:t>
                  </w:r>
                  <w:r>
                    <w:rPr>
                      <w:rFonts w:hint="eastAsia" w:ascii="Times New Roman" w:hAnsi="Times New Roman"/>
                      <w:bCs/>
                      <w:color w:val="000000" w:themeColor="text1"/>
                      <w:sz w:val="21"/>
                      <w:szCs w:val="21"/>
                    </w:rPr>
                    <w:t>或重大生态破坏</w:t>
                  </w:r>
                </w:p>
              </w:tc>
              <w:tc>
                <w:tcPr>
                  <w:tcW w:w="585" w:type="pct"/>
                  <w:noWrap w:val="0"/>
                  <w:vAlign w:val="center"/>
                </w:tcPr>
                <w:p w14:paraId="50243303">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562F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5CA74555">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5</w:t>
                  </w:r>
                </w:p>
              </w:tc>
              <w:tc>
                <w:tcPr>
                  <w:tcW w:w="2102" w:type="pct"/>
                  <w:noWrap w:val="0"/>
                  <w:vAlign w:val="center"/>
                </w:tcPr>
                <w:p w14:paraId="4081DBAF">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纳入排污许可管理的建设项目，无证排污或者不按证排污的</w:t>
                  </w:r>
                </w:p>
              </w:tc>
              <w:tc>
                <w:tcPr>
                  <w:tcW w:w="1883" w:type="pct"/>
                  <w:noWrap w:val="0"/>
                  <w:vAlign w:val="center"/>
                </w:tcPr>
                <w:p w14:paraId="549D1246">
                  <w:pPr>
                    <w:widowControl/>
                    <w:tabs>
                      <w:tab w:val="left" w:pos="1965"/>
                    </w:tabs>
                    <w:adjustRightInd w:val="0"/>
                    <w:snapToGrid w:val="0"/>
                    <w:jc w:val="center"/>
                    <w:rPr>
                      <w:rFonts w:hint="default" w:ascii="Times New Roman" w:hAnsi="Times New Roman" w:eastAsia="宋体"/>
                      <w:bCs/>
                      <w:color w:val="000000" w:themeColor="text1"/>
                      <w:sz w:val="21"/>
                      <w:szCs w:val="21"/>
                      <w:lang w:val="en-US" w:eastAsia="zh-CN"/>
                    </w:rPr>
                  </w:pPr>
                  <w:r>
                    <w:rPr>
                      <w:rFonts w:hint="eastAsia" w:ascii="Times New Roman" w:hAnsi="Times New Roman"/>
                      <w:bCs/>
                      <w:color w:val="000000" w:themeColor="text1"/>
                      <w:sz w:val="21"/>
                      <w:szCs w:val="21"/>
                      <w:lang w:val="en-US" w:eastAsia="zh-CN"/>
                    </w:rPr>
                    <w:t>本项目不属于</w:t>
                  </w:r>
                  <w:r>
                    <w:rPr>
                      <w:rFonts w:ascii="Times New Roman" w:hAnsi="Times New Roman"/>
                      <w:bCs/>
                      <w:color w:val="000000" w:themeColor="text1"/>
                      <w:sz w:val="21"/>
                      <w:szCs w:val="21"/>
                    </w:rPr>
                    <w:t>纳入排污许可管理的建设项目</w:t>
                  </w:r>
                </w:p>
              </w:tc>
              <w:tc>
                <w:tcPr>
                  <w:tcW w:w="585" w:type="pct"/>
                  <w:noWrap w:val="0"/>
                  <w:vAlign w:val="center"/>
                </w:tcPr>
                <w:p w14:paraId="482D8AC9">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2E5B5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0EE3D950">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6</w:t>
                  </w:r>
                </w:p>
              </w:tc>
              <w:tc>
                <w:tcPr>
                  <w:tcW w:w="2102" w:type="pct"/>
                  <w:noWrap w:val="0"/>
                  <w:vAlign w:val="center"/>
                </w:tcPr>
                <w:p w14:paraId="61FEC7BC">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分期建设、分期投入生产或者使用依法应当分期验收的建设项目，其分期建设、分期投入生产或者使用的环境保护设施防治环境污染和生态破坏的能力不能满足其相应主体工程需要的</w:t>
                  </w:r>
                </w:p>
              </w:tc>
              <w:tc>
                <w:tcPr>
                  <w:tcW w:w="1883" w:type="pct"/>
                  <w:noWrap w:val="0"/>
                  <w:vAlign w:val="center"/>
                </w:tcPr>
                <w:p w14:paraId="52493089">
                  <w:pPr>
                    <w:widowControl/>
                    <w:tabs>
                      <w:tab w:val="left" w:pos="1965"/>
                    </w:tabs>
                    <w:adjustRightInd w:val="0"/>
                    <w:snapToGrid w:val="0"/>
                    <w:jc w:val="center"/>
                    <w:rPr>
                      <w:rFonts w:hint="default" w:ascii="Times New Roman" w:hAnsi="Times New Roman" w:eastAsia="宋体"/>
                      <w:bCs/>
                      <w:color w:val="000000" w:themeColor="text1"/>
                      <w:sz w:val="21"/>
                      <w:szCs w:val="21"/>
                      <w:lang w:val="en-US" w:eastAsia="zh-CN"/>
                    </w:rPr>
                  </w:pPr>
                  <w:r>
                    <w:rPr>
                      <w:rFonts w:hint="eastAsia" w:ascii="Times New Roman" w:hAnsi="Times New Roman"/>
                      <w:bCs/>
                      <w:color w:val="000000" w:themeColor="text1"/>
                      <w:sz w:val="21"/>
                      <w:szCs w:val="21"/>
                    </w:rPr>
                    <w:t>本项目</w:t>
                  </w:r>
                  <w:r>
                    <w:rPr>
                      <w:rFonts w:hint="eastAsia" w:ascii="Times New Roman" w:hAnsi="Times New Roman"/>
                      <w:bCs/>
                      <w:color w:val="000000" w:themeColor="text1"/>
                      <w:sz w:val="21"/>
                      <w:szCs w:val="21"/>
                      <w:lang w:val="en-US" w:eastAsia="zh-CN"/>
                    </w:rPr>
                    <w:t>不</w:t>
                  </w:r>
                  <w:r>
                    <w:rPr>
                      <w:rFonts w:hint="eastAsia" w:ascii="Times New Roman" w:hAnsi="Times New Roman"/>
                      <w:bCs/>
                      <w:color w:val="000000" w:themeColor="text1"/>
                      <w:sz w:val="21"/>
                      <w:szCs w:val="21"/>
                    </w:rPr>
                    <w:t>属于</w:t>
                  </w:r>
                  <w:r>
                    <w:rPr>
                      <w:rFonts w:ascii="Times New Roman" w:hAnsi="Times New Roman"/>
                      <w:bCs/>
                      <w:color w:val="000000" w:themeColor="text1"/>
                      <w:sz w:val="21"/>
                      <w:szCs w:val="21"/>
                    </w:rPr>
                    <w:t>分期建设、分期投入使用</w:t>
                  </w:r>
                  <w:r>
                    <w:rPr>
                      <w:rFonts w:hint="eastAsia" w:ascii="Times New Roman" w:hAnsi="Times New Roman"/>
                      <w:bCs/>
                      <w:color w:val="000000" w:themeColor="text1"/>
                      <w:sz w:val="21"/>
                      <w:szCs w:val="21"/>
                      <w:lang w:val="en-US" w:eastAsia="zh-CN"/>
                    </w:rPr>
                    <w:t>的项目，且</w:t>
                  </w:r>
                  <w:r>
                    <w:rPr>
                      <w:rFonts w:ascii="Times New Roman" w:hAnsi="Times New Roman"/>
                      <w:bCs/>
                      <w:color w:val="000000" w:themeColor="text1"/>
                      <w:sz w:val="21"/>
                      <w:szCs w:val="21"/>
                    </w:rPr>
                    <w:t>环境保护设施满足其相应主体工程需要</w:t>
                  </w:r>
                </w:p>
              </w:tc>
              <w:tc>
                <w:tcPr>
                  <w:tcW w:w="585" w:type="pct"/>
                  <w:noWrap w:val="0"/>
                  <w:vAlign w:val="center"/>
                </w:tcPr>
                <w:p w14:paraId="0F4FAD97">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0A6CD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69021C61">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7</w:t>
                  </w:r>
                </w:p>
              </w:tc>
              <w:tc>
                <w:tcPr>
                  <w:tcW w:w="2102" w:type="pct"/>
                  <w:noWrap w:val="0"/>
                  <w:vAlign w:val="center"/>
                </w:tcPr>
                <w:p w14:paraId="19018A84">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建设单位因该建设项目违反国家和地方环境保护法律法规受到处罚，被责令改正，尚未改正完成的</w:t>
                  </w:r>
                </w:p>
              </w:tc>
              <w:tc>
                <w:tcPr>
                  <w:tcW w:w="1883" w:type="pct"/>
                  <w:noWrap w:val="0"/>
                  <w:vAlign w:val="center"/>
                </w:tcPr>
                <w:p w14:paraId="28AAD582">
                  <w:pPr>
                    <w:widowControl/>
                    <w:tabs>
                      <w:tab w:val="left" w:pos="1965"/>
                    </w:tabs>
                    <w:adjustRightInd w:val="0"/>
                    <w:snapToGrid w:val="0"/>
                    <w:jc w:val="center"/>
                    <w:rPr>
                      <w:rFonts w:ascii="Times New Roman" w:hAnsi="Times New Roman"/>
                      <w:bCs/>
                      <w:color w:val="000000" w:themeColor="text1"/>
                      <w:sz w:val="21"/>
                      <w:szCs w:val="21"/>
                    </w:rPr>
                  </w:pPr>
                  <w:r>
                    <w:rPr>
                      <w:rFonts w:hint="default" w:ascii="Times New Roman" w:hAnsi="Times New Roman" w:eastAsia="宋体" w:cs="Times New Roman"/>
                      <w:color w:val="000000" w:themeColor="text1"/>
                      <w:sz w:val="21"/>
                      <w:szCs w:val="21"/>
                      <w:lang w:val="en-US" w:eastAsia="zh-CN"/>
                    </w:rPr>
                    <w:t>项目在建设过程中及试运行期间未违反国家和地方法律法规</w:t>
                  </w:r>
                </w:p>
              </w:tc>
              <w:tc>
                <w:tcPr>
                  <w:tcW w:w="585" w:type="pct"/>
                  <w:noWrap w:val="0"/>
                  <w:vAlign w:val="center"/>
                </w:tcPr>
                <w:p w14:paraId="4C2DC342">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1549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286111D0">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8</w:t>
                  </w:r>
                </w:p>
              </w:tc>
              <w:tc>
                <w:tcPr>
                  <w:tcW w:w="2102" w:type="pct"/>
                  <w:noWrap w:val="0"/>
                  <w:vAlign w:val="center"/>
                </w:tcPr>
                <w:p w14:paraId="457DB39E">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验收报告的基础资料数据明显不实，内容存在重大缺项、遗漏，或者验收结论不明确、不合理的</w:t>
                  </w:r>
                </w:p>
              </w:tc>
              <w:tc>
                <w:tcPr>
                  <w:tcW w:w="1883" w:type="pct"/>
                  <w:noWrap w:val="0"/>
                  <w:vAlign w:val="center"/>
                </w:tcPr>
                <w:p w14:paraId="1E9BCDAE">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本项目验收报告</w:t>
                  </w:r>
                  <w:r>
                    <w:rPr>
                      <w:rFonts w:ascii="Times New Roman" w:hAnsi="Times New Roman"/>
                      <w:bCs/>
                      <w:color w:val="000000" w:themeColor="text1"/>
                      <w:sz w:val="21"/>
                      <w:szCs w:val="21"/>
                    </w:rPr>
                    <w:t>基础资料数据</w:t>
                  </w:r>
                  <w:r>
                    <w:rPr>
                      <w:rFonts w:hint="eastAsia" w:ascii="Times New Roman" w:hAnsi="Times New Roman"/>
                      <w:bCs/>
                      <w:color w:val="000000" w:themeColor="text1"/>
                      <w:sz w:val="21"/>
                      <w:szCs w:val="21"/>
                    </w:rPr>
                    <w:t>符合实际，</w:t>
                  </w:r>
                  <w:r>
                    <w:rPr>
                      <w:rFonts w:ascii="Times New Roman" w:hAnsi="Times New Roman"/>
                      <w:bCs/>
                      <w:color w:val="000000" w:themeColor="text1"/>
                      <w:sz w:val="21"/>
                      <w:szCs w:val="21"/>
                    </w:rPr>
                    <w:t>验收结论明确、合理</w:t>
                  </w:r>
                </w:p>
              </w:tc>
              <w:tc>
                <w:tcPr>
                  <w:tcW w:w="585" w:type="pct"/>
                  <w:noWrap w:val="0"/>
                  <w:vAlign w:val="center"/>
                </w:tcPr>
                <w:p w14:paraId="2B086850">
                  <w:pPr>
                    <w:widowControl/>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4752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64644B1B">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9</w:t>
                  </w:r>
                </w:p>
              </w:tc>
              <w:tc>
                <w:tcPr>
                  <w:tcW w:w="2102" w:type="pct"/>
                  <w:noWrap w:val="0"/>
                  <w:vAlign w:val="center"/>
                </w:tcPr>
                <w:p w14:paraId="74CE51AF">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其他环境保护法律法规规章等规定不得通过环境保护验收的</w:t>
                  </w:r>
                </w:p>
              </w:tc>
              <w:tc>
                <w:tcPr>
                  <w:tcW w:w="1883" w:type="pct"/>
                  <w:noWrap w:val="0"/>
                  <w:vAlign w:val="center"/>
                </w:tcPr>
                <w:p w14:paraId="6DCE4DC3">
                  <w:pPr>
                    <w:widowControl/>
                    <w:tabs>
                      <w:tab w:val="left" w:pos="1965"/>
                    </w:tabs>
                    <w:adjustRightInd w:val="0"/>
                    <w:snapToGrid w:val="0"/>
                    <w:jc w:val="center"/>
                    <w:rPr>
                      <w:rFonts w:hint="eastAsia" w:ascii="Times New Roman" w:hAnsi="Times New Roman"/>
                      <w:bCs/>
                      <w:color w:val="000000" w:themeColor="text1"/>
                      <w:sz w:val="21"/>
                      <w:szCs w:val="21"/>
                    </w:rPr>
                  </w:pPr>
                  <w:r>
                    <w:rPr>
                      <w:rFonts w:hint="default" w:ascii="Times New Roman" w:hAnsi="Times New Roman" w:eastAsia="宋体" w:cs="Times New Roman"/>
                      <w:color w:val="000000" w:themeColor="text1"/>
                      <w:sz w:val="21"/>
                      <w:szCs w:val="21"/>
                      <w:lang w:val="en-US" w:eastAsia="zh-CN"/>
                    </w:rPr>
                    <w:t>项目不涉及其他环境保护法律法规规章等规定不得通过环境保护验收的情况</w:t>
                  </w:r>
                </w:p>
              </w:tc>
              <w:tc>
                <w:tcPr>
                  <w:tcW w:w="585" w:type="pct"/>
                  <w:noWrap w:val="0"/>
                  <w:vAlign w:val="center"/>
                </w:tcPr>
                <w:p w14:paraId="519B0C03">
                  <w:pPr>
                    <w:widowControl/>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bl>
          <w:p w14:paraId="013895D0">
            <w:pPr>
              <w:tabs>
                <w:tab w:val="left" w:pos="1965"/>
              </w:tabs>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bCs/>
                <w:color w:val="000000" w:themeColor="text1"/>
                <w:sz w:val="24"/>
              </w:rPr>
              <w:t>根据上表可知，本项目不属于</w:t>
            </w:r>
            <w:r>
              <w:rPr>
                <w:rFonts w:ascii="Times New Roman" w:hAnsi="Times New Roman"/>
                <w:color w:val="000000" w:themeColor="text1"/>
                <w:sz w:val="24"/>
              </w:rPr>
              <w:t>《建设项目竣工环境保护验收暂行办法》（国环规环评〔20</w:t>
            </w:r>
            <w:r>
              <w:rPr>
                <w:rFonts w:hint="eastAsia" w:ascii="Times New Roman" w:hAnsi="Times New Roman"/>
                <w:color w:val="000000" w:themeColor="text1"/>
                <w:sz w:val="24"/>
              </w:rPr>
              <w:t>17</w:t>
            </w:r>
            <w:r>
              <w:rPr>
                <w:rFonts w:ascii="Times New Roman" w:hAnsi="Times New Roman"/>
                <w:color w:val="000000" w:themeColor="text1"/>
                <w:sz w:val="24"/>
              </w:rPr>
              <w:t>〕4号）</w:t>
            </w:r>
            <w:r>
              <w:rPr>
                <w:rFonts w:hint="eastAsia" w:ascii="Times New Roman" w:hAnsi="Times New Roman"/>
                <w:bCs/>
                <w:color w:val="000000" w:themeColor="text1"/>
                <w:sz w:val="24"/>
              </w:rPr>
              <w:t>文件中第八条所列的不符合验收合格情形之一，可进行</w:t>
            </w:r>
            <w:r>
              <w:rPr>
                <w:rFonts w:ascii="Times New Roman" w:hAnsi="Times New Roman"/>
                <w:color w:val="000000" w:themeColor="text1"/>
                <w:sz w:val="24"/>
              </w:rPr>
              <w:t>竣工环境保护验收</w:t>
            </w:r>
            <w:r>
              <w:rPr>
                <w:rFonts w:hint="eastAsia" w:ascii="Times New Roman" w:hAnsi="Times New Roman"/>
                <w:color w:val="000000" w:themeColor="text1"/>
                <w:sz w:val="24"/>
              </w:rPr>
              <w:t>。</w:t>
            </w:r>
          </w:p>
          <w:p w14:paraId="79CD9918">
            <w:pPr>
              <w:tabs>
                <w:tab w:val="left" w:pos="1965"/>
              </w:tabs>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3、环保投资</w:t>
            </w:r>
          </w:p>
          <w:p w14:paraId="186515B1">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val="en-US" w:eastAsia="zh-CN"/>
              </w:rPr>
              <w:t>本项目</w:t>
            </w:r>
            <w:r>
              <w:rPr>
                <w:rFonts w:hint="default" w:ascii="Times New Roman" w:hAnsi="Times New Roman" w:cs="Times New Roman"/>
                <w:color w:val="000000" w:themeColor="text1"/>
                <w:sz w:val="24"/>
                <w:szCs w:val="24"/>
              </w:rPr>
              <w:t>预计总投资</w:t>
            </w:r>
            <w:r>
              <w:rPr>
                <w:rFonts w:hint="eastAsia" w:ascii="Times New Roman" w:hAnsi="Times New Roman" w:cs="Times New Roman"/>
                <w:color w:val="000000" w:themeColor="text1"/>
                <w:sz w:val="24"/>
                <w:szCs w:val="24"/>
                <w:lang w:val="en-US" w:eastAsia="zh-CN"/>
              </w:rPr>
              <w:t>8107</w:t>
            </w:r>
            <w:r>
              <w:rPr>
                <w:rFonts w:hint="default" w:ascii="Times New Roman" w:hAnsi="Times New Roman" w:cs="Times New Roman"/>
                <w:color w:val="000000" w:themeColor="text1"/>
                <w:sz w:val="24"/>
                <w:szCs w:val="24"/>
              </w:rPr>
              <w:t>万元，其中环保投资</w:t>
            </w:r>
            <w:r>
              <w:rPr>
                <w:rFonts w:hint="eastAsia" w:ascii="Times New Roman" w:hAnsi="Times New Roman" w:cs="Times New Roman"/>
                <w:color w:val="000000" w:themeColor="text1"/>
                <w:sz w:val="24"/>
                <w:szCs w:val="24"/>
                <w:lang w:val="en-US" w:eastAsia="zh-CN"/>
              </w:rPr>
              <w:t>103.45</w:t>
            </w:r>
            <w:r>
              <w:rPr>
                <w:rFonts w:hint="default" w:ascii="Times New Roman" w:hAnsi="Times New Roman" w:cs="Times New Roman"/>
                <w:color w:val="000000" w:themeColor="text1"/>
                <w:sz w:val="24"/>
                <w:szCs w:val="24"/>
              </w:rPr>
              <w:t>万元，占总投资比例</w:t>
            </w:r>
            <w:r>
              <w:rPr>
                <w:rFonts w:hint="default" w:ascii="Times New Roman" w:hAnsi="Times New Roman" w:cs="Times New Roman"/>
                <w:color w:val="000000" w:themeColor="text1"/>
                <w:sz w:val="24"/>
                <w:szCs w:val="24"/>
                <w:lang w:val="en-US" w:eastAsia="zh-CN"/>
              </w:rPr>
              <w:t>1.</w:t>
            </w:r>
            <w:r>
              <w:rPr>
                <w:rFonts w:hint="eastAsia" w:ascii="Times New Roman" w:hAnsi="Times New Roman" w:cs="Times New Roman"/>
                <w:color w:val="000000" w:themeColor="text1"/>
                <w:sz w:val="24"/>
                <w:szCs w:val="24"/>
                <w:lang w:val="en-US" w:eastAsia="zh-CN"/>
              </w:rPr>
              <w:t>28</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highlight w:val="none"/>
              </w:rPr>
              <w:t>实际总投资</w:t>
            </w:r>
            <w:r>
              <w:rPr>
                <w:rFonts w:hint="eastAsia" w:ascii="Times New Roman" w:hAnsi="Times New Roman" w:cs="Times New Roman"/>
                <w:color w:val="000000" w:themeColor="text1"/>
                <w:sz w:val="24"/>
                <w:szCs w:val="24"/>
                <w:highlight w:val="none"/>
                <w:lang w:val="en-US" w:eastAsia="zh-CN"/>
              </w:rPr>
              <w:t>8200</w:t>
            </w:r>
            <w:r>
              <w:rPr>
                <w:rFonts w:hint="default" w:ascii="Times New Roman" w:hAnsi="Times New Roman" w:cs="Times New Roman"/>
                <w:color w:val="000000" w:themeColor="text1"/>
                <w:sz w:val="24"/>
                <w:szCs w:val="24"/>
                <w:highlight w:val="none"/>
              </w:rPr>
              <w:t>万元，其中环保投资</w:t>
            </w:r>
            <w:r>
              <w:rPr>
                <w:rFonts w:hint="eastAsia" w:ascii="Times New Roman" w:hAnsi="Times New Roman" w:cs="Times New Roman"/>
                <w:color w:val="000000" w:themeColor="text1"/>
                <w:sz w:val="24"/>
                <w:szCs w:val="24"/>
                <w:highlight w:val="none"/>
                <w:lang w:val="en-US" w:eastAsia="zh-CN"/>
              </w:rPr>
              <w:t>196.11</w:t>
            </w:r>
            <w:r>
              <w:rPr>
                <w:rFonts w:hint="default" w:ascii="Times New Roman" w:hAnsi="Times New Roman" w:cs="Times New Roman"/>
                <w:color w:val="000000" w:themeColor="text1"/>
                <w:sz w:val="24"/>
                <w:szCs w:val="24"/>
                <w:highlight w:val="none"/>
              </w:rPr>
              <w:t>万元，占总投资比例的</w:t>
            </w:r>
            <w:r>
              <w:rPr>
                <w:rFonts w:hint="eastAsia" w:ascii="Times New Roman" w:hAnsi="Times New Roman" w:cs="Times New Roman"/>
                <w:color w:val="000000" w:themeColor="text1"/>
                <w:sz w:val="24"/>
                <w:szCs w:val="24"/>
                <w:highlight w:val="none"/>
                <w:lang w:val="en-US" w:eastAsia="zh-CN"/>
              </w:rPr>
              <w:t>2.39</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rPr>
              <w:t>环保投资分项估算见表2-</w:t>
            </w:r>
            <w:r>
              <w:rPr>
                <w:rFonts w:hint="eastAsia" w:ascii="Times New Roman" w:hAnsi="Times New Roman" w:cs="Times New Roman"/>
                <w:color w:val="000000" w:themeColor="text1"/>
                <w:sz w:val="24"/>
                <w:szCs w:val="24"/>
                <w:lang w:val="en-US" w:eastAsia="zh-CN"/>
              </w:rPr>
              <w:t>5</w:t>
            </w:r>
            <w:r>
              <w:rPr>
                <w:rFonts w:hint="default" w:ascii="Times New Roman" w:hAnsi="Times New Roman" w:cs="Times New Roman"/>
                <w:color w:val="000000" w:themeColor="text1"/>
                <w:sz w:val="24"/>
                <w:szCs w:val="24"/>
              </w:rPr>
              <w:t>。</w:t>
            </w:r>
          </w:p>
          <w:p w14:paraId="18D7CCDF">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表2-</w:t>
            </w:r>
            <w:r>
              <w:rPr>
                <w:rFonts w:hint="eastAsia" w:ascii="Times New Roman" w:hAnsi="Times New Roman" w:cs="Times New Roman"/>
                <w:b/>
                <w:color w:val="000000" w:themeColor="text1"/>
                <w:sz w:val="24"/>
                <w:szCs w:val="24"/>
                <w:lang w:val="en-US" w:eastAsia="zh-CN"/>
              </w:rPr>
              <w:t>5</w:t>
            </w:r>
            <w:r>
              <w:rPr>
                <w:rFonts w:hint="default" w:ascii="Times New Roman" w:hAnsi="Times New Roman" w:cs="Times New Roman"/>
                <w:b/>
                <w:color w:val="000000" w:themeColor="text1"/>
                <w:sz w:val="24"/>
                <w:szCs w:val="24"/>
              </w:rPr>
              <w:t xml:space="preserve">  项目环保投资明细表</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3"/>
              <w:gridCol w:w="900"/>
              <w:gridCol w:w="2160"/>
              <w:gridCol w:w="1290"/>
              <w:gridCol w:w="2175"/>
              <w:gridCol w:w="1155"/>
              <w:gridCol w:w="881"/>
            </w:tblGrid>
            <w:tr w14:paraId="4D848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02" w:type="pct"/>
                  <w:gridSpan w:val="2"/>
                  <w:vMerge w:val="restart"/>
                  <w:vAlign w:val="center"/>
                </w:tcPr>
                <w:p w14:paraId="3A9C87B0">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类别</w:t>
                  </w:r>
                </w:p>
              </w:tc>
              <w:tc>
                <w:tcPr>
                  <w:tcW w:w="1935" w:type="pct"/>
                  <w:gridSpan w:val="2"/>
                  <w:vAlign w:val="center"/>
                </w:tcPr>
                <w:p w14:paraId="678ACB5E">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环评预计</w:t>
                  </w:r>
                </w:p>
              </w:tc>
              <w:tc>
                <w:tcPr>
                  <w:tcW w:w="1867" w:type="pct"/>
                  <w:gridSpan w:val="2"/>
                  <w:vAlign w:val="center"/>
                </w:tcPr>
                <w:p w14:paraId="279589A6">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实际投资</w:t>
                  </w:r>
                </w:p>
              </w:tc>
              <w:tc>
                <w:tcPr>
                  <w:tcW w:w="494" w:type="pct"/>
                  <w:vMerge w:val="restart"/>
                  <w:vAlign w:val="center"/>
                </w:tcPr>
                <w:p w14:paraId="7D6485CC">
                  <w:pPr>
                    <w:jc w:val="center"/>
                    <w:rPr>
                      <w:rFonts w:hint="eastAsia" w:ascii="Times New Roman" w:hAnsi="Times New Roman" w:eastAsia="宋体"/>
                      <w:bCs/>
                      <w:color w:val="000000" w:themeColor="text1"/>
                      <w:szCs w:val="21"/>
                      <w:lang w:val="en-US" w:eastAsia="zh-CN"/>
                    </w:rPr>
                  </w:pPr>
                  <w:r>
                    <w:rPr>
                      <w:rFonts w:ascii="Times New Roman" w:hAnsi="Times New Roman" w:cs="Times New Roman"/>
                      <w:bCs/>
                      <w:color w:val="000000" w:themeColor="text1"/>
                      <w:sz w:val="21"/>
                      <w:szCs w:val="21"/>
                    </w:rPr>
                    <w:t>投资变化</w:t>
                  </w:r>
                  <w:r>
                    <w:rPr>
                      <w:rFonts w:ascii="Times New Roman" w:hAnsi="Times New Roman" w:cs="Times New Roman"/>
                      <w:bCs/>
                      <w:color w:val="000000" w:themeColor="text1"/>
                      <w:kern w:val="0"/>
                      <w:sz w:val="21"/>
                      <w:szCs w:val="21"/>
                    </w:rPr>
                    <w:t>（万元</w:t>
                  </w:r>
                  <w:r>
                    <w:rPr>
                      <w:rFonts w:hint="eastAsia" w:ascii="Times New Roman" w:hAnsi="Times New Roman" w:cs="Times New Roman"/>
                      <w:bCs/>
                      <w:color w:val="000000" w:themeColor="text1"/>
                      <w:kern w:val="0"/>
                      <w:sz w:val="21"/>
                      <w:szCs w:val="21"/>
                      <w:lang w:eastAsia="zh-CN"/>
                    </w:rPr>
                    <w:t>）</w:t>
                  </w:r>
                </w:p>
              </w:tc>
            </w:tr>
            <w:tr w14:paraId="50A7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02" w:type="pct"/>
                  <w:gridSpan w:val="2"/>
                  <w:vMerge w:val="continue"/>
                  <w:vAlign w:val="center"/>
                </w:tcPr>
                <w:p w14:paraId="78961C58">
                  <w:pPr>
                    <w:jc w:val="center"/>
                    <w:rPr>
                      <w:color w:val="000000" w:themeColor="text1"/>
                    </w:rPr>
                  </w:pPr>
                </w:p>
              </w:tc>
              <w:tc>
                <w:tcPr>
                  <w:tcW w:w="1211" w:type="pct"/>
                  <w:vAlign w:val="center"/>
                </w:tcPr>
                <w:p w14:paraId="52FB7104">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名称</w:t>
                  </w:r>
                </w:p>
              </w:tc>
              <w:tc>
                <w:tcPr>
                  <w:tcW w:w="723" w:type="pct"/>
                  <w:vAlign w:val="center"/>
                </w:tcPr>
                <w:p w14:paraId="4B5F492F">
                  <w:pPr>
                    <w:jc w:val="center"/>
                    <w:rPr>
                      <w:rFonts w:ascii="Times New Roman" w:hAnsiTheme="minorEastAsia" w:eastAsiaTheme="minorEastAsia"/>
                      <w:bCs/>
                      <w:color w:val="000000" w:themeColor="text1"/>
                      <w:szCs w:val="21"/>
                    </w:rPr>
                  </w:pPr>
                  <w:r>
                    <w:rPr>
                      <w:rFonts w:ascii="Times New Roman" w:hAnsiTheme="minorEastAsia" w:eastAsiaTheme="minorEastAsia"/>
                      <w:bCs/>
                      <w:color w:val="000000" w:themeColor="text1"/>
                      <w:szCs w:val="21"/>
                    </w:rPr>
                    <w:t>金额</w:t>
                  </w:r>
                </w:p>
                <w:p w14:paraId="10CF8CE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（万元）</w:t>
                  </w:r>
                </w:p>
              </w:tc>
              <w:tc>
                <w:tcPr>
                  <w:tcW w:w="1219" w:type="pct"/>
                  <w:vAlign w:val="center"/>
                </w:tcPr>
                <w:p w14:paraId="5DFAECE0">
                  <w:pPr>
                    <w:jc w:val="center"/>
                    <w:rPr>
                      <w:rFonts w:ascii="Times New Roman" w:hAnsiTheme="minorEastAsia" w:eastAsiaTheme="minorEastAsia"/>
                      <w:bCs/>
                      <w:color w:val="000000" w:themeColor="text1"/>
                      <w:szCs w:val="21"/>
                    </w:rPr>
                  </w:pPr>
                  <w:r>
                    <w:rPr>
                      <w:rFonts w:hint="eastAsia" w:ascii="Times New Roman" w:hAnsi="Times New Roman" w:eastAsiaTheme="minorEastAsia"/>
                      <w:bCs/>
                      <w:color w:val="000000" w:themeColor="text1"/>
                      <w:szCs w:val="21"/>
                      <w:lang w:val="en-US" w:eastAsia="zh-CN"/>
                    </w:rPr>
                    <w:t>名称</w:t>
                  </w:r>
                </w:p>
              </w:tc>
              <w:tc>
                <w:tcPr>
                  <w:tcW w:w="647" w:type="pct"/>
                  <w:vAlign w:val="center"/>
                </w:tcPr>
                <w:p w14:paraId="37DFF140">
                  <w:pPr>
                    <w:jc w:val="center"/>
                    <w:rPr>
                      <w:rFonts w:ascii="Times New Roman" w:hAnsiTheme="minorEastAsia" w:eastAsiaTheme="minorEastAsia"/>
                      <w:bCs/>
                      <w:color w:val="000000" w:themeColor="text1"/>
                      <w:szCs w:val="21"/>
                    </w:rPr>
                  </w:pPr>
                  <w:r>
                    <w:rPr>
                      <w:rFonts w:ascii="Times New Roman" w:hAnsiTheme="minorEastAsia" w:eastAsiaTheme="minorEastAsia"/>
                      <w:bCs/>
                      <w:color w:val="000000" w:themeColor="text1"/>
                      <w:szCs w:val="21"/>
                    </w:rPr>
                    <w:t>金额</w:t>
                  </w:r>
                </w:p>
                <w:p w14:paraId="0553042F">
                  <w:pPr>
                    <w:jc w:val="center"/>
                    <w:rPr>
                      <w:rFonts w:ascii="Times New Roman" w:hAnsiTheme="minorEastAsia" w:eastAsiaTheme="minorEastAsia"/>
                      <w:bCs/>
                      <w:color w:val="000000" w:themeColor="text1"/>
                      <w:szCs w:val="21"/>
                    </w:rPr>
                  </w:pPr>
                  <w:r>
                    <w:rPr>
                      <w:rFonts w:ascii="Times New Roman" w:hAnsiTheme="minorEastAsia" w:eastAsiaTheme="minorEastAsia"/>
                      <w:bCs/>
                      <w:color w:val="000000" w:themeColor="text1"/>
                      <w:szCs w:val="21"/>
                    </w:rPr>
                    <w:t>（万元）</w:t>
                  </w:r>
                </w:p>
              </w:tc>
              <w:tc>
                <w:tcPr>
                  <w:tcW w:w="494" w:type="pct"/>
                  <w:vMerge w:val="continue"/>
                  <w:vAlign w:val="center"/>
                </w:tcPr>
                <w:p w14:paraId="6E1A2EA0">
                  <w:pPr>
                    <w:jc w:val="center"/>
                    <w:rPr>
                      <w:rFonts w:ascii="Times New Roman" w:hAnsiTheme="minorEastAsia" w:eastAsiaTheme="minorEastAsia"/>
                      <w:bCs/>
                      <w:color w:val="000000" w:themeColor="text1"/>
                      <w:szCs w:val="21"/>
                    </w:rPr>
                  </w:pPr>
                </w:p>
              </w:tc>
            </w:tr>
            <w:tr w14:paraId="49AA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restart"/>
                  <w:vAlign w:val="center"/>
                </w:tcPr>
                <w:p w14:paraId="38AB3773">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施</w:t>
                  </w:r>
                </w:p>
                <w:p w14:paraId="2B237DF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工</w:t>
                  </w:r>
                </w:p>
                <w:p w14:paraId="5D662DE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期</w:t>
                  </w:r>
                </w:p>
              </w:tc>
              <w:tc>
                <w:tcPr>
                  <w:tcW w:w="504" w:type="pct"/>
                  <w:vMerge w:val="restart"/>
                  <w:vAlign w:val="center"/>
                </w:tcPr>
                <w:p w14:paraId="06DD79F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大气防治措施</w:t>
                  </w:r>
                </w:p>
              </w:tc>
              <w:tc>
                <w:tcPr>
                  <w:tcW w:w="1211" w:type="pct"/>
                  <w:vAlign w:val="center"/>
                </w:tcPr>
                <w:p w14:paraId="19B091E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材料覆盖、洒水降尘</w:t>
                  </w:r>
                </w:p>
              </w:tc>
              <w:tc>
                <w:tcPr>
                  <w:tcW w:w="723" w:type="pct"/>
                  <w:vAlign w:val="center"/>
                </w:tcPr>
                <w:p w14:paraId="355A0BB3">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3.0</w:t>
                  </w:r>
                </w:p>
              </w:tc>
              <w:tc>
                <w:tcPr>
                  <w:tcW w:w="1219" w:type="pct"/>
                  <w:vAlign w:val="center"/>
                </w:tcPr>
                <w:p w14:paraId="5E51DBE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材料覆盖、洒水降尘</w:t>
                  </w:r>
                </w:p>
              </w:tc>
              <w:tc>
                <w:tcPr>
                  <w:tcW w:w="647" w:type="pct"/>
                  <w:vAlign w:val="center"/>
                </w:tcPr>
                <w:p w14:paraId="10E72039">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3.0</w:t>
                  </w:r>
                </w:p>
              </w:tc>
              <w:tc>
                <w:tcPr>
                  <w:tcW w:w="494" w:type="pct"/>
                  <w:vAlign w:val="center"/>
                </w:tcPr>
                <w:p w14:paraId="56D7A35B">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6E470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1126F7B6">
                  <w:pPr>
                    <w:jc w:val="center"/>
                    <w:rPr>
                      <w:rFonts w:ascii="Times New Roman" w:hAnsi="Times New Roman" w:eastAsiaTheme="minorEastAsia"/>
                      <w:bCs/>
                      <w:color w:val="000000" w:themeColor="text1"/>
                      <w:szCs w:val="21"/>
                    </w:rPr>
                  </w:pPr>
                </w:p>
              </w:tc>
              <w:tc>
                <w:tcPr>
                  <w:tcW w:w="504" w:type="pct"/>
                  <w:vMerge w:val="continue"/>
                  <w:vAlign w:val="center"/>
                </w:tcPr>
                <w:p w14:paraId="4229CC81">
                  <w:pPr>
                    <w:jc w:val="center"/>
                    <w:rPr>
                      <w:rFonts w:ascii="Times New Roman" w:hAnsi="Times New Roman" w:eastAsiaTheme="minorEastAsia"/>
                      <w:bCs/>
                      <w:color w:val="000000" w:themeColor="text1"/>
                      <w:szCs w:val="21"/>
                    </w:rPr>
                  </w:pPr>
                </w:p>
              </w:tc>
              <w:tc>
                <w:tcPr>
                  <w:tcW w:w="1211" w:type="pct"/>
                  <w:vAlign w:val="center"/>
                </w:tcPr>
                <w:p w14:paraId="22BC5E5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建筑物临时围挡</w:t>
                  </w:r>
                </w:p>
              </w:tc>
              <w:tc>
                <w:tcPr>
                  <w:tcW w:w="723" w:type="pct"/>
                  <w:vAlign w:val="center"/>
                </w:tcPr>
                <w:p w14:paraId="79543B14">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5.0</w:t>
                  </w:r>
                </w:p>
              </w:tc>
              <w:tc>
                <w:tcPr>
                  <w:tcW w:w="1219" w:type="pct"/>
                  <w:vAlign w:val="center"/>
                </w:tcPr>
                <w:p w14:paraId="3DEF37A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建筑物临时围挡</w:t>
                  </w:r>
                </w:p>
              </w:tc>
              <w:tc>
                <w:tcPr>
                  <w:tcW w:w="647" w:type="pct"/>
                  <w:vAlign w:val="center"/>
                </w:tcPr>
                <w:p w14:paraId="25BFC386">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5.0</w:t>
                  </w:r>
                </w:p>
              </w:tc>
              <w:tc>
                <w:tcPr>
                  <w:tcW w:w="494" w:type="pct"/>
                  <w:vAlign w:val="center"/>
                </w:tcPr>
                <w:p w14:paraId="5CF177E4">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27250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77E7DD6B">
                  <w:pPr>
                    <w:jc w:val="center"/>
                    <w:rPr>
                      <w:rFonts w:ascii="Times New Roman" w:hAnsi="Times New Roman" w:eastAsiaTheme="minorEastAsia"/>
                      <w:bCs/>
                      <w:color w:val="000000" w:themeColor="text1"/>
                      <w:szCs w:val="21"/>
                    </w:rPr>
                  </w:pPr>
                </w:p>
              </w:tc>
              <w:tc>
                <w:tcPr>
                  <w:tcW w:w="504" w:type="pct"/>
                  <w:vMerge w:val="restart"/>
                  <w:vAlign w:val="center"/>
                </w:tcPr>
                <w:p w14:paraId="0A3997E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废水防治措施</w:t>
                  </w:r>
                </w:p>
              </w:tc>
              <w:tc>
                <w:tcPr>
                  <w:tcW w:w="1211" w:type="pct"/>
                  <w:vAlign w:val="center"/>
                </w:tcPr>
                <w:p w14:paraId="32605997">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临时沉淀池（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15m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23" w:type="pct"/>
                  <w:vAlign w:val="center"/>
                </w:tcPr>
                <w:p w14:paraId="44A0A36C">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1.05</w:t>
                  </w:r>
                </w:p>
              </w:tc>
              <w:tc>
                <w:tcPr>
                  <w:tcW w:w="1219" w:type="pct"/>
                  <w:vAlign w:val="center"/>
                </w:tcPr>
                <w:p w14:paraId="4BCCD00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临时沉淀池（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15m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647" w:type="pct"/>
                  <w:vAlign w:val="center"/>
                </w:tcPr>
                <w:p w14:paraId="3C58F988">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1.1</w:t>
                  </w:r>
                </w:p>
              </w:tc>
              <w:tc>
                <w:tcPr>
                  <w:tcW w:w="494" w:type="pct"/>
                  <w:vAlign w:val="center"/>
                </w:tcPr>
                <w:p w14:paraId="661FC84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+0.05</w:t>
                  </w:r>
                </w:p>
              </w:tc>
            </w:tr>
            <w:tr w14:paraId="4A08F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110E2C04">
                  <w:pPr>
                    <w:jc w:val="center"/>
                    <w:rPr>
                      <w:rFonts w:ascii="Times New Roman" w:hAnsi="Times New Roman" w:eastAsiaTheme="minorEastAsia"/>
                      <w:bCs/>
                      <w:color w:val="000000" w:themeColor="text1"/>
                      <w:szCs w:val="21"/>
                    </w:rPr>
                  </w:pPr>
                </w:p>
              </w:tc>
              <w:tc>
                <w:tcPr>
                  <w:tcW w:w="504" w:type="pct"/>
                  <w:vMerge w:val="continue"/>
                  <w:vAlign w:val="center"/>
                </w:tcPr>
                <w:p w14:paraId="442F7F43">
                  <w:pPr>
                    <w:jc w:val="center"/>
                    <w:rPr>
                      <w:rFonts w:ascii="Times New Roman" w:hAnsi="Times New Roman" w:eastAsiaTheme="minorEastAsia"/>
                      <w:bCs/>
                      <w:color w:val="000000" w:themeColor="text1"/>
                      <w:szCs w:val="21"/>
                    </w:rPr>
                  </w:pPr>
                </w:p>
              </w:tc>
              <w:tc>
                <w:tcPr>
                  <w:tcW w:w="1211" w:type="pct"/>
                  <w:vAlign w:val="center"/>
                </w:tcPr>
                <w:p w14:paraId="1F7421A1">
                  <w:pPr>
                    <w:jc w:val="center"/>
                    <w:rPr>
                      <w:rFonts w:ascii="Times New Roman" w:hAnsi="Times New Roman" w:eastAsiaTheme="minorEastAsia"/>
                      <w:bCs/>
                      <w:color w:val="000000" w:themeColor="text1"/>
                      <w:szCs w:val="21"/>
                      <w:highlight w:val="yellow"/>
                    </w:rPr>
                  </w:pPr>
                  <w:r>
                    <w:rPr>
                      <w:rFonts w:ascii="Times New Roman" w:hAnsiTheme="minorEastAsia" w:eastAsiaTheme="minorEastAsia"/>
                      <w:bCs/>
                      <w:color w:val="000000" w:themeColor="text1"/>
                      <w:szCs w:val="21"/>
                    </w:rPr>
                    <w:t>初期雨水沉淀池（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23" w:type="pct"/>
                  <w:vAlign w:val="center"/>
                </w:tcPr>
                <w:p w14:paraId="2B5EBBD3">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0.7</w:t>
                  </w:r>
                </w:p>
              </w:tc>
              <w:tc>
                <w:tcPr>
                  <w:tcW w:w="1219" w:type="pct"/>
                  <w:vAlign w:val="center"/>
                </w:tcPr>
                <w:p w14:paraId="33FEF47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初期雨水沉淀池（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647" w:type="pct"/>
                  <w:vAlign w:val="center"/>
                </w:tcPr>
                <w:p w14:paraId="17A8D435">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0.75</w:t>
                  </w:r>
                </w:p>
              </w:tc>
              <w:tc>
                <w:tcPr>
                  <w:tcW w:w="494" w:type="pct"/>
                  <w:vAlign w:val="center"/>
                </w:tcPr>
                <w:p w14:paraId="67C27885">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+0.05</w:t>
                  </w:r>
                </w:p>
              </w:tc>
            </w:tr>
            <w:tr w14:paraId="390AE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352F7B80">
                  <w:pPr>
                    <w:jc w:val="center"/>
                    <w:rPr>
                      <w:rFonts w:ascii="Times New Roman" w:hAnsi="Times New Roman" w:eastAsiaTheme="minorEastAsia"/>
                      <w:bCs/>
                      <w:color w:val="000000" w:themeColor="text1"/>
                      <w:szCs w:val="21"/>
                    </w:rPr>
                  </w:pPr>
                </w:p>
              </w:tc>
              <w:tc>
                <w:tcPr>
                  <w:tcW w:w="504" w:type="pct"/>
                  <w:vMerge w:val="continue"/>
                  <w:vAlign w:val="center"/>
                </w:tcPr>
                <w:p w14:paraId="6B8E33BB">
                  <w:pPr>
                    <w:jc w:val="center"/>
                    <w:rPr>
                      <w:rFonts w:ascii="Times New Roman" w:hAnsi="Times New Roman" w:eastAsiaTheme="minorEastAsia"/>
                      <w:bCs/>
                      <w:color w:val="000000" w:themeColor="text1"/>
                      <w:szCs w:val="21"/>
                    </w:rPr>
                  </w:pPr>
                </w:p>
              </w:tc>
              <w:tc>
                <w:tcPr>
                  <w:tcW w:w="1211" w:type="pct"/>
                  <w:vAlign w:val="center"/>
                </w:tcPr>
                <w:p w14:paraId="129121D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车辆清洗池（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个，容积均为</w:t>
                  </w:r>
                  <w:r>
                    <w:rPr>
                      <w:rFonts w:ascii="Times New Roman" w:hAnsi="Times New Roman" w:eastAsiaTheme="minorEastAsia"/>
                      <w:bCs/>
                      <w:color w:val="000000" w:themeColor="text1"/>
                      <w:szCs w:val="21"/>
                    </w:rPr>
                    <w:t>10m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23" w:type="pct"/>
                  <w:vAlign w:val="center"/>
                </w:tcPr>
                <w:p w14:paraId="5F18CB5B">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0.7</w:t>
                  </w:r>
                </w:p>
              </w:tc>
              <w:tc>
                <w:tcPr>
                  <w:tcW w:w="1219" w:type="pct"/>
                  <w:vAlign w:val="center"/>
                </w:tcPr>
                <w:p w14:paraId="082FD392">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车辆清洗池（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个，容积均为</w:t>
                  </w:r>
                  <w:r>
                    <w:rPr>
                      <w:rFonts w:ascii="Times New Roman" w:hAnsi="Times New Roman" w:eastAsiaTheme="minorEastAsia"/>
                      <w:bCs/>
                      <w:color w:val="000000" w:themeColor="text1"/>
                      <w:szCs w:val="21"/>
                    </w:rPr>
                    <w:t>10m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647" w:type="pct"/>
                  <w:vAlign w:val="center"/>
                </w:tcPr>
                <w:p w14:paraId="631408D1">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0.75</w:t>
                  </w:r>
                </w:p>
              </w:tc>
              <w:tc>
                <w:tcPr>
                  <w:tcW w:w="494" w:type="pct"/>
                  <w:vAlign w:val="center"/>
                </w:tcPr>
                <w:p w14:paraId="62A0B421">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+0.05</w:t>
                  </w:r>
                </w:p>
              </w:tc>
            </w:tr>
            <w:tr w14:paraId="2455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71565BCB">
                  <w:pPr>
                    <w:jc w:val="center"/>
                    <w:rPr>
                      <w:rFonts w:ascii="Times New Roman" w:hAnsi="Times New Roman" w:eastAsiaTheme="minorEastAsia"/>
                      <w:bCs/>
                      <w:color w:val="000000" w:themeColor="text1"/>
                      <w:szCs w:val="21"/>
                    </w:rPr>
                  </w:pPr>
                </w:p>
              </w:tc>
              <w:tc>
                <w:tcPr>
                  <w:tcW w:w="504" w:type="pct"/>
                  <w:vAlign w:val="center"/>
                </w:tcPr>
                <w:p w14:paraId="15AD250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噪声防治措施</w:t>
                  </w:r>
                </w:p>
              </w:tc>
              <w:tc>
                <w:tcPr>
                  <w:tcW w:w="1211" w:type="pct"/>
                  <w:vAlign w:val="center"/>
                </w:tcPr>
                <w:p w14:paraId="797B380F">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选用低噪设备</w:t>
                  </w:r>
                </w:p>
              </w:tc>
              <w:tc>
                <w:tcPr>
                  <w:tcW w:w="723" w:type="pct"/>
                  <w:vAlign w:val="center"/>
                </w:tcPr>
                <w:p w14:paraId="2F98F845">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3.0</w:t>
                  </w:r>
                </w:p>
              </w:tc>
              <w:tc>
                <w:tcPr>
                  <w:tcW w:w="1219" w:type="pct"/>
                  <w:vAlign w:val="center"/>
                </w:tcPr>
                <w:p w14:paraId="2DA0DC9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选用低噪设备</w:t>
                  </w:r>
                </w:p>
              </w:tc>
              <w:tc>
                <w:tcPr>
                  <w:tcW w:w="647" w:type="pct"/>
                  <w:vAlign w:val="center"/>
                </w:tcPr>
                <w:p w14:paraId="38ECE2EE">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3.0</w:t>
                  </w:r>
                </w:p>
              </w:tc>
              <w:tc>
                <w:tcPr>
                  <w:tcW w:w="494" w:type="pct"/>
                  <w:vAlign w:val="center"/>
                </w:tcPr>
                <w:p w14:paraId="12A4D915">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448E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7C551AB3">
                  <w:pPr>
                    <w:jc w:val="center"/>
                    <w:rPr>
                      <w:rFonts w:ascii="Times New Roman" w:hAnsi="Times New Roman" w:eastAsiaTheme="minorEastAsia"/>
                      <w:bCs/>
                      <w:color w:val="000000" w:themeColor="text1"/>
                      <w:szCs w:val="21"/>
                    </w:rPr>
                  </w:pPr>
                </w:p>
              </w:tc>
              <w:tc>
                <w:tcPr>
                  <w:tcW w:w="504" w:type="pct"/>
                  <w:vMerge w:val="restart"/>
                  <w:vAlign w:val="center"/>
                </w:tcPr>
                <w:p w14:paraId="4B929F9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固废防治措施</w:t>
                  </w:r>
                </w:p>
              </w:tc>
              <w:tc>
                <w:tcPr>
                  <w:tcW w:w="1211" w:type="pct"/>
                  <w:vAlign w:val="center"/>
                </w:tcPr>
                <w:p w14:paraId="7ED5E20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建筑垃圾收集及处理</w:t>
                  </w:r>
                </w:p>
              </w:tc>
              <w:tc>
                <w:tcPr>
                  <w:tcW w:w="723" w:type="pct"/>
                  <w:vAlign w:val="center"/>
                </w:tcPr>
                <w:p w14:paraId="47BCB725">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4.0</w:t>
                  </w:r>
                </w:p>
              </w:tc>
              <w:tc>
                <w:tcPr>
                  <w:tcW w:w="1219" w:type="pct"/>
                  <w:vAlign w:val="center"/>
                </w:tcPr>
                <w:p w14:paraId="0C168D8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建筑垃圾收集及处理</w:t>
                  </w:r>
                </w:p>
              </w:tc>
              <w:tc>
                <w:tcPr>
                  <w:tcW w:w="647" w:type="pct"/>
                  <w:vAlign w:val="center"/>
                </w:tcPr>
                <w:p w14:paraId="11FF073E">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4.0</w:t>
                  </w:r>
                </w:p>
              </w:tc>
              <w:tc>
                <w:tcPr>
                  <w:tcW w:w="494" w:type="pct"/>
                  <w:vAlign w:val="center"/>
                </w:tcPr>
                <w:p w14:paraId="55D132A8">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31E3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4FD710B1">
                  <w:pPr>
                    <w:jc w:val="center"/>
                    <w:rPr>
                      <w:rFonts w:ascii="Times New Roman" w:hAnsi="Times New Roman" w:eastAsiaTheme="minorEastAsia"/>
                      <w:bCs/>
                      <w:color w:val="000000" w:themeColor="text1"/>
                      <w:szCs w:val="21"/>
                    </w:rPr>
                  </w:pPr>
                </w:p>
              </w:tc>
              <w:tc>
                <w:tcPr>
                  <w:tcW w:w="504" w:type="pct"/>
                  <w:vMerge w:val="continue"/>
                  <w:vAlign w:val="center"/>
                </w:tcPr>
                <w:p w14:paraId="4A14ED87">
                  <w:pPr>
                    <w:jc w:val="center"/>
                    <w:rPr>
                      <w:rFonts w:ascii="Times New Roman" w:hAnsi="Times New Roman" w:eastAsiaTheme="minorEastAsia"/>
                      <w:bCs/>
                      <w:color w:val="000000" w:themeColor="text1"/>
                      <w:szCs w:val="21"/>
                    </w:rPr>
                  </w:pPr>
                </w:p>
              </w:tc>
              <w:tc>
                <w:tcPr>
                  <w:tcW w:w="1211" w:type="pct"/>
                  <w:vAlign w:val="center"/>
                </w:tcPr>
                <w:p w14:paraId="1A0212A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土石方清运</w:t>
                  </w:r>
                </w:p>
              </w:tc>
              <w:tc>
                <w:tcPr>
                  <w:tcW w:w="723" w:type="pct"/>
                  <w:vAlign w:val="center"/>
                </w:tcPr>
                <w:p w14:paraId="2C284206">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9.5</w:t>
                  </w:r>
                </w:p>
              </w:tc>
              <w:tc>
                <w:tcPr>
                  <w:tcW w:w="1219" w:type="pct"/>
                  <w:vAlign w:val="center"/>
                </w:tcPr>
                <w:p w14:paraId="1AF0AF5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土石方清运</w:t>
                  </w:r>
                </w:p>
              </w:tc>
              <w:tc>
                <w:tcPr>
                  <w:tcW w:w="647" w:type="pct"/>
                  <w:vAlign w:val="center"/>
                </w:tcPr>
                <w:p w14:paraId="4FEFA37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9.5</w:t>
                  </w:r>
                </w:p>
              </w:tc>
              <w:tc>
                <w:tcPr>
                  <w:tcW w:w="494" w:type="pct"/>
                  <w:vAlign w:val="center"/>
                </w:tcPr>
                <w:p w14:paraId="64E09AC3">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19474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restart"/>
                  <w:vAlign w:val="center"/>
                </w:tcPr>
                <w:p w14:paraId="7714A8B5">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运</w:t>
                  </w:r>
                </w:p>
                <w:p w14:paraId="4B75A7C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营</w:t>
                  </w:r>
                </w:p>
                <w:p w14:paraId="179D6CCF">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期</w:t>
                  </w:r>
                </w:p>
              </w:tc>
              <w:tc>
                <w:tcPr>
                  <w:tcW w:w="504" w:type="pct"/>
                  <w:vMerge w:val="restart"/>
                  <w:vAlign w:val="center"/>
                </w:tcPr>
                <w:p w14:paraId="304F1F7B">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废水防治措施</w:t>
                  </w:r>
                </w:p>
              </w:tc>
              <w:tc>
                <w:tcPr>
                  <w:tcW w:w="1211" w:type="pct"/>
                  <w:vAlign w:val="center"/>
                </w:tcPr>
                <w:p w14:paraId="400AF4A3">
                  <w:pPr>
                    <w:spacing w:line="360" w:lineRule="auto"/>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雨污分流系统</w:t>
                  </w:r>
                </w:p>
              </w:tc>
              <w:tc>
                <w:tcPr>
                  <w:tcW w:w="723" w:type="pct"/>
                  <w:vAlign w:val="center"/>
                </w:tcPr>
                <w:p w14:paraId="774EBF93">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15.0</w:t>
                  </w:r>
                </w:p>
              </w:tc>
              <w:tc>
                <w:tcPr>
                  <w:tcW w:w="1219" w:type="pct"/>
                  <w:vAlign w:val="center"/>
                </w:tcPr>
                <w:p w14:paraId="2BA4AAFB">
                  <w:pPr>
                    <w:spacing w:line="360" w:lineRule="auto"/>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雨污分流系统</w:t>
                  </w:r>
                </w:p>
              </w:tc>
              <w:tc>
                <w:tcPr>
                  <w:tcW w:w="647" w:type="pct"/>
                  <w:vAlign w:val="center"/>
                </w:tcPr>
                <w:p w14:paraId="2D3C300D">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15.0</w:t>
                  </w:r>
                </w:p>
              </w:tc>
              <w:tc>
                <w:tcPr>
                  <w:tcW w:w="494" w:type="pct"/>
                  <w:vAlign w:val="center"/>
                </w:tcPr>
                <w:p w14:paraId="422E33C5">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067B1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60394CF7">
                  <w:pPr>
                    <w:jc w:val="center"/>
                    <w:rPr>
                      <w:rFonts w:ascii="Times New Roman" w:hAnsi="Times New Roman" w:eastAsiaTheme="minorEastAsia"/>
                      <w:bCs/>
                      <w:color w:val="000000" w:themeColor="text1"/>
                      <w:szCs w:val="21"/>
                    </w:rPr>
                  </w:pPr>
                </w:p>
              </w:tc>
              <w:tc>
                <w:tcPr>
                  <w:tcW w:w="504" w:type="pct"/>
                  <w:vMerge w:val="continue"/>
                  <w:vAlign w:val="center"/>
                </w:tcPr>
                <w:p w14:paraId="41BEB8BB">
                  <w:pPr>
                    <w:jc w:val="center"/>
                    <w:rPr>
                      <w:rFonts w:ascii="Times New Roman" w:hAnsi="Times New Roman" w:eastAsiaTheme="minorEastAsia"/>
                      <w:bCs/>
                      <w:color w:val="000000" w:themeColor="text1"/>
                      <w:szCs w:val="21"/>
                    </w:rPr>
                  </w:pPr>
                </w:p>
              </w:tc>
              <w:tc>
                <w:tcPr>
                  <w:tcW w:w="1211" w:type="pct"/>
                  <w:vAlign w:val="center"/>
                </w:tcPr>
                <w:p w14:paraId="45927F38">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防渗化粪池（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100m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23" w:type="pct"/>
                  <w:vAlign w:val="center"/>
                </w:tcPr>
                <w:p w14:paraId="3E87342D">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8.0</w:t>
                  </w:r>
                </w:p>
              </w:tc>
              <w:tc>
                <w:tcPr>
                  <w:tcW w:w="1219" w:type="pct"/>
                  <w:vAlign w:val="center"/>
                </w:tcPr>
                <w:p w14:paraId="584EF29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防渗化粪池</w:t>
                  </w:r>
                  <w:r>
                    <w:rPr>
                      <w:rFonts w:ascii="Times New Roman" w:hAnsiTheme="minorEastAsia" w:eastAsiaTheme="minorEastAsia"/>
                      <w:bCs/>
                      <w:color w:val="000000" w:themeColor="text1"/>
                      <w:szCs w:val="21"/>
                      <w:highlight w:val="none"/>
                    </w:rPr>
                    <w:t>（</w:t>
                  </w:r>
                  <w:r>
                    <w:rPr>
                      <w:rFonts w:ascii="Times New Roman" w:hAnsi="Times New Roman" w:eastAsiaTheme="minorEastAsia"/>
                      <w:bCs/>
                      <w:color w:val="000000" w:themeColor="text1"/>
                      <w:szCs w:val="21"/>
                      <w:highlight w:val="none"/>
                    </w:rPr>
                    <w:t>1</w:t>
                  </w:r>
                  <w:r>
                    <w:rPr>
                      <w:rFonts w:ascii="Times New Roman" w:hAnsiTheme="minorEastAsia" w:eastAsiaTheme="minorEastAsia"/>
                      <w:bCs/>
                      <w:color w:val="000000" w:themeColor="text1"/>
                      <w:szCs w:val="21"/>
                      <w:highlight w:val="none"/>
                    </w:rPr>
                    <w:t>个，容积为</w:t>
                  </w:r>
                  <w:r>
                    <w:rPr>
                      <w:rFonts w:ascii="Times New Roman" w:hAnsi="Times New Roman" w:eastAsiaTheme="minorEastAsia"/>
                      <w:bCs/>
                      <w:color w:val="000000" w:themeColor="text1"/>
                      <w:szCs w:val="21"/>
                      <w:highlight w:val="none"/>
                    </w:rPr>
                    <w:t>100m</w:t>
                  </w:r>
                  <w:r>
                    <w:rPr>
                      <w:rFonts w:ascii="Times New Roman" w:hAnsi="Times New Roman" w:eastAsiaTheme="minorEastAsia"/>
                      <w:bCs/>
                      <w:color w:val="000000" w:themeColor="text1"/>
                      <w:szCs w:val="21"/>
                      <w:highlight w:val="none"/>
                      <w:vertAlign w:val="superscript"/>
                    </w:rPr>
                    <w:t>3</w:t>
                  </w:r>
                  <w:r>
                    <w:rPr>
                      <w:rFonts w:ascii="Times New Roman" w:hAnsiTheme="minorEastAsia" w:eastAsiaTheme="minorEastAsia"/>
                      <w:bCs/>
                      <w:color w:val="000000" w:themeColor="text1"/>
                      <w:szCs w:val="21"/>
                      <w:highlight w:val="none"/>
                    </w:rPr>
                    <w:t>）</w:t>
                  </w:r>
                </w:p>
              </w:tc>
              <w:tc>
                <w:tcPr>
                  <w:tcW w:w="647" w:type="pct"/>
                  <w:vAlign w:val="center"/>
                </w:tcPr>
                <w:p w14:paraId="636C487F">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8.0</w:t>
                  </w:r>
                </w:p>
              </w:tc>
              <w:tc>
                <w:tcPr>
                  <w:tcW w:w="494" w:type="pct"/>
                  <w:vAlign w:val="center"/>
                </w:tcPr>
                <w:p w14:paraId="5A6CF943">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2BB6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3352C7F2">
                  <w:pPr>
                    <w:jc w:val="center"/>
                    <w:rPr>
                      <w:rFonts w:ascii="Times New Roman" w:hAnsi="Times New Roman" w:eastAsiaTheme="minorEastAsia"/>
                      <w:bCs/>
                      <w:color w:val="000000" w:themeColor="text1"/>
                      <w:szCs w:val="21"/>
                    </w:rPr>
                  </w:pPr>
                </w:p>
              </w:tc>
              <w:tc>
                <w:tcPr>
                  <w:tcW w:w="504" w:type="pct"/>
                  <w:vMerge w:val="continue"/>
                  <w:vAlign w:val="center"/>
                </w:tcPr>
                <w:p w14:paraId="32193F26">
                  <w:pPr>
                    <w:jc w:val="center"/>
                    <w:rPr>
                      <w:rFonts w:ascii="Times New Roman" w:hAnsi="Times New Roman" w:eastAsiaTheme="minorEastAsia"/>
                      <w:bCs/>
                      <w:color w:val="000000" w:themeColor="text1"/>
                      <w:szCs w:val="21"/>
                    </w:rPr>
                  </w:pPr>
                </w:p>
              </w:tc>
              <w:tc>
                <w:tcPr>
                  <w:tcW w:w="1211" w:type="pct"/>
                  <w:vAlign w:val="center"/>
                </w:tcPr>
                <w:p w14:paraId="27FC3BF3">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w:t>
                  </w:r>
                </w:p>
              </w:tc>
              <w:tc>
                <w:tcPr>
                  <w:tcW w:w="723" w:type="pct"/>
                  <w:vAlign w:val="center"/>
                </w:tcPr>
                <w:p w14:paraId="069B1067">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w:t>
                  </w:r>
                </w:p>
              </w:tc>
              <w:tc>
                <w:tcPr>
                  <w:tcW w:w="1219" w:type="pct"/>
                  <w:vAlign w:val="center"/>
                </w:tcPr>
                <w:p w14:paraId="09EF623A">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污水处理站（1个，处理能力为384m</w:t>
                  </w:r>
                  <w:r>
                    <w:rPr>
                      <w:rFonts w:hint="eastAsia" w:ascii="Times New Roman" w:hAnsiTheme="minorEastAsia" w:eastAsiaTheme="minorEastAsia"/>
                      <w:bCs/>
                      <w:color w:val="000000" w:themeColor="text1"/>
                      <w:szCs w:val="21"/>
                      <w:vertAlign w:val="superscript"/>
                      <w:lang w:val="en-US" w:eastAsia="zh-CN"/>
                    </w:rPr>
                    <w:t>3</w:t>
                  </w:r>
                  <w:r>
                    <w:rPr>
                      <w:rFonts w:hint="eastAsia" w:ascii="Times New Roman" w:hAnsiTheme="minorEastAsia" w:eastAsiaTheme="minorEastAsia"/>
                      <w:bCs/>
                      <w:color w:val="000000" w:themeColor="text1"/>
                      <w:szCs w:val="21"/>
                      <w:lang w:val="en-US" w:eastAsia="zh-CN"/>
                    </w:rPr>
                    <w:t>/d）</w:t>
                  </w:r>
                </w:p>
              </w:tc>
              <w:tc>
                <w:tcPr>
                  <w:tcW w:w="647" w:type="pct"/>
                  <w:vAlign w:val="center"/>
                </w:tcPr>
                <w:p w14:paraId="44C09C1F">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89.81</w:t>
                  </w:r>
                </w:p>
              </w:tc>
              <w:tc>
                <w:tcPr>
                  <w:tcW w:w="494" w:type="pct"/>
                  <w:vAlign w:val="center"/>
                </w:tcPr>
                <w:p w14:paraId="198EC85C">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+89.81</w:t>
                  </w:r>
                </w:p>
              </w:tc>
            </w:tr>
            <w:tr w14:paraId="05E3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51887E85">
                  <w:pPr>
                    <w:jc w:val="center"/>
                    <w:rPr>
                      <w:rFonts w:ascii="Times New Roman" w:hAnsi="Times New Roman" w:eastAsiaTheme="minorEastAsia"/>
                      <w:bCs/>
                      <w:color w:val="000000" w:themeColor="text1"/>
                      <w:szCs w:val="21"/>
                    </w:rPr>
                  </w:pPr>
                </w:p>
              </w:tc>
              <w:tc>
                <w:tcPr>
                  <w:tcW w:w="504" w:type="pct"/>
                  <w:vMerge w:val="restart"/>
                  <w:vAlign w:val="center"/>
                </w:tcPr>
                <w:p w14:paraId="13E6AC2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固废防治措施</w:t>
                  </w:r>
                </w:p>
              </w:tc>
              <w:tc>
                <w:tcPr>
                  <w:tcW w:w="1211" w:type="pct"/>
                  <w:vAlign w:val="center"/>
                </w:tcPr>
                <w:p w14:paraId="29CB540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垃圾桶若干</w:t>
                  </w:r>
                </w:p>
              </w:tc>
              <w:tc>
                <w:tcPr>
                  <w:tcW w:w="723" w:type="pct"/>
                  <w:vAlign w:val="center"/>
                </w:tcPr>
                <w:p w14:paraId="4E679A24">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1.5</w:t>
                  </w:r>
                </w:p>
              </w:tc>
              <w:tc>
                <w:tcPr>
                  <w:tcW w:w="1219" w:type="pct"/>
                  <w:vAlign w:val="center"/>
                </w:tcPr>
                <w:p w14:paraId="5A34920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垃圾桶若干</w:t>
                  </w:r>
                </w:p>
              </w:tc>
              <w:tc>
                <w:tcPr>
                  <w:tcW w:w="647" w:type="pct"/>
                  <w:vAlign w:val="center"/>
                </w:tcPr>
                <w:p w14:paraId="59377012">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2.5</w:t>
                  </w:r>
                </w:p>
              </w:tc>
              <w:tc>
                <w:tcPr>
                  <w:tcW w:w="494" w:type="pct"/>
                  <w:vAlign w:val="center"/>
                </w:tcPr>
                <w:p w14:paraId="5B22151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+1.0</w:t>
                  </w:r>
                </w:p>
              </w:tc>
            </w:tr>
            <w:tr w14:paraId="4CA4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28D24E60">
                  <w:pPr>
                    <w:jc w:val="center"/>
                    <w:rPr>
                      <w:rFonts w:ascii="Times New Roman" w:hAnsi="Times New Roman" w:eastAsiaTheme="minorEastAsia"/>
                      <w:bCs/>
                      <w:color w:val="000000" w:themeColor="text1"/>
                      <w:szCs w:val="21"/>
                    </w:rPr>
                  </w:pPr>
                </w:p>
              </w:tc>
              <w:tc>
                <w:tcPr>
                  <w:tcW w:w="504" w:type="pct"/>
                  <w:vMerge w:val="continue"/>
                  <w:vAlign w:val="center"/>
                </w:tcPr>
                <w:p w14:paraId="3D429068">
                  <w:pPr>
                    <w:jc w:val="center"/>
                    <w:rPr>
                      <w:rFonts w:ascii="Times New Roman" w:hAnsi="Times New Roman" w:eastAsiaTheme="minorEastAsia"/>
                      <w:bCs/>
                      <w:color w:val="000000" w:themeColor="text1"/>
                      <w:szCs w:val="21"/>
                    </w:rPr>
                  </w:pPr>
                </w:p>
              </w:tc>
              <w:tc>
                <w:tcPr>
                  <w:tcW w:w="1211" w:type="pct"/>
                  <w:vAlign w:val="center"/>
                </w:tcPr>
                <w:p w14:paraId="0DCF7EE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固体废物分类收集、暂存及委托处理</w:t>
                  </w:r>
                </w:p>
              </w:tc>
              <w:tc>
                <w:tcPr>
                  <w:tcW w:w="723" w:type="pct"/>
                  <w:vAlign w:val="center"/>
                </w:tcPr>
                <w:p w14:paraId="74665E79">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3.5</w:t>
                  </w:r>
                </w:p>
              </w:tc>
              <w:tc>
                <w:tcPr>
                  <w:tcW w:w="1219" w:type="pct"/>
                  <w:vAlign w:val="center"/>
                </w:tcPr>
                <w:p w14:paraId="5B8B5C1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固体废物分类收集、暂存及委托处理</w:t>
                  </w:r>
                </w:p>
              </w:tc>
              <w:tc>
                <w:tcPr>
                  <w:tcW w:w="647" w:type="pct"/>
                  <w:vAlign w:val="center"/>
                </w:tcPr>
                <w:p w14:paraId="47D86C47">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3.0</w:t>
                  </w:r>
                </w:p>
              </w:tc>
              <w:tc>
                <w:tcPr>
                  <w:tcW w:w="494" w:type="pct"/>
                  <w:vAlign w:val="center"/>
                </w:tcPr>
                <w:p w14:paraId="20A8B7D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-0.5</w:t>
                  </w:r>
                </w:p>
              </w:tc>
            </w:tr>
            <w:tr w14:paraId="7F5A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1245BC8D">
                  <w:pPr>
                    <w:jc w:val="center"/>
                    <w:rPr>
                      <w:rFonts w:ascii="Times New Roman" w:hAnsi="Times New Roman" w:eastAsiaTheme="minorEastAsia"/>
                      <w:bCs/>
                      <w:color w:val="000000" w:themeColor="text1"/>
                      <w:szCs w:val="21"/>
                    </w:rPr>
                  </w:pPr>
                </w:p>
              </w:tc>
              <w:tc>
                <w:tcPr>
                  <w:tcW w:w="504" w:type="pct"/>
                  <w:vAlign w:val="center"/>
                </w:tcPr>
                <w:p w14:paraId="625A0672">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废气防治措施</w:t>
                  </w:r>
                </w:p>
              </w:tc>
              <w:tc>
                <w:tcPr>
                  <w:tcW w:w="1211" w:type="pct"/>
                  <w:vAlign w:val="center"/>
                </w:tcPr>
                <w:p w14:paraId="6F0F93ED">
                  <w:pPr>
                    <w:jc w:val="center"/>
                    <w:rPr>
                      <w:rFonts w:ascii="Times New Roman" w:hAnsi="Times New Roman" w:eastAsiaTheme="minorEastAsia"/>
                      <w:color w:val="000000" w:themeColor="text1"/>
                      <w:szCs w:val="21"/>
                    </w:rPr>
                  </w:pPr>
                  <w:r>
                    <w:rPr>
                      <w:rFonts w:ascii="Times New Roman" w:hAnsiTheme="minorEastAsia" w:eastAsiaTheme="minorEastAsia"/>
                      <w:bCs/>
                      <w:color w:val="000000" w:themeColor="text1"/>
                      <w:szCs w:val="21"/>
                    </w:rPr>
                    <w:t>地下排风系</w:t>
                  </w:r>
                  <w:r>
                    <w:rPr>
                      <w:rFonts w:ascii="Times New Roman" w:hAnsi="Times New Roman" w:eastAsiaTheme="minorEastAsia"/>
                      <w:bCs/>
                      <w:color w:val="000000" w:themeColor="text1"/>
                      <w:szCs w:val="21"/>
                    </w:rPr>
                    <w:t xml:space="preserve"> </w:t>
                  </w:r>
                  <w:r>
                    <w:rPr>
                      <w:rFonts w:ascii="Times New Roman" w:hAnsiTheme="minorEastAsia" w:eastAsiaTheme="minorEastAsia"/>
                      <w:bCs/>
                      <w:color w:val="000000" w:themeColor="text1"/>
                      <w:szCs w:val="21"/>
                    </w:rPr>
                    <w:t>统</w:t>
                  </w:r>
                </w:p>
              </w:tc>
              <w:tc>
                <w:tcPr>
                  <w:tcW w:w="723" w:type="pct"/>
                  <w:vAlign w:val="center"/>
                </w:tcPr>
                <w:p w14:paraId="125AA47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15.0</w:t>
                  </w:r>
                </w:p>
              </w:tc>
              <w:tc>
                <w:tcPr>
                  <w:tcW w:w="1219" w:type="pct"/>
                  <w:vAlign w:val="center"/>
                </w:tcPr>
                <w:p w14:paraId="6346C4C4">
                  <w:pPr>
                    <w:jc w:val="center"/>
                    <w:rPr>
                      <w:rFonts w:ascii="Times New Roman" w:hAnsi="Times New Roman" w:eastAsiaTheme="minorEastAsia"/>
                      <w:color w:val="000000" w:themeColor="text1"/>
                      <w:szCs w:val="21"/>
                    </w:rPr>
                  </w:pPr>
                  <w:r>
                    <w:rPr>
                      <w:rFonts w:ascii="Times New Roman" w:hAnsiTheme="minorEastAsia" w:eastAsiaTheme="minorEastAsia"/>
                      <w:bCs/>
                      <w:color w:val="000000" w:themeColor="text1"/>
                      <w:szCs w:val="21"/>
                    </w:rPr>
                    <w:t>地下排风系统</w:t>
                  </w:r>
                </w:p>
              </w:tc>
              <w:tc>
                <w:tcPr>
                  <w:tcW w:w="647" w:type="pct"/>
                  <w:vAlign w:val="center"/>
                </w:tcPr>
                <w:p w14:paraId="4FD7CE65">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16.5</w:t>
                  </w:r>
                </w:p>
              </w:tc>
              <w:tc>
                <w:tcPr>
                  <w:tcW w:w="494" w:type="pct"/>
                  <w:vAlign w:val="center"/>
                </w:tcPr>
                <w:p w14:paraId="5D2B3C97">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+1.5</w:t>
                  </w:r>
                </w:p>
              </w:tc>
            </w:tr>
            <w:tr w14:paraId="0A924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18E14BEE">
                  <w:pPr>
                    <w:jc w:val="center"/>
                    <w:rPr>
                      <w:rFonts w:ascii="Times New Roman" w:hAnsi="Times New Roman" w:eastAsiaTheme="minorEastAsia"/>
                      <w:bCs/>
                      <w:color w:val="000000" w:themeColor="text1"/>
                      <w:szCs w:val="21"/>
                    </w:rPr>
                  </w:pPr>
                </w:p>
              </w:tc>
              <w:tc>
                <w:tcPr>
                  <w:tcW w:w="504" w:type="pct"/>
                  <w:vAlign w:val="center"/>
                </w:tcPr>
                <w:p w14:paraId="114B0D4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噪声防治措施</w:t>
                  </w:r>
                </w:p>
              </w:tc>
              <w:tc>
                <w:tcPr>
                  <w:tcW w:w="1211" w:type="pct"/>
                  <w:vAlign w:val="center"/>
                </w:tcPr>
                <w:p w14:paraId="7955A66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减速慢行警示牌若干</w:t>
                  </w:r>
                </w:p>
              </w:tc>
              <w:tc>
                <w:tcPr>
                  <w:tcW w:w="723" w:type="pct"/>
                  <w:vAlign w:val="center"/>
                </w:tcPr>
                <w:p w14:paraId="3DFE7C1F">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0.2</w:t>
                  </w:r>
                </w:p>
              </w:tc>
              <w:tc>
                <w:tcPr>
                  <w:tcW w:w="1219" w:type="pct"/>
                  <w:vAlign w:val="center"/>
                </w:tcPr>
                <w:p w14:paraId="11603994">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减速慢行警示牌若干</w:t>
                  </w:r>
                </w:p>
              </w:tc>
              <w:tc>
                <w:tcPr>
                  <w:tcW w:w="647" w:type="pct"/>
                  <w:vAlign w:val="center"/>
                </w:tcPr>
                <w:p w14:paraId="70C9FC52">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0.2</w:t>
                  </w:r>
                </w:p>
              </w:tc>
              <w:tc>
                <w:tcPr>
                  <w:tcW w:w="494" w:type="pct"/>
                  <w:vAlign w:val="center"/>
                </w:tcPr>
                <w:p w14:paraId="11009500">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2B969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8" w:type="pct"/>
                  <w:vMerge w:val="continue"/>
                  <w:vAlign w:val="center"/>
                </w:tcPr>
                <w:p w14:paraId="590B9F78">
                  <w:pPr>
                    <w:jc w:val="center"/>
                    <w:rPr>
                      <w:rFonts w:ascii="Times New Roman" w:hAnsi="Times New Roman" w:eastAsiaTheme="minorEastAsia"/>
                      <w:bCs/>
                      <w:color w:val="000000" w:themeColor="text1"/>
                      <w:szCs w:val="21"/>
                    </w:rPr>
                  </w:pPr>
                </w:p>
              </w:tc>
              <w:tc>
                <w:tcPr>
                  <w:tcW w:w="504" w:type="pct"/>
                  <w:vAlign w:val="center"/>
                </w:tcPr>
                <w:p w14:paraId="4188E19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绿化</w:t>
                  </w:r>
                </w:p>
              </w:tc>
              <w:tc>
                <w:tcPr>
                  <w:tcW w:w="1211" w:type="pct"/>
                  <w:vAlign w:val="center"/>
                </w:tcPr>
                <w:p w14:paraId="6C753C98">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绿化（</w:t>
                  </w:r>
                  <w:r>
                    <w:rPr>
                      <w:rFonts w:ascii="Times New Roman" w:hAnsi="Times New Roman" w:eastAsiaTheme="minorEastAsia"/>
                      <w:bCs/>
                      <w:color w:val="000000" w:themeColor="text1"/>
                      <w:szCs w:val="21"/>
                    </w:rPr>
                    <w:t>4864.21m</w:t>
                  </w:r>
                  <w:r>
                    <w:rPr>
                      <w:rFonts w:ascii="Times New Roman" w:hAnsi="Times New Roman" w:eastAsiaTheme="minorEastAsia"/>
                      <w:bCs/>
                      <w:color w:val="000000" w:themeColor="text1"/>
                      <w:szCs w:val="21"/>
                      <w:vertAlign w:val="superscript"/>
                    </w:rPr>
                    <w:t>2</w:t>
                  </w:r>
                  <w:r>
                    <w:rPr>
                      <w:rFonts w:ascii="Times New Roman" w:hAnsiTheme="minorEastAsia" w:eastAsiaTheme="minorEastAsia"/>
                      <w:bCs/>
                      <w:color w:val="000000" w:themeColor="text1"/>
                      <w:szCs w:val="21"/>
                    </w:rPr>
                    <w:t>）</w:t>
                  </w:r>
                </w:p>
              </w:tc>
              <w:tc>
                <w:tcPr>
                  <w:tcW w:w="723" w:type="pct"/>
                  <w:vAlign w:val="center"/>
                </w:tcPr>
                <w:p w14:paraId="4D4CC842">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24.3</w:t>
                  </w:r>
                </w:p>
              </w:tc>
              <w:tc>
                <w:tcPr>
                  <w:tcW w:w="1219" w:type="pct"/>
                  <w:vAlign w:val="center"/>
                </w:tcPr>
                <w:p w14:paraId="15B67ED0">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绿化（</w:t>
                  </w:r>
                  <w:r>
                    <w:rPr>
                      <w:rFonts w:hint="eastAsia" w:ascii="Times New Roman" w:hAnsi="Times New Roman" w:eastAsiaTheme="minorEastAsia"/>
                      <w:bCs/>
                      <w:color w:val="000000" w:themeColor="text1"/>
                      <w:szCs w:val="21"/>
                      <w:lang w:val="en-US" w:eastAsia="zh-CN"/>
                    </w:rPr>
                    <w:t>5004</w:t>
                  </w:r>
                  <w:r>
                    <w:rPr>
                      <w:rFonts w:ascii="Times New Roman" w:hAnsi="Times New Roman" w:eastAsiaTheme="minorEastAsia"/>
                      <w:bCs/>
                      <w:color w:val="000000" w:themeColor="text1"/>
                      <w:szCs w:val="21"/>
                    </w:rPr>
                    <w:t>m</w:t>
                  </w:r>
                  <w:r>
                    <w:rPr>
                      <w:rFonts w:ascii="Times New Roman" w:hAnsi="Times New Roman" w:eastAsiaTheme="minorEastAsia"/>
                      <w:bCs/>
                      <w:color w:val="000000" w:themeColor="text1"/>
                      <w:szCs w:val="21"/>
                      <w:vertAlign w:val="superscript"/>
                    </w:rPr>
                    <w:t>2</w:t>
                  </w:r>
                  <w:r>
                    <w:rPr>
                      <w:rFonts w:ascii="Times New Roman" w:hAnsiTheme="minorEastAsia" w:eastAsiaTheme="minorEastAsia"/>
                      <w:bCs/>
                      <w:color w:val="000000" w:themeColor="text1"/>
                      <w:szCs w:val="21"/>
                    </w:rPr>
                    <w:t>）</w:t>
                  </w:r>
                </w:p>
              </w:tc>
              <w:tc>
                <w:tcPr>
                  <w:tcW w:w="647" w:type="pct"/>
                  <w:vAlign w:val="center"/>
                </w:tcPr>
                <w:p w14:paraId="64B85459">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25.0</w:t>
                  </w:r>
                </w:p>
              </w:tc>
              <w:tc>
                <w:tcPr>
                  <w:tcW w:w="494" w:type="pct"/>
                  <w:vAlign w:val="center"/>
                </w:tcPr>
                <w:p w14:paraId="48329E7A">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+0.7</w:t>
                  </w:r>
                </w:p>
              </w:tc>
            </w:tr>
            <w:tr w14:paraId="6F6B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2" w:type="pct"/>
                  <w:gridSpan w:val="2"/>
                  <w:vMerge w:val="restart"/>
                  <w:vAlign w:val="center"/>
                </w:tcPr>
                <w:p w14:paraId="4AE891D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其他</w:t>
                  </w:r>
                </w:p>
              </w:tc>
              <w:tc>
                <w:tcPr>
                  <w:tcW w:w="1211" w:type="pct"/>
                  <w:vAlign w:val="center"/>
                </w:tcPr>
                <w:p w14:paraId="42204708">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运行维护费用</w:t>
                  </w:r>
                </w:p>
              </w:tc>
              <w:tc>
                <w:tcPr>
                  <w:tcW w:w="723" w:type="pct"/>
                  <w:vAlign w:val="center"/>
                </w:tcPr>
                <w:p w14:paraId="0A318E19">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5.0</w:t>
                  </w:r>
                </w:p>
              </w:tc>
              <w:tc>
                <w:tcPr>
                  <w:tcW w:w="1219" w:type="pct"/>
                  <w:vAlign w:val="center"/>
                </w:tcPr>
                <w:p w14:paraId="6EA07A7D">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运行维护费用</w:t>
                  </w:r>
                </w:p>
              </w:tc>
              <w:tc>
                <w:tcPr>
                  <w:tcW w:w="647" w:type="pct"/>
                  <w:vAlign w:val="center"/>
                </w:tcPr>
                <w:p w14:paraId="4E8EC90B">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5.0</w:t>
                  </w:r>
                </w:p>
              </w:tc>
              <w:tc>
                <w:tcPr>
                  <w:tcW w:w="494" w:type="pct"/>
                  <w:vAlign w:val="center"/>
                </w:tcPr>
                <w:p w14:paraId="6DC9BAD8">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5D710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2" w:type="pct"/>
                  <w:gridSpan w:val="2"/>
                  <w:vMerge w:val="continue"/>
                  <w:vAlign w:val="center"/>
                </w:tcPr>
                <w:p w14:paraId="1E071B88">
                  <w:pPr>
                    <w:jc w:val="center"/>
                    <w:rPr>
                      <w:rFonts w:ascii="Times New Roman" w:hAnsi="Times New Roman" w:eastAsiaTheme="minorEastAsia"/>
                      <w:bCs/>
                      <w:color w:val="000000" w:themeColor="text1"/>
                      <w:szCs w:val="21"/>
                    </w:rPr>
                  </w:pPr>
                </w:p>
              </w:tc>
              <w:tc>
                <w:tcPr>
                  <w:tcW w:w="1211" w:type="pct"/>
                  <w:vAlign w:val="center"/>
                </w:tcPr>
                <w:p w14:paraId="18CB4CC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环评编制费用</w:t>
                  </w:r>
                </w:p>
              </w:tc>
              <w:tc>
                <w:tcPr>
                  <w:tcW w:w="723" w:type="pct"/>
                  <w:vAlign w:val="center"/>
                </w:tcPr>
                <w:p w14:paraId="5CA88CB8">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2.0</w:t>
                  </w:r>
                </w:p>
              </w:tc>
              <w:tc>
                <w:tcPr>
                  <w:tcW w:w="1219" w:type="pct"/>
                  <w:vAlign w:val="center"/>
                </w:tcPr>
                <w:p w14:paraId="3D5C8A34">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环评编制费用</w:t>
                  </w:r>
                </w:p>
              </w:tc>
              <w:tc>
                <w:tcPr>
                  <w:tcW w:w="647" w:type="pct"/>
                  <w:vAlign w:val="center"/>
                </w:tcPr>
                <w:p w14:paraId="2DE21479">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2.0</w:t>
                  </w:r>
                </w:p>
              </w:tc>
              <w:tc>
                <w:tcPr>
                  <w:tcW w:w="494" w:type="pct"/>
                  <w:vAlign w:val="center"/>
                </w:tcPr>
                <w:p w14:paraId="05AEBC59">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4B98F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2" w:type="pct"/>
                  <w:gridSpan w:val="2"/>
                  <w:vMerge w:val="continue"/>
                  <w:vAlign w:val="center"/>
                </w:tcPr>
                <w:p w14:paraId="5E685C99">
                  <w:pPr>
                    <w:jc w:val="center"/>
                    <w:rPr>
                      <w:rFonts w:ascii="Times New Roman" w:hAnsi="Times New Roman" w:eastAsiaTheme="minorEastAsia"/>
                      <w:bCs/>
                      <w:color w:val="000000" w:themeColor="text1"/>
                      <w:szCs w:val="21"/>
                    </w:rPr>
                  </w:pPr>
                </w:p>
              </w:tc>
              <w:tc>
                <w:tcPr>
                  <w:tcW w:w="1211" w:type="pct"/>
                  <w:vAlign w:val="center"/>
                </w:tcPr>
                <w:p w14:paraId="7C5DEE23">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环境管理与监测费用</w:t>
                  </w:r>
                </w:p>
              </w:tc>
              <w:tc>
                <w:tcPr>
                  <w:tcW w:w="723" w:type="pct"/>
                  <w:vAlign w:val="center"/>
                </w:tcPr>
                <w:p w14:paraId="1BF990D1">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2.0</w:t>
                  </w:r>
                </w:p>
              </w:tc>
              <w:tc>
                <w:tcPr>
                  <w:tcW w:w="1219" w:type="pct"/>
                  <w:vAlign w:val="center"/>
                </w:tcPr>
                <w:p w14:paraId="6DC96A3A">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环境管理与监测费用</w:t>
                  </w:r>
                </w:p>
              </w:tc>
              <w:tc>
                <w:tcPr>
                  <w:tcW w:w="647" w:type="pct"/>
                  <w:vAlign w:val="center"/>
                </w:tcPr>
                <w:p w14:paraId="6743FE18">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2.0</w:t>
                  </w:r>
                </w:p>
              </w:tc>
              <w:tc>
                <w:tcPr>
                  <w:tcW w:w="494" w:type="pct"/>
                  <w:vAlign w:val="center"/>
                </w:tcPr>
                <w:p w14:paraId="6957AC89">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7342C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14" w:type="pct"/>
                  <w:gridSpan w:val="3"/>
                  <w:vAlign w:val="center"/>
                </w:tcPr>
                <w:p w14:paraId="3B13D69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合计</w:t>
                  </w:r>
                </w:p>
              </w:tc>
              <w:tc>
                <w:tcPr>
                  <w:tcW w:w="723" w:type="pct"/>
                  <w:vAlign w:val="center"/>
                </w:tcPr>
                <w:p w14:paraId="551DF49E">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103.45</w:t>
                  </w:r>
                </w:p>
              </w:tc>
              <w:tc>
                <w:tcPr>
                  <w:tcW w:w="1219" w:type="pct"/>
                  <w:vAlign w:val="center"/>
                </w:tcPr>
                <w:p w14:paraId="4865BBEF">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合计</w:t>
                  </w:r>
                </w:p>
              </w:tc>
              <w:tc>
                <w:tcPr>
                  <w:tcW w:w="647" w:type="pct"/>
                  <w:vAlign w:val="center"/>
                </w:tcPr>
                <w:p w14:paraId="4C4ABD78">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196.11</w:t>
                  </w:r>
                </w:p>
              </w:tc>
              <w:tc>
                <w:tcPr>
                  <w:tcW w:w="494" w:type="pct"/>
                  <w:vAlign w:val="center"/>
                </w:tcPr>
                <w:p w14:paraId="19B2BD1A">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+92.66</w:t>
                  </w:r>
                </w:p>
              </w:tc>
            </w:tr>
          </w:tbl>
          <w:p w14:paraId="2B583A45">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4573D7D1">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1EC07338">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6D904856">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5212415E">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0ADA08BB">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31757B2F">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627F639E">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4E424387">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172EFC37">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5EF0FFB8">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455B7555">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371C165E">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328D4670">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4285F85A">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11B595DA">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6830E0EF">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57EA621B">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62C05E0B">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44733D91">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1C0B8058">
            <w:pPr>
              <w:autoSpaceDE w:val="0"/>
              <w:autoSpaceDN w:val="0"/>
              <w:spacing w:line="360" w:lineRule="auto"/>
              <w:ind w:firstLine="480" w:firstLineChars="200"/>
              <w:rPr>
                <w:rFonts w:hint="default" w:ascii="Times New Roman" w:hAnsi="Times New Roman" w:cs="Times New Roman"/>
                <w:color w:val="000000" w:themeColor="text1"/>
                <w:sz w:val="24"/>
                <w:szCs w:val="24"/>
              </w:rPr>
            </w:pPr>
          </w:p>
          <w:p w14:paraId="766F702C">
            <w:pPr>
              <w:autoSpaceDE w:val="0"/>
              <w:autoSpaceDN w:val="0"/>
              <w:spacing w:line="360" w:lineRule="auto"/>
              <w:rPr>
                <w:rFonts w:hint="eastAsia" w:ascii="Times New Roman" w:hAnsi="Times New Roman" w:eastAsia="宋体" w:cs="Times New Roman"/>
                <w:color w:val="000000" w:themeColor="text1"/>
                <w:sz w:val="24"/>
                <w:szCs w:val="24"/>
                <w:lang w:eastAsia="zh-CN"/>
              </w:rPr>
            </w:pPr>
          </w:p>
        </w:tc>
      </w:tr>
    </w:tbl>
    <w:p w14:paraId="77E7AC50">
      <w:pPr>
        <w:rPr>
          <w:color w:val="000000" w:themeColor="text1"/>
        </w:rPr>
        <w:sectPr>
          <w:headerReference r:id="rId7" w:type="default"/>
          <w:footerReference r:id="rId8" w:type="default"/>
          <w:pgSz w:w="11906" w:h="16838"/>
          <w:pgMar w:top="1440" w:right="1558" w:bottom="1440" w:left="1418" w:header="851" w:footer="992" w:gutter="0"/>
          <w:pgBorders>
            <w:top w:val="none" w:sz="0" w:space="0"/>
            <w:left w:val="none" w:sz="0" w:space="0"/>
            <w:bottom w:val="none" w:sz="0" w:space="0"/>
            <w:right w:val="none" w:sz="0" w:space="0"/>
          </w:pgBorders>
          <w:pgNumType w:start="1"/>
          <w:cols w:space="720" w:num="1"/>
          <w:docGrid w:linePitch="312" w:charSpace="0"/>
        </w:sectPr>
      </w:pPr>
    </w:p>
    <w:tbl>
      <w:tblPr>
        <w:tblStyle w:val="40"/>
        <w:tblpPr w:leftFromText="180" w:rightFromText="180" w:vertAnchor="text" w:horzAnchor="page" w:tblpX="1471" w:tblpY="2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4"/>
      </w:tblGrid>
      <w:tr w14:paraId="1B04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2EF6BF0">
            <w:pPr>
              <w:tabs>
                <w:tab w:val="left" w:pos="1965"/>
              </w:tabs>
              <w:spacing w:line="360" w:lineRule="auto"/>
              <w:ind w:firstLine="482" w:firstLineChars="200"/>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4、项目地理位置及平面布置</w:t>
            </w:r>
          </w:p>
          <w:p w14:paraId="18967BC3">
            <w:pPr>
              <w:widowControl w:val="0"/>
              <w:spacing w:line="360" w:lineRule="auto"/>
              <w:ind w:firstLine="480" w:firstLineChars="200"/>
              <w:jc w:val="both"/>
              <w:rPr>
                <w:rFonts w:hint="default" w:ascii="Times New Roman" w:hAnsi="Times New Roman" w:eastAsia="宋体" w:cs="Times New Roman"/>
                <w:color w:val="000000" w:themeColor="text1"/>
                <w:kern w:val="2"/>
                <w:sz w:val="24"/>
                <w:szCs w:val="28"/>
                <w:lang w:val="en-US" w:eastAsia="zh-CN" w:bidi="ar-SA"/>
              </w:rPr>
            </w:pPr>
            <w:r>
              <w:rPr>
                <w:rFonts w:hint="default" w:ascii="Times New Roman" w:hAnsi="Times New Roman" w:eastAsia="宋体" w:cs="Times New Roman"/>
                <w:color w:val="000000" w:themeColor="text1"/>
                <w:kern w:val="2"/>
                <w:sz w:val="24"/>
                <w:szCs w:val="28"/>
                <w:lang w:val="en-US" w:eastAsia="zh-CN" w:bidi="ar-SA"/>
              </w:rPr>
              <w:t>（1）项目地理位置及交通</w:t>
            </w:r>
          </w:p>
          <w:p w14:paraId="04B1D951">
            <w:pPr>
              <w:spacing w:line="360" w:lineRule="auto"/>
              <w:ind w:firstLine="480" w:firstLineChars="200"/>
              <w:rPr>
                <w:rFonts w:hint="default" w:ascii="Times New Roman" w:hAnsi="Times New Roman" w:eastAsia="宋体" w:cs="Times New Roman"/>
                <w:color w:val="000000" w:themeColor="text1"/>
                <w:sz w:val="24"/>
              </w:rPr>
            </w:pPr>
            <w:r>
              <w:rPr>
                <w:rFonts w:hint="default" w:ascii="Times New Roman" w:hAnsi="Times New Roman" w:eastAsia="宋体" w:cs="Times New Roman"/>
                <w:color w:val="000000" w:themeColor="text1"/>
                <w:sz w:val="24"/>
              </w:rPr>
              <w:t>腾冲市位于云南省西南部，高黎贡山西麓，隶属于保山市，地处东经98°05′～98°46′，北纬24°38′～25°52′之间。东部和东北一隅以高黎贡山山脊为界，与保山市隆阳区、怒江州的泸水县相接，东南、南部与龙陵县以界头小江为界，西南、西部与德宏州梁河县、盈江县毗邻，北部和西北部以直站岭、上下姊妹山、狼牙山、尖高山、高黎贡山与邻邦缅甸接壤，国境线长达150km。全市南北长137km，东西宽约69km，总面积5845km</w:t>
            </w:r>
            <w:r>
              <w:rPr>
                <w:rFonts w:hint="default" w:ascii="Times New Roman" w:hAnsi="Times New Roman" w:eastAsia="宋体" w:cs="Times New Roman"/>
                <w:color w:val="000000" w:themeColor="text1"/>
                <w:sz w:val="24"/>
                <w:vertAlign w:val="superscript"/>
              </w:rPr>
              <w:t>2</w:t>
            </w:r>
            <w:r>
              <w:rPr>
                <w:rFonts w:hint="default" w:ascii="Times New Roman" w:hAnsi="Times New Roman" w:eastAsia="宋体" w:cs="Times New Roman"/>
                <w:color w:val="000000" w:themeColor="text1"/>
                <w:sz w:val="24"/>
              </w:rPr>
              <w:t>。</w:t>
            </w:r>
          </w:p>
          <w:p w14:paraId="29B4CEA2">
            <w:pPr>
              <w:spacing w:line="360" w:lineRule="auto"/>
              <w:ind w:firstLine="480" w:firstLineChars="200"/>
              <w:rPr>
                <w:rFonts w:hint="default" w:ascii="Times New Roman" w:hAnsi="Times New Roman" w:eastAsia="宋体" w:cs="Times New Roman"/>
                <w:color w:val="000000" w:themeColor="text1"/>
                <w:sz w:val="24"/>
              </w:rPr>
            </w:pPr>
            <w:r>
              <w:rPr>
                <w:rFonts w:hint="default" w:ascii="Times New Roman" w:hAnsi="Times New Roman" w:eastAsia="宋体" w:cs="Times New Roman"/>
                <w:color w:val="000000" w:themeColor="text1"/>
                <w:sz w:val="24"/>
              </w:rPr>
              <w:t>腾冲是中国对外开放县，云南省级对外开放口岸。自古以来就是连接南亚、东南亚的重要枢纽和商贸口岸，是古代西南“丝绸之路”的枢纽重县。腾冲市有腾梁公路与腾冲县城相连，向西可通往缅北重要城市密支那</w:t>
            </w:r>
            <w:r>
              <w:rPr>
                <w:rFonts w:hint="eastAsia" w:ascii="Times New Roman" w:hAnsi="Times New Roman" w:eastAsia="宋体" w:cs="Times New Roman"/>
                <w:color w:val="000000" w:themeColor="text1"/>
                <w:sz w:val="24"/>
                <w:lang w:eastAsia="zh-CN"/>
              </w:rPr>
              <w:t>，以及</w:t>
            </w:r>
            <w:r>
              <w:rPr>
                <w:rFonts w:hint="default" w:ascii="Times New Roman" w:hAnsi="Times New Roman" w:eastAsia="宋体" w:cs="Times New Roman"/>
                <w:color w:val="000000" w:themeColor="text1"/>
                <w:sz w:val="24"/>
              </w:rPr>
              <w:t>印度东北口岸雷多（即为抗日期间著名的史迪威公路），是云南省通往南亚的重要国际大通道。目前主要交通有保腾二级公路、腾板路、腾密公路，交通十分方便。</w:t>
            </w:r>
          </w:p>
          <w:p w14:paraId="09BD3B6D">
            <w:pPr>
              <w:spacing w:line="360" w:lineRule="auto"/>
              <w:ind w:firstLine="480" w:firstLineChars="200"/>
              <w:rPr>
                <w:rFonts w:ascii="Times New Roman" w:hAnsi="Times New Roman" w:cs="Times New Roman" w:eastAsiaTheme="minorEastAsia"/>
                <w:bCs/>
                <w:color w:val="000000" w:themeColor="text1"/>
                <w:sz w:val="24"/>
              </w:rPr>
            </w:pPr>
            <w:r>
              <w:rPr>
                <w:rFonts w:ascii="Times New Roman" w:cs="Times New Roman" w:hAnsiTheme="minorEastAsia" w:eastAsiaTheme="minorEastAsia"/>
                <w:bCs/>
                <w:color w:val="000000" w:themeColor="text1"/>
                <w:sz w:val="24"/>
              </w:rPr>
              <w:t>腾越</w:t>
            </w:r>
            <w:r>
              <w:rPr>
                <w:rFonts w:hint="eastAsia" w:ascii="Times New Roman" w:cs="Times New Roman" w:hAnsiTheme="minorEastAsia" w:eastAsiaTheme="minorEastAsia"/>
                <w:bCs/>
                <w:color w:val="000000" w:themeColor="text1"/>
                <w:sz w:val="24"/>
                <w:lang w:val="en-US" w:eastAsia="zh-CN"/>
              </w:rPr>
              <w:t>街道</w:t>
            </w:r>
            <w:r>
              <w:rPr>
                <w:rFonts w:ascii="Times New Roman" w:cs="Times New Roman" w:hAnsiTheme="minorEastAsia" w:eastAsiaTheme="minorEastAsia"/>
                <w:bCs/>
                <w:color w:val="000000" w:themeColor="text1"/>
                <w:sz w:val="24"/>
              </w:rPr>
              <w:t>位于腾冲市中南部，为腾冲市政治、经济、文化、旅游和流通中</w:t>
            </w:r>
            <w:r>
              <w:rPr>
                <w:rFonts w:hint="default" w:ascii="Times New Roman" w:hAnsi="Times New Roman" w:cs="Times New Roman" w:eastAsiaTheme="minorEastAsia"/>
                <w:bCs/>
                <w:color w:val="000000" w:themeColor="text1"/>
                <w:sz w:val="24"/>
              </w:rPr>
              <w:t>心。东经98°13′，北纬24°12′，</w:t>
            </w:r>
            <w:r>
              <w:rPr>
                <w:rFonts w:ascii="Times New Roman" w:cs="Times New Roman" w:hAnsiTheme="minorEastAsia" w:eastAsiaTheme="minorEastAsia"/>
                <w:bCs/>
                <w:color w:val="000000" w:themeColor="text1"/>
                <w:sz w:val="24"/>
              </w:rPr>
              <w:t>海拔1640</w:t>
            </w:r>
            <w:r>
              <w:rPr>
                <w:rFonts w:hint="eastAsia" w:ascii="Times New Roman" w:cs="Times New Roman" w:hAnsiTheme="minorEastAsia" w:eastAsiaTheme="minorEastAsia"/>
                <w:bCs/>
                <w:color w:val="000000" w:themeColor="text1"/>
                <w:sz w:val="24"/>
                <w:lang w:val="en-US" w:eastAsia="zh-CN"/>
              </w:rPr>
              <w:t>m</w:t>
            </w:r>
            <w:r>
              <w:rPr>
                <w:rFonts w:ascii="Times New Roman" w:cs="Times New Roman" w:hAnsiTheme="minorEastAsia" w:eastAsiaTheme="minorEastAsia"/>
                <w:bCs/>
                <w:color w:val="000000" w:themeColor="text1"/>
                <w:sz w:val="24"/>
              </w:rPr>
              <w:t>，东与芒棒镇、五合乡相连，西与马站乡、中和镇接壤，南与蒲川乡、清水乡及著名侨乡和顺镇相连，北与北海乡毗邻。</w:t>
            </w:r>
          </w:p>
          <w:p w14:paraId="33C03DB4">
            <w:pPr>
              <w:spacing w:line="360" w:lineRule="auto"/>
              <w:ind w:firstLine="480" w:firstLineChars="200"/>
              <w:rPr>
                <w:rFonts w:hint="default" w:ascii="Times New Roman" w:hAnsi="Times New Roman" w:eastAsia="宋体" w:cs="Times New Roman"/>
                <w:bCs/>
                <w:color w:val="000000" w:themeColor="text1"/>
                <w:sz w:val="24"/>
                <w:szCs w:val="24"/>
              </w:rPr>
            </w:pPr>
            <w:r>
              <w:rPr>
                <w:rFonts w:hint="default" w:ascii="Times New Roman" w:hAnsi="Times New Roman" w:eastAsia="宋体" w:cs="Times New Roman"/>
                <w:bCs/>
                <w:color w:val="000000" w:themeColor="text1"/>
                <w:sz w:val="24"/>
                <w:szCs w:val="28"/>
              </w:rPr>
              <w:t>本项目位于腾冲市宝峰路和桃园路交叉口，中心地理坐标为东经98°28'31.36"，北纬25°03'44.13"，项目区</w:t>
            </w:r>
            <w:r>
              <w:rPr>
                <w:rFonts w:hint="default" w:ascii="Times New Roman" w:hAnsi="Times New Roman" w:eastAsia="宋体" w:cs="Times New Roman"/>
                <w:color w:val="000000" w:themeColor="text1"/>
                <w:sz w:val="24"/>
              </w:rPr>
              <w:t>城市配套基础设施齐全，</w:t>
            </w:r>
            <w:r>
              <w:rPr>
                <w:rFonts w:hint="default" w:ascii="Times New Roman" w:hAnsi="Times New Roman" w:eastAsia="宋体" w:cs="Times New Roman"/>
                <w:bCs/>
                <w:color w:val="000000" w:themeColor="text1"/>
                <w:sz w:val="24"/>
                <w:szCs w:val="28"/>
              </w:rPr>
              <w:t>交通便利，地理位置条件较理想。</w:t>
            </w:r>
            <w:r>
              <w:rPr>
                <w:rFonts w:hint="default" w:ascii="Times New Roman" w:hAnsi="Times New Roman" w:eastAsia="宋体" w:cs="Times New Roman"/>
                <w:color w:val="000000" w:themeColor="text1"/>
                <w:sz w:val="24"/>
              </w:rPr>
              <w:t>建设项目具体地理位置见附图1</w:t>
            </w:r>
            <w:r>
              <w:rPr>
                <w:rFonts w:hint="default" w:ascii="Times New Roman" w:hAnsi="Times New Roman" w:eastAsia="宋体" w:cs="Times New Roman"/>
                <w:color w:val="000000" w:themeColor="text1"/>
                <w:sz w:val="24"/>
                <w:lang w:eastAsia="zh-CN"/>
              </w:rPr>
              <w:t>，</w:t>
            </w:r>
            <w:r>
              <w:rPr>
                <w:rFonts w:hint="default" w:ascii="Times New Roman" w:hAnsi="Times New Roman" w:eastAsia="宋体" w:cs="Times New Roman"/>
                <w:bCs/>
                <w:color w:val="000000" w:themeColor="text1"/>
                <w:sz w:val="24"/>
              </w:rPr>
              <w:t>周边关系示意图见附图2，区域水系情况见附图3。</w:t>
            </w:r>
            <w:r>
              <w:rPr>
                <w:rFonts w:hint="default" w:ascii="Times New Roman" w:hAnsi="Times New Roman" w:eastAsia="宋体" w:cs="Times New Roman"/>
                <w:bCs/>
                <w:color w:val="000000" w:themeColor="text1"/>
                <w:sz w:val="24"/>
                <w:szCs w:val="24"/>
              </w:rPr>
              <w:t>项目周边主要环境保护目标见表2-</w:t>
            </w:r>
            <w:r>
              <w:rPr>
                <w:rFonts w:hint="eastAsia" w:ascii="Times New Roman" w:hAnsi="Times New Roman" w:eastAsia="宋体" w:cs="Times New Roman"/>
                <w:bCs/>
                <w:color w:val="000000" w:themeColor="text1"/>
                <w:sz w:val="24"/>
                <w:szCs w:val="24"/>
                <w:lang w:val="en-US" w:eastAsia="zh-CN"/>
              </w:rPr>
              <w:t>6</w:t>
            </w:r>
            <w:r>
              <w:rPr>
                <w:rFonts w:hint="default" w:ascii="Times New Roman" w:hAnsi="Times New Roman" w:eastAsia="宋体" w:cs="Times New Roman"/>
                <w:bCs/>
                <w:color w:val="000000" w:themeColor="text1"/>
                <w:sz w:val="24"/>
                <w:szCs w:val="24"/>
              </w:rPr>
              <w:t>。</w:t>
            </w:r>
          </w:p>
          <w:p w14:paraId="65085CDB">
            <w:pPr>
              <w:jc w:val="center"/>
              <w:rPr>
                <w:rFonts w:hint="default" w:ascii="Times New Roman" w:hAnsi="Times New Roman" w:eastAsia="宋体" w:cs="Times New Roman"/>
                <w:b/>
                <w:color w:val="000000" w:themeColor="text1"/>
                <w:kern w:val="0"/>
                <w:sz w:val="24"/>
                <w:szCs w:val="24"/>
              </w:rPr>
            </w:pPr>
            <w:r>
              <w:rPr>
                <w:rFonts w:hint="default" w:ascii="Times New Roman" w:hAnsi="Times New Roman" w:eastAsia="宋体" w:cs="Times New Roman"/>
                <w:b/>
                <w:color w:val="000000" w:themeColor="text1"/>
                <w:kern w:val="0"/>
                <w:sz w:val="24"/>
                <w:szCs w:val="24"/>
              </w:rPr>
              <w:t>表2-</w:t>
            </w:r>
            <w:r>
              <w:rPr>
                <w:rFonts w:hint="eastAsia" w:ascii="Times New Roman" w:hAnsi="Times New Roman" w:eastAsia="宋体" w:cs="Times New Roman"/>
                <w:b/>
                <w:color w:val="000000" w:themeColor="text1"/>
                <w:kern w:val="0"/>
                <w:sz w:val="24"/>
                <w:szCs w:val="24"/>
                <w:lang w:val="en-US" w:eastAsia="zh-CN"/>
              </w:rPr>
              <w:t>6</w:t>
            </w:r>
            <w:r>
              <w:rPr>
                <w:rFonts w:hint="default" w:ascii="Times New Roman" w:hAnsi="Times New Roman" w:eastAsia="宋体" w:cs="Times New Roman"/>
                <w:b/>
                <w:color w:val="000000" w:themeColor="text1"/>
                <w:kern w:val="0"/>
                <w:sz w:val="24"/>
                <w:szCs w:val="24"/>
              </w:rPr>
              <w:t xml:space="preserve">  项目环境保护目标一览表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99"/>
              <w:gridCol w:w="1585"/>
              <w:gridCol w:w="706"/>
              <w:gridCol w:w="1094"/>
              <w:gridCol w:w="2029"/>
              <w:gridCol w:w="1878"/>
              <w:gridCol w:w="731"/>
              <w:gridCol w:w="1211"/>
              <w:gridCol w:w="2007"/>
              <w:gridCol w:w="1608"/>
            </w:tblGrid>
            <w:tr w14:paraId="0BFEC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394" w:type="pct"/>
                  <w:vMerge w:val="restart"/>
                  <w:tcBorders>
                    <w:left w:val="single" w:color="auto" w:sz="4" w:space="0"/>
                    <w:right w:val="single" w:color="auto" w:sz="4" w:space="0"/>
                  </w:tcBorders>
                  <w:noWrap w:val="0"/>
                  <w:vAlign w:val="center"/>
                </w:tcPr>
                <w:p w14:paraId="6402200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保护因素</w:t>
                  </w:r>
                </w:p>
              </w:tc>
              <w:tc>
                <w:tcPr>
                  <w:tcW w:w="1940" w:type="pct"/>
                  <w:gridSpan w:val="4"/>
                  <w:tcBorders>
                    <w:top w:val="single" w:color="auto" w:sz="4" w:space="0"/>
                    <w:left w:val="single" w:color="auto" w:sz="4" w:space="0"/>
                    <w:bottom w:val="single" w:color="auto" w:sz="4" w:space="0"/>
                    <w:right w:val="single" w:color="auto" w:sz="4" w:space="0"/>
                  </w:tcBorders>
                  <w:noWrap w:val="0"/>
                  <w:vAlign w:val="center"/>
                </w:tcPr>
                <w:p w14:paraId="5B24AB3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环评阶段</w:t>
                  </w:r>
                </w:p>
              </w:tc>
              <w:tc>
                <w:tcPr>
                  <w:tcW w:w="2088" w:type="pct"/>
                  <w:gridSpan w:val="4"/>
                  <w:tcBorders>
                    <w:left w:val="single" w:color="auto" w:sz="4" w:space="0"/>
                    <w:bottom w:val="single" w:color="auto" w:sz="4" w:space="0"/>
                    <w:right w:val="single" w:color="auto" w:sz="4" w:space="0"/>
                  </w:tcBorders>
                  <w:noWrap w:val="0"/>
                  <w:vAlign w:val="center"/>
                </w:tcPr>
                <w:p w14:paraId="0FA63DD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验收阶段</w:t>
                  </w:r>
                </w:p>
              </w:tc>
              <w:tc>
                <w:tcPr>
                  <w:tcW w:w="576" w:type="pct"/>
                  <w:vMerge w:val="restart"/>
                  <w:tcBorders>
                    <w:left w:val="single" w:color="auto" w:sz="4" w:space="0"/>
                    <w:right w:val="single" w:color="auto" w:sz="4" w:space="0"/>
                  </w:tcBorders>
                  <w:noWrap w:val="0"/>
                  <w:vAlign w:val="center"/>
                </w:tcPr>
                <w:p w14:paraId="7A9ED2E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变化情况</w:t>
                  </w:r>
                </w:p>
              </w:tc>
            </w:tr>
            <w:tr w14:paraId="7AD5A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394" w:type="pct"/>
                  <w:vMerge w:val="continue"/>
                  <w:tcBorders>
                    <w:left w:val="single" w:color="auto" w:sz="4" w:space="0"/>
                    <w:bottom w:val="single" w:color="auto" w:sz="4" w:space="0"/>
                    <w:right w:val="single" w:color="auto" w:sz="4" w:space="0"/>
                  </w:tcBorders>
                  <w:noWrap w:val="0"/>
                  <w:vAlign w:val="center"/>
                </w:tcPr>
                <w:p w14:paraId="15BF47D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249B803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保护目标名称</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3A84CAA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b/>
                      <w:bCs/>
                      <w:color w:val="000000" w:themeColor="text1"/>
                      <w:kern w:val="0"/>
                      <w:sz w:val="21"/>
                      <w:szCs w:val="21"/>
                    </w:rPr>
                  </w:pPr>
                  <w:r>
                    <w:rPr>
                      <w:rFonts w:ascii="Times New Roman" w:hAnsi="宋体" w:cs="Times New Roman"/>
                      <w:b/>
                      <w:bCs/>
                      <w:color w:val="000000" w:themeColor="text1"/>
                      <w:kern w:val="0"/>
                      <w:sz w:val="21"/>
                      <w:szCs w:val="21"/>
                    </w:rPr>
                    <w:t>方位</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67A1E10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b/>
                      <w:bCs/>
                      <w:color w:val="000000" w:themeColor="text1"/>
                      <w:kern w:val="0"/>
                      <w:sz w:val="21"/>
                      <w:szCs w:val="21"/>
                    </w:rPr>
                  </w:pPr>
                  <w:r>
                    <w:rPr>
                      <w:rFonts w:hint="eastAsia" w:ascii="Times New Roman" w:hAnsi="宋体" w:cs="Times New Roman"/>
                      <w:b/>
                      <w:bCs/>
                      <w:color w:val="000000" w:themeColor="text1"/>
                      <w:kern w:val="0"/>
                      <w:sz w:val="21"/>
                      <w:szCs w:val="21"/>
                    </w:rPr>
                    <w:t>相对</w:t>
                  </w:r>
                  <w:r>
                    <w:rPr>
                      <w:rFonts w:ascii="Times New Roman" w:hAnsi="宋体" w:cs="Times New Roman"/>
                      <w:b/>
                      <w:bCs/>
                      <w:color w:val="000000" w:themeColor="text1"/>
                      <w:kern w:val="0"/>
                      <w:sz w:val="21"/>
                      <w:szCs w:val="21"/>
                    </w:rPr>
                    <w:t>距离</w:t>
                  </w:r>
                </w:p>
              </w:tc>
              <w:tc>
                <w:tcPr>
                  <w:tcW w:w="727" w:type="pct"/>
                  <w:tcBorders>
                    <w:top w:val="single" w:color="auto" w:sz="4" w:space="0"/>
                    <w:left w:val="single" w:color="auto" w:sz="4" w:space="0"/>
                    <w:bottom w:val="single" w:color="auto" w:sz="4" w:space="0"/>
                    <w:right w:val="single" w:color="auto" w:sz="4" w:space="0"/>
                  </w:tcBorders>
                  <w:noWrap w:val="0"/>
                  <w:vAlign w:val="center"/>
                </w:tcPr>
                <w:p w14:paraId="048585CC">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b/>
                      <w:bCs/>
                      <w:color w:val="000000" w:themeColor="text1"/>
                      <w:kern w:val="0"/>
                      <w:sz w:val="21"/>
                      <w:szCs w:val="21"/>
                    </w:rPr>
                  </w:pPr>
                  <w:r>
                    <w:rPr>
                      <w:rFonts w:ascii="Times New Roman" w:hAnsi="宋体" w:cs="Times New Roman"/>
                      <w:b/>
                      <w:bCs/>
                      <w:color w:val="000000" w:themeColor="text1"/>
                      <w:kern w:val="0"/>
                      <w:sz w:val="21"/>
                      <w:szCs w:val="21"/>
                    </w:rPr>
                    <w:t>保护要求</w:t>
                  </w:r>
                </w:p>
              </w:tc>
              <w:tc>
                <w:tcPr>
                  <w:tcW w:w="673" w:type="pct"/>
                  <w:tcBorders>
                    <w:left w:val="single" w:color="auto" w:sz="4" w:space="0"/>
                    <w:bottom w:val="single" w:color="auto" w:sz="4" w:space="0"/>
                    <w:right w:val="single" w:color="auto" w:sz="4" w:space="0"/>
                  </w:tcBorders>
                  <w:noWrap w:val="0"/>
                  <w:vAlign w:val="center"/>
                </w:tcPr>
                <w:p w14:paraId="3460560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保护目标名称</w:t>
                  </w:r>
                </w:p>
              </w:tc>
              <w:tc>
                <w:tcPr>
                  <w:tcW w:w="262" w:type="pct"/>
                  <w:tcBorders>
                    <w:left w:val="single" w:color="auto" w:sz="4" w:space="0"/>
                    <w:bottom w:val="single" w:color="auto" w:sz="4" w:space="0"/>
                    <w:right w:val="single" w:color="auto" w:sz="4" w:space="0"/>
                  </w:tcBorders>
                  <w:noWrap w:val="0"/>
                  <w:vAlign w:val="center"/>
                </w:tcPr>
                <w:p w14:paraId="36AEC2C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方位</w:t>
                  </w:r>
                </w:p>
              </w:tc>
              <w:tc>
                <w:tcPr>
                  <w:tcW w:w="434" w:type="pct"/>
                  <w:tcBorders>
                    <w:left w:val="single" w:color="auto" w:sz="4" w:space="0"/>
                    <w:bottom w:val="single" w:color="auto" w:sz="4" w:space="0"/>
                    <w:right w:val="single" w:color="auto" w:sz="4" w:space="0"/>
                  </w:tcBorders>
                  <w:noWrap w:val="0"/>
                  <w:vAlign w:val="center"/>
                </w:tcPr>
                <w:p w14:paraId="25185797">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相对</w:t>
                  </w:r>
                  <w:r>
                    <w:rPr>
                      <w:rFonts w:ascii="Times New Roman" w:hAnsi="宋体" w:cs="Times New Roman"/>
                      <w:b/>
                      <w:bCs/>
                      <w:color w:val="000000" w:themeColor="text1"/>
                      <w:kern w:val="0"/>
                      <w:sz w:val="21"/>
                      <w:szCs w:val="21"/>
                    </w:rPr>
                    <w:t>距离</w:t>
                  </w:r>
                </w:p>
              </w:tc>
              <w:tc>
                <w:tcPr>
                  <w:tcW w:w="719" w:type="pct"/>
                  <w:tcBorders>
                    <w:left w:val="single" w:color="auto" w:sz="4" w:space="0"/>
                    <w:bottom w:val="single" w:color="auto" w:sz="4" w:space="0"/>
                    <w:right w:val="single" w:color="auto" w:sz="4" w:space="0"/>
                  </w:tcBorders>
                  <w:noWrap w:val="0"/>
                  <w:vAlign w:val="center"/>
                </w:tcPr>
                <w:p w14:paraId="0BBFC70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保护要求</w:t>
                  </w:r>
                </w:p>
              </w:tc>
              <w:tc>
                <w:tcPr>
                  <w:tcW w:w="576" w:type="pct"/>
                  <w:vMerge w:val="continue"/>
                  <w:tcBorders>
                    <w:left w:val="single" w:color="auto" w:sz="4" w:space="0"/>
                    <w:bottom w:val="single" w:color="auto" w:sz="4" w:space="0"/>
                    <w:right w:val="single" w:color="auto" w:sz="4" w:space="0"/>
                  </w:tcBorders>
                  <w:noWrap w:val="0"/>
                  <w:vAlign w:val="center"/>
                </w:tcPr>
                <w:p w14:paraId="47B10F4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r>
            <w:tr w14:paraId="335E6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0" w:hRule="atLeast"/>
                <w:jc w:val="center"/>
              </w:trPr>
              <w:tc>
                <w:tcPr>
                  <w:tcW w:w="394" w:type="pct"/>
                  <w:tcBorders>
                    <w:top w:val="single" w:color="auto" w:sz="4" w:space="0"/>
                    <w:left w:val="single" w:color="auto" w:sz="4" w:space="0"/>
                    <w:right w:val="single" w:color="auto" w:sz="4" w:space="0"/>
                  </w:tcBorders>
                  <w:noWrap w:val="0"/>
                  <w:vAlign w:val="center"/>
                </w:tcPr>
                <w:p w14:paraId="03B1C97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地表水</w:t>
                  </w:r>
                </w:p>
              </w:tc>
              <w:tc>
                <w:tcPr>
                  <w:tcW w:w="568" w:type="pct"/>
                  <w:tcBorders>
                    <w:top w:val="single" w:color="auto" w:sz="4" w:space="0"/>
                    <w:left w:val="single" w:color="auto" w:sz="4" w:space="0"/>
                    <w:bottom w:val="single" w:color="auto" w:sz="4" w:space="0"/>
                    <w:right w:val="single" w:color="auto" w:sz="4" w:space="0"/>
                  </w:tcBorders>
                  <w:noWrap w:val="0"/>
                  <w:vAlign w:val="center"/>
                </w:tcPr>
                <w:p w14:paraId="1D906BE1">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南底</w:t>
                  </w:r>
                  <w:r>
                    <w:rPr>
                      <w:rFonts w:hint="eastAsia" w:ascii="Times New Roman" w:hAnsi="宋体" w:cs="Times New Roman"/>
                      <w:color w:val="000000" w:themeColor="text1"/>
                      <w:kern w:val="0"/>
                      <w:sz w:val="21"/>
                      <w:szCs w:val="21"/>
                    </w:rPr>
                    <w:t>河</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38EDBCCC">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南</w:t>
                  </w:r>
                  <w:r>
                    <w:rPr>
                      <w:rFonts w:hint="eastAsia" w:ascii="Times New Roman" w:hAnsi="Times New Roman" w:cs="Times New Roman"/>
                      <w:color w:val="000000" w:themeColor="text1"/>
                      <w:sz w:val="21"/>
                      <w:szCs w:val="21"/>
                    </w:rPr>
                    <w:t>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63686AD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rPr>
                  </w:pPr>
                  <w:r>
                    <w:rPr>
                      <w:rFonts w:hint="eastAsia" w:ascii="Times New Roman" w:hAnsi="Times New Roman" w:cs="Times New Roman"/>
                      <w:color w:val="000000" w:themeColor="text1"/>
                      <w:kern w:val="0"/>
                      <w:sz w:val="21"/>
                      <w:szCs w:val="21"/>
                      <w:lang w:val="en-US" w:eastAsia="zh-CN"/>
                    </w:rPr>
                    <w:t>3200m</w:t>
                  </w:r>
                </w:p>
              </w:tc>
              <w:tc>
                <w:tcPr>
                  <w:tcW w:w="727" w:type="pct"/>
                  <w:tcBorders>
                    <w:top w:val="single" w:color="auto" w:sz="4" w:space="0"/>
                    <w:left w:val="single" w:color="auto" w:sz="4" w:space="0"/>
                    <w:bottom w:val="single" w:color="auto" w:sz="4" w:space="0"/>
                    <w:right w:val="single" w:color="auto" w:sz="4" w:space="0"/>
                  </w:tcBorders>
                  <w:noWrap w:val="0"/>
                  <w:vAlign w:val="center"/>
                </w:tcPr>
                <w:p w14:paraId="6F9B9D7F">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kern w:val="0"/>
                      <w:sz w:val="21"/>
                      <w:szCs w:val="21"/>
                    </w:rPr>
                  </w:pPr>
                  <w:r>
                    <w:rPr>
                      <w:rFonts w:hint="eastAsia" w:ascii="Times New Roman" w:hAnsi="宋体" w:cs="Times New Roman"/>
                      <w:color w:val="000000" w:themeColor="text1"/>
                      <w:kern w:val="0"/>
                      <w:sz w:val="21"/>
                      <w:szCs w:val="21"/>
                    </w:rPr>
                    <w:t>《地表水环境质量标准》（</w:t>
                  </w:r>
                  <w:r>
                    <w:rPr>
                      <w:rFonts w:ascii="Times New Roman" w:hAnsi="宋体" w:cs="Times New Roman"/>
                      <w:color w:val="000000" w:themeColor="text1"/>
                      <w:kern w:val="0"/>
                      <w:sz w:val="21"/>
                      <w:szCs w:val="21"/>
                    </w:rPr>
                    <w:t>GB3838-2002</w:t>
                  </w:r>
                  <w:r>
                    <w:rPr>
                      <w:rFonts w:hint="eastAsia" w:ascii="Times New Roman" w:hAnsi="宋体" w:cs="Times New Roman"/>
                      <w:color w:val="000000" w:themeColor="text1"/>
                      <w:kern w:val="0"/>
                      <w:sz w:val="21"/>
                      <w:szCs w:val="21"/>
                    </w:rPr>
                    <w:t>）</w:t>
                  </w:r>
                  <w:r>
                    <w:rPr>
                      <w:rFonts w:hint="eastAsia" w:ascii="Times New Roman" w:hAnsi="宋体" w:cs="Times New Roman"/>
                      <w:color w:val="000000" w:themeColor="text1"/>
                      <w:kern w:val="0"/>
                      <w:sz w:val="21"/>
                      <w:szCs w:val="21"/>
                      <w:lang w:eastAsia="zh-CN"/>
                    </w:rPr>
                    <w:t>Ⅲ</w:t>
                  </w:r>
                  <w:r>
                    <w:rPr>
                      <w:rFonts w:hint="eastAsia" w:ascii="Times New Roman" w:hAnsi="宋体" w:cs="Times New Roman"/>
                      <w:color w:val="000000" w:themeColor="text1"/>
                      <w:kern w:val="0"/>
                      <w:sz w:val="21"/>
                      <w:szCs w:val="21"/>
                    </w:rPr>
                    <w:t>类标准</w:t>
                  </w:r>
                </w:p>
              </w:tc>
              <w:tc>
                <w:tcPr>
                  <w:tcW w:w="673" w:type="pct"/>
                  <w:tcBorders>
                    <w:top w:val="single" w:color="auto" w:sz="4" w:space="0"/>
                    <w:left w:val="single" w:color="auto" w:sz="4" w:space="0"/>
                    <w:right w:val="single" w:color="auto" w:sz="4" w:space="0"/>
                  </w:tcBorders>
                  <w:noWrap w:val="0"/>
                  <w:vAlign w:val="center"/>
                </w:tcPr>
                <w:p w14:paraId="68A6AE0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南底</w:t>
                  </w:r>
                  <w:r>
                    <w:rPr>
                      <w:rFonts w:hint="eastAsia" w:ascii="Times New Roman" w:hAnsi="宋体" w:cs="Times New Roman"/>
                      <w:color w:val="000000" w:themeColor="text1"/>
                      <w:kern w:val="0"/>
                      <w:sz w:val="21"/>
                      <w:szCs w:val="21"/>
                    </w:rPr>
                    <w:t>河</w:t>
                  </w:r>
                </w:p>
              </w:tc>
              <w:tc>
                <w:tcPr>
                  <w:tcW w:w="262" w:type="pct"/>
                  <w:tcBorders>
                    <w:top w:val="single" w:color="auto" w:sz="4" w:space="0"/>
                    <w:left w:val="single" w:color="auto" w:sz="4" w:space="0"/>
                    <w:right w:val="single" w:color="auto" w:sz="4" w:space="0"/>
                  </w:tcBorders>
                  <w:noWrap w:val="0"/>
                  <w:vAlign w:val="center"/>
                </w:tcPr>
                <w:p w14:paraId="1234B3CF">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南</w:t>
                  </w:r>
                  <w:r>
                    <w:rPr>
                      <w:rFonts w:ascii="Times New Roman" w:hAnsi="宋体" w:cs="Times New Roman"/>
                      <w:color w:val="000000" w:themeColor="text1"/>
                      <w:kern w:val="0"/>
                      <w:sz w:val="21"/>
                      <w:szCs w:val="21"/>
                    </w:rPr>
                    <w:t>侧</w:t>
                  </w:r>
                </w:p>
              </w:tc>
              <w:tc>
                <w:tcPr>
                  <w:tcW w:w="434" w:type="pct"/>
                  <w:tcBorders>
                    <w:top w:val="single" w:color="auto" w:sz="4" w:space="0"/>
                    <w:left w:val="single" w:color="auto" w:sz="4" w:space="0"/>
                    <w:right w:val="single" w:color="auto" w:sz="4" w:space="0"/>
                  </w:tcBorders>
                  <w:noWrap w:val="0"/>
                  <w:vAlign w:val="center"/>
                </w:tcPr>
                <w:p w14:paraId="40E770A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color w:val="000000" w:themeColor="text1"/>
                      <w:kern w:val="0"/>
                      <w:sz w:val="21"/>
                      <w:szCs w:val="21"/>
                      <w:lang w:val="en-US" w:eastAsia="zh-CN"/>
                    </w:rPr>
                    <w:t>3200</w:t>
                  </w:r>
                  <w:r>
                    <w:rPr>
                      <w:rFonts w:hint="eastAsia" w:ascii="Times New Roman" w:hAnsi="宋体" w:cs="Times New Roman"/>
                      <w:color w:val="000000" w:themeColor="text1"/>
                      <w:kern w:val="0"/>
                      <w:sz w:val="21"/>
                      <w:szCs w:val="21"/>
                    </w:rPr>
                    <w:t>m</w:t>
                  </w:r>
                </w:p>
              </w:tc>
              <w:tc>
                <w:tcPr>
                  <w:tcW w:w="719" w:type="pct"/>
                  <w:tcBorders>
                    <w:top w:val="single" w:color="auto" w:sz="4" w:space="0"/>
                    <w:left w:val="single" w:color="auto" w:sz="4" w:space="0"/>
                    <w:right w:val="single" w:color="auto" w:sz="4" w:space="0"/>
                  </w:tcBorders>
                  <w:noWrap w:val="0"/>
                  <w:vAlign w:val="center"/>
                </w:tcPr>
                <w:p w14:paraId="41E9000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《地表水环境质量标准》（</w:t>
                  </w:r>
                  <w:r>
                    <w:rPr>
                      <w:rFonts w:ascii="Times New Roman" w:hAnsi="宋体" w:cs="Times New Roman"/>
                      <w:color w:val="000000" w:themeColor="text1"/>
                      <w:kern w:val="0"/>
                      <w:sz w:val="21"/>
                      <w:szCs w:val="21"/>
                    </w:rPr>
                    <w:t>GB3838-2002</w:t>
                  </w:r>
                  <w:r>
                    <w:rPr>
                      <w:rFonts w:hint="eastAsia" w:ascii="Times New Roman" w:hAnsi="宋体" w:cs="Times New Roman"/>
                      <w:color w:val="000000" w:themeColor="text1"/>
                      <w:kern w:val="0"/>
                      <w:sz w:val="21"/>
                      <w:szCs w:val="21"/>
                    </w:rPr>
                    <w:t>）</w:t>
                  </w:r>
                  <w:r>
                    <w:rPr>
                      <w:rFonts w:hint="eastAsia" w:ascii="Times New Roman" w:hAnsi="宋体" w:cs="Times New Roman"/>
                      <w:color w:val="000000" w:themeColor="text1"/>
                      <w:kern w:val="0"/>
                      <w:sz w:val="21"/>
                      <w:szCs w:val="21"/>
                      <w:lang w:eastAsia="zh-CN"/>
                    </w:rPr>
                    <w:t>Ⅲ</w:t>
                  </w:r>
                  <w:r>
                    <w:rPr>
                      <w:rFonts w:hint="eastAsia" w:ascii="Times New Roman" w:hAnsi="宋体" w:cs="Times New Roman"/>
                      <w:color w:val="000000" w:themeColor="text1"/>
                      <w:kern w:val="0"/>
                      <w:sz w:val="21"/>
                      <w:szCs w:val="21"/>
                    </w:rPr>
                    <w:t>类标准</w:t>
                  </w:r>
                </w:p>
              </w:tc>
              <w:tc>
                <w:tcPr>
                  <w:tcW w:w="576" w:type="pct"/>
                  <w:tcBorders>
                    <w:top w:val="single" w:color="auto" w:sz="4" w:space="0"/>
                    <w:left w:val="single" w:color="auto" w:sz="4" w:space="0"/>
                    <w:right w:val="single" w:color="auto" w:sz="4" w:space="0"/>
                  </w:tcBorders>
                  <w:noWrap w:val="0"/>
                  <w:vAlign w:val="center"/>
                </w:tcPr>
                <w:p w14:paraId="7ACAD43D">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与环评一致</w:t>
                  </w:r>
                </w:p>
              </w:tc>
            </w:tr>
            <w:tr w14:paraId="09D8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jc w:val="center"/>
              </w:trPr>
              <w:tc>
                <w:tcPr>
                  <w:tcW w:w="394" w:type="pct"/>
                  <w:vMerge w:val="restart"/>
                  <w:tcBorders>
                    <w:top w:val="single" w:color="auto" w:sz="4" w:space="0"/>
                    <w:left w:val="single" w:color="auto" w:sz="4" w:space="0"/>
                    <w:right w:val="single" w:color="auto" w:sz="4" w:space="0"/>
                  </w:tcBorders>
                  <w:noWrap w:val="0"/>
                  <w:vAlign w:val="center"/>
                </w:tcPr>
                <w:p w14:paraId="2163C119">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宋体" w:eastAsia="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rPr>
                    <w:t>大气</w:t>
                  </w:r>
                  <w:r>
                    <w:rPr>
                      <w:rFonts w:hint="eastAsia" w:ascii="Times New Roman" w:hAnsi="宋体" w:cs="Times New Roman"/>
                      <w:color w:val="000000" w:themeColor="text1"/>
                      <w:kern w:val="0"/>
                      <w:sz w:val="21"/>
                      <w:szCs w:val="21"/>
                      <w:lang w:val="en-US" w:eastAsia="zh-CN"/>
                    </w:rPr>
                    <w:t>及噪声环境</w:t>
                  </w:r>
                </w:p>
              </w:tc>
              <w:tc>
                <w:tcPr>
                  <w:tcW w:w="568" w:type="pct"/>
                  <w:tcBorders>
                    <w:top w:val="single" w:color="auto" w:sz="4" w:space="0"/>
                    <w:left w:val="single" w:color="auto" w:sz="4" w:space="0"/>
                    <w:bottom w:val="single" w:color="auto" w:sz="4" w:space="0"/>
                    <w:right w:val="single" w:color="auto" w:sz="4" w:space="0"/>
                  </w:tcBorders>
                  <w:noWrap w:val="0"/>
                  <w:vAlign w:val="center"/>
                </w:tcPr>
                <w:p w14:paraId="693B5A1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核桃园村</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57882D8C">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西北</w:t>
                  </w:r>
                  <w:r>
                    <w:rPr>
                      <w:rFonts w:hint="eastAsia" w:ascii="Times New Roman" w:hAnsi="Times New Roman" w:cs="Times New Roman"/>
                      <w:color w:val="000000" w:themeColor="text1"/>
                      <w:sz w:val="21"/>
                      <w:szCs w:val="21"/>
                    </w:rPr>
                    <w:t>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306FAB0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eastAsia="宋体" w:cs="Times New Roman"/>
                      <w:color w:val="000000" w:themeColor="text1"/>
                      <w:kern w:val="0"/>
                      <w:sz w:val="21"/>
                      <w:szCs w:val="21"/>
                      <w:lang w:val="en-US" w:eastAsia="zh-CN"/>
                    </w:rPr>
                    <w:t>128m</w:t>
                  </w:r>
                </w:p>
              </w:tc>
              <w:tc>
                <w:tcPr>
                  <w:tcW w:w="727" w:type="pct"/>
                  <w:vMerge w:val="restart"/>
                  <w:tcBorders>
                    <w:top w:val="single" w:color="auto" w:sz="4" w:space="0"/>
                    <w:left w:val="single" w:color="auto" w:sz="4" w:space="0"/>
                    <w:right w:val="single" w:color="auto" w:sz="4" w:space="0"/>
                  </w:tcBorders>
                  <w:noWrap w:val="0"/>
                  <w:vAlign w:val="center"/>
                </w:tcPr>
                <w:p w14:paraId="1DE4CDB9">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Times New Roman" w:eastAsia="宋体" w:cs="Times New Roman"/>
                      <w:color w:val="000000" w:themeColor="text1"/>
                      <w:sz w:val="21"/>
                      <w:szCs w:val="21"/>
                      <w:lang w:eastAsia="zh-CN"/>
                    </w:rPr>
                  </w:pPr>
                  <w:r>
                    <w:rPr>
                      <w:rFonts w:hint="eastAsia" w:ascii="Times New Roman" w:hAnsi="宋体" w:cs="Times New Roman"/>
                      <w:color w:val="000000" w:themeColor="text1"/>
                      <w:kern w:val="0"/>
                      <w:sz w:val="21"/>
                      <w:szCs w:val="21"/>
                    </w:rPr>
                    <w:t>《环境空气质量标准》（</w:t>
                  </w:r>
                  <w:r>
                    <w:rPr>
                      <w:rFonts w:ascii="Times New Roman" w:hAnsi="宋体" w:cs="Times New Roman"/>
                      <w:color w:val="000000" w:themeColor="text1"/>
                      <w:kern w:val="0"/>
                      <w:sz w:val="21"/>
                      <w:szCs w:val="21"/>
                    </w:rPr>
                    <w:t>GB3095-2012</w:t>
                  </w:r>
                  <w:r>
                    <w:rPr>
                      <w:rFonts w:hint="eastAsia" w:ascii="Times New Roman" w:hAnsi="宋体" w:cs="Times New Roman"/>
                      <w:color w:val="000000" w:themeColor="text1"/>
                      <w:kern w:val="0"/>
                      <w:sz w:val="21"/>
                      <w:szCs w:val="21"/>
                    </w:rPr>
                    <w:t>）二级标准</w:t>
                  </w:r>
                  <w:r>
                    <w:rPr>
                      <w:rFonts w:hint="eastAsia" w:ascii="Times New Roman" w:hAnsi="宋体" w:cs="Times New Roman"/>
                      <w:color w:val="000000" w:themeColor="text1"/>
                      <w:kern w:val="0"/>
                      <w:sz w:val="21"/>
                      <w:szCs w:val="21"/>
                      <w:lang w:eastAsia="zh-CN"/>
                    </w:rPr>
                    <w:t>；</w:t>
                  </w:r>
                  <w:r>
                    <w:rPr>
                      <w:rFonts w:ascii="Times New Roman" w:hAnsiTheme="minorEastAsia" w:eastAsiaTheme="minorEastAsia"/>
                      <w:color w:val="000000" w:themeColor="text1"/>
                      <w:szCs w:val="21"/>
                    </w:rPr>
                    <w:t>《声环境质量标准》（</w:t>
                  </w:r>
                  <w:r>
                    <w:rPr>
                      <w:rFonts w:ascii="Times New Roman" w:hAnsi="Times New Roman" w:eastAsiaTheme="minorEastAsia"/>
                      <w:color w:val="000000" w:themeColor="text1"/>
                      <w:szCs w:val="21"/>
                    </w:rPr>
                    <w:t>GB3096-2008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673" w:type="pct"/>
                  <w:tcBorders>
                    <w:top w:val="single" w:color="auto" w:sz="4" w:space="0"/>
                    <w:left w:val="single" w:color="auto" w:sz="4" w:space="0"/>
                    <w:right w:val="single" w:color="auto" w:sz="4" w:space="0"/>
                  </w:tcBorders>
                  <w:noWrap w:val="0"/>
                  <w:vAlign w:val="center"/>
                </w:tcPr>
                <w:p w14:paraId="3E77D69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核桃园村</w:t>
                  </w:r>
                </w:p>
              </w:tc>
              <w:tc>
                <w:tcPr>
                  <w:tcW w:w="262" w:type="pct"/>
                  <w:tcBorders>
                    <w:top w:val="single" w:color="auto" w:sz="4" w:space="0"/>
                    <w:left w:val="single" w:color="auto" w:sz="4" w:space="0"/>
                    <w:right w:val="single" w:color="auto" w:sz="4" w:space="0"/>
                  </w:tcBorders>
                  <w:noWrap w:val="0"/>
                  <w:vAlign w:val="center"/>
                </w:tcPr>
                <w:p w14:paraId="78C633B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Times New Roman" w:cs="Times New Roman"/>
                      <w:color w:val="000000" w:themeColor="text1"/>
                      <w:sz w:val="21"/>
                      <w:szCs w:val="21"/>
                      <w:lang w:val="en-US" w:eastAsia="zh-CN"/>
                    </w:rPr>
                    <w:t>西北</w:t>
                  </w:r>
                  <w:r>
                    <w:rPr>
                      <w:rFonts w:hint="eastAsia" w:ascii="Times New Roman" w:hAnsi="Times New Roman" w:cs="Times New Roman"/>
                      <w:color w:val="000000" w:themeColor="text1"/>
                      <w:sz w:val="21"/>
                      <w:szCs w:val="21"/>
                    </w:rPr>
                    <w:t>侧</w:t>
                  </w:r>
                </w:p>
              </w:tc>
              <w:tc>
                <w:tcPr>
                  <w:tcW w:w="434" w:type="pct"/>
                  <w:tcBorders>
                    <w:top w:val="single" w:color="auto" w:sz="4" w:space="0"/>
                    <w:left w:val="single" w:color="auto" w:sz="4" w:space="0"/>
                    <w:right w:val="single" w:color="auto" w:sz="4" w:space="0"/>
                  </w:tcBorders>
                  <w:noWrap w:val="0"/>
                  <w:vAlign w:val="center"/>
                </w:tcPr>
                <w:p w14:paraId="1F855F7E">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lang w:val="en-US" w:eastAsia="zh-CN"/>
                    </w:rPr>
                    <w:t>128m</w:t>
                  </w:r>
                </w:p>
              </w:tc>
              <w:tc>
                <w:tcPr>
                  <w:tcW w:w="719" w:type="pct"/>
                  <w:vMerge w:val="restart"/>
                  <w:tcBorders>
                    <w:top w:val="single" w:color="auto" w:sz="4" w:space="0"/>
                    <w:left w:val="single" w:color="auto" w:sz="4" w:space="0"/>
                    <w:right w:val="single" w:color="auto" w:sz="4" w:space="0"/>
                  </w:tcBorders>
                  <w:noWrap w:val="0"/>
                  <w:vAlign w:val="center"/>
                </w:tcPr>
                <w:p w14:paraId="42588FD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《环境空气质量标准》（</w:t>
                  </w:r>
                  <w:r>
                    <w:rPr>
                      <w:rFonts w:ascii="Times New Roman" w:hAnsi="宋体" w:cs="Times New Roman"/>
                      <w:color w:val="000000" w:themeColor="text1"/>
                      <w:kern w:val="0"/>
                      <w:sz w:val="21"/>
                      <w:szCs w:val="21"/>
                    </w:rPr>
                    <w:t>GB3095-2012</w:t>
                  </w:r>
                  <w:r>
                    <w:rPr>
                      <w:rFonts w:hint="eastAsia" w:ascii="Times New Roman" w:hAnsi="宋体" w:cs="Times New Roman"/>
                      <w:color w:val="000000" w:themeColor="text1"/>
                      <w:kern w:val="0"/>
                      <w:sz w:val="21"/>
                      <w:szCs w:val="21"/>
                    </w:rPr>
                    <w:t>）二级标准</w:t>
                  </w:r>
                  <w:r>
                    <w:rPr>
                      <w:rFonts w:hint="eastAsia" w:ascii="Times New Roman" w:hAnsi="宋体" w:cs="Times New Roman"/>
                      <w:color w:val="000000" w:themeColor="text1"/>
                      <w:kern w:val="0"/>
                      <w:sz w:val="21"/>
                      <w:szCs w:val="21"/>
                      <w:lang w:eastAsia="zh-CN"/>
                    </w:rPr>
                    <w:t>；</w:t>
                  </w:r>
                  <w:r>
                    <w:rPr>
                      <w:rFonts w:ascii="Times New Roman" w:hAnsiTheme="minorEastAsia" w:eastAsiaTheme="minorEastAsia"/>
                      <w:color w:val="000000" w:themeColor="text1"/>
                      <w:szCs w:val="21"/>
                    </w:rPr>
                    <w:t>《声环境质量标准》（</w:t>
                  </w:r>
                  <w:r>
                    <w:rPr>
                      <w:rFonts w:ascii="Times New Roman" w:hAnsi="Times New Roman" w:eastAsiaTheme="minorEastAsia"/>
                      <w:color w:val="000000" w:themeColor="text1"/>
                      <w:szCs w:val="21"/>
                    </w:rPr>
                    <w:t>GB3096-2008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576" w:type="pct"/>
                  <w:vMerge w:val="restart"/>
                  <w:tcBorders>
                    <w:top w:val="single" w:color="auto" w:sz="4" w:space="0"/>
                    <w:left w:val="single" w:color="auto" w:sz="4" w:space="0"/>
                    <w:right w:val="single" w:color="auto" w:sz="4" w:space="0"/>
                  </w:tcBorders>
                  <w:noWrap w:val="0"/>
                  <w:vAlign w:val="center"/>
                </w:tcPr>
                <w:p w14:paraId="2A38E75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宋体" w:eastAsia="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与环评相比，新增环境保护目标宝峰文苑、壹品腾冲、腾冲市“顺颐府”住宅建设项目（二期）、腾冲市“顺颐府”住宅建设项目（三期），为2019年至2025年新建住宅</w:t>
                  </w:r>
                </w:p>
              </w:tc>
            </w:tr>
            <w:tr w14:paraId="002F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8" w:hRule="atLeast"/>
                <w:jc w:val="center"/>
              </w:trPr>
              <w:tc>
                <w:tcPr>
                  <w:tcW w:w="394" w:type="pct"/>
                  <w:vMerge w:val="continue"/>
                  <w:tcBorders>
                    <w:left w:val="single" w:color="auto" w:sz="4" w:space="0"/>
                    <w:right w:val="single" w:color="auto" w:sz="4" w:space="0"/>
                  </w:tcBorders>
                  <w:noWrap w:val="0"/>
                  <w:vAlign w:val="center"/>
                </w:tcPr>
                <w:p w14:paraId="6A402F69">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4A66008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宋体" w:cs="Times New Roman"/>
                      <w:color w:val="000000" w:themeColor="text1"/>
                      <w:kern w:val="0"/>
                      <w:sz w:val="21"/>
                      <w:szCs w:val="21"/>
                      <w:lang w:val="en-US"/>
                    </w:rPr>
                  </w:pPr>
                  <w:r>
                    <w:rPr>
                      <w:rFonts w:hint="eastAsia" w:ascii="Times New Roman" w:hAnsi="宋体" w:cs="Times New Roman"/>
                      <w:color w:val="000000" w:themeColor="text1"/>
                      <w:kern w:val="0"/>
                      <w:sz w:val="21"/>
                      <w:szCs w:val="21"/>
                      <w:lang w:val="en-US" w:eastAsia="zh-CN"/>
                    </w:rPr>
                    <w:t>腾冲市教育园区</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26BE355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东</w:t>
                  </w:r>
                  <w:r>
                    <w:rPr>
                      <w:rFonts w:hint="eastAsia" w:ascii="Times New Roman" w:hAnsi="Times New Roman" w:cs="Times New Roman"/>
                      <w:color w:val="000000" w:themeColor="text1"/>
                      <w:sz w:val="21"/>
                      <w:szCs w:val="21"/>
                    </w:rPr>
                    <w:t>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AD94CE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184m</w:t>
                  </w:r>
                </w:p>
              </w:tc>
              <w:tc>
                <w:tcPr>
                  <w:tcW w:w="727" w:type="pct"/>
                  <w:vMerge w:val="continue"/>
                  <w:tcBorders>
                    <w:left w:val="single" w:color="auto" w:sz="4" w:space="0"/>
                    <w:right w:val="single" w:color="auto" w:sz="4" w:space="0"/>
                  </w:tcBorders>
                  <w:noWrap w:val="0"/>
                  <w:vAlign w:val="center"/>
                </w:tcPr>
                <w:p w14:paraId="5EB97180">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020BB28E">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宋体" w:cs="Times New Roman"/>
                      <w:color w:val="000000" w:themeColor="text1"/>
                      <w:kern w:val="0"/>
                      <w:sz w:val="21"/>
                      <w:szCs w:val="21"/>
                      <w:lang w:val="en-US" w:eastAsia="zh-CN"/>
                    </w:rPr>
                    <w:t>腾冲市教育园区</w:t>
                  </w:r>
                </w:p>
              </w:tc>
              <w:tc>
                <w:tcPr>
                  <w:tcW w:w="262" w:type="pct"/>
                  <w:tcBorders>
                    <w:left w:val="single" w:color="auto" w:sz="4" w:space="0"/>
                    <w:right w:val="single" w:color="auto" w:sz="4" w:space="0"/>
                  </w:tcBorders>
                  <w:noWrap w:val="0"/>
                  <w:vAlign w:val="center"/>
                </w:tcPr>
                <w:p w14:paraId="3F576117">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东</w:t>
                  </w:r>
                  <w:r>
                    <w:rPr>
                      <w:rFonts w:hint="eastAsia" w:ascii="Times New Roman" w:hAnsi="Times New Roman" w:cs="Times New Roman"/>
                      <w:color w:val="000000" w:themeColor="text1"/>
                      <w:sz w:val="21"/>
                      <w:szCs w:val="21"/>
                    </w:rPr>
                    <w:t>侧</w:t>
                  </w:r>
                </w:p>
              </w:tc>
              <w:tc>
                <w:tcPr>
                  <w:tcW w:w="434" w:type="pct"/>
                  <w:tcBorders>
                    <w:left w:val="single" w:color="auto" w:sz="4" w:space="0"/>
                    <w:right w:val="single" w:color="auto" w:sz="4" w:space="0"/>
                  </w:tcBorders>
                  <w:noWrap w:val="0"/>
                  <w:vAlign w:val="center"/>
                </w:tcPr>
                <w:p w14:paraId="7A9C2E61">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184m</w:t>
                  </w:r>
                </w:p>
              </w:tc>
              <w:tc>
                <w:tcPr>
                  <w:tcW w:w="719" w:type="pct"/>
                  <w:vMerge w:val="continue"/>
                  <w:tcBorders>
                    <w:left w:val="single" w:color="auto" w:sz="4" w:space="0"/>
                    <w:right w:val="single" w:color="auto" w:sz="4" w:space="0"/>
                  </w:tcBorders>
                  <w:noWrap w:val="0"/>
                  <w:vAlign w:val="center"/>
                </w:tcPr>
                <w:p w14:paraId="338DF7C7">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48B31DC0">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6547C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7" w:hRule="atLeast"/>
                <w:jc w:val="center"/>
              </w:trPr>
              <w:tc>
                <w:tcPr>
                  <w:tcW w:w="394" w:type="pct"/>
                  <w:vMerge w:val="continue"/>
                  <w:tcBorders>
                    <w:left w:val="single" w:color="auto" w:sz="4" w:space="0"/>
                    <w:right w:val="single" w:color="auto" w:sz="4" w:space="0"/>
                  </w:tcBorders>
                  <w:noWrap w:val="0"/>
                  <w:vAlign w:val="center"/>
                </w:tcPr>
                <w:p w14:paraId="6553E31D">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54D09168">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腾冲市特殊教育学校</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3980ED03">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西侧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8BB435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325m</w:t>
                  </w:r>
                </w:p>
              </w:tc>
              <w:tc>
                <w:tcPr>
                  <w:tcW w:w="727" w:type="pct"/>
                  <w:vMerge w:val="continue"/>
                  <w:tcBorders>
                    <w:left w:val="single" w:color="auto" w:sz="4" w:space="0"/>
                    <w:right w:val="single" w:color="auto" w:sz="4" w:space="0"/>
                  </w:tcBorders>
                  <w:noWrap w:val="0"/>
                  <w:vAlign w:val="center"/>
                </w:tcPr>
                <w:p w14:paraId="3B1169FF">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0D381D8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腾冲市特殊教育学校</w:t>
                  </w:r>
                </w:p>
              </w:tc>
              <w:tc>
                <w:tcPr>
                  <w:tcW w:w="262" w:type="pct"/>
                  <w:tcBorders>
                    <w:left w:val="single" w:color="auto" w:sz="4" w:space="0"/>
                    <w:right w:val="single" w:color="auto" w:sz="4" w:space="0"/>
                  </w:tcBorders>
                  <w:noWrap w:val="0"/>
                  <w:vAlign w:val="center"/>
                </w:tcPr>
                <w:p w14:paraId="261747A0">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sz w:val="21"/>
                      <w:szCs w:val="21"/>
                      <w:lang w:val="en-US" w:eastAsia="zh-CN"/>
                    </w:rPr>
                    <w:t>西侧</w:t>
                  </w:r>
                </w:p>
              </w:tc>
              <w:tc>
                <w:tcPr>
                  <w:tcW w:w="434" w:type="pct"/>
                  <w:tcBorders>
                    <w:left w:val="single" w:color="auto" w:sz="4" w:space="0"/>
                    <w:right w:val="single" w:color="auto" w:sz="4" w:space="0"/>
                  </w:tcBorders>
                  <w:noWrap w:val="0"/>
                  <w:vAlign w:val="center"/>
                </w:tcPr>
                <w:p w14:paraId="5B150D9C">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325m</w:t>
                  </w:r>
                </w:p>
              </w:tc>
              <w:tc>
                <w:tcPr>
                  <w:tcW w:w="719" w:type="pct"/>
                  <w:vMerge w:val="continue"/>
                  <w:tcBorders>
                    <w:left w:val="single" w:color="auto" w:sz="4" w:space="0"/>
                    <w:right w:val="single" w:color="auto" w:sz="4" w:space="0"/>
                  </w:tcBorders>
                  <w:noWrap w:val="0"/>
                  <w:vAlign w:val="center"/>
                </w:tcPr>
                <w:p w14:paraId="263B97CD">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425733CB">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072A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5" w:hRule="atLeast"/>
                <w:jc w:val="center"/>
              </w:trPr>
              <w:tc>
                <w:tcPr>
                  <w:tcW w:w="394" w:type="pct"/>
                  <w:vMerge w:val="continue"/>
                  <w:tcBorders>
                    <w:left w:val="single" w:color="auto" w:sz="4" w:space="0"/>
                    <w:right w:val="single" w:color="auto" w:sz="4" w:space="0"/>
                  </w:tcBorders>
                  <w:noWrap w:val="0"/>
                  <w:vAlign w:val="center"/>
                </w:tcPr>
                <w:p w14:paraId="6A448ED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1425A8B6">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宝峰合院</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793D84D8">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sz w:val="21"/>
                      <w:szCs w:val="21"/>
                    </w:rPr>
                  </w:pPr>
                  <w:r>
                    <w:rPr>
                      <w:rFonts w:hint="eastAsia" w:ascii="宋体" w:hAnsi="宋体" w:cs="宋体"/>
                      <w:color w:val="000000" w:themeColor="text1"/>
                      <w:kern w:val="0"/>
                      <w:sz w:val="21"/>
                      <w:szCs w:val="21"/>
                      <w:lang w:val="en-US" w:eastAsia="zh-CN"/>
                    </w:rPr>
                    <w:t>西南侧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361BF7F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248m</w:t>
                  </w:r>
                </w:p>
              </w:tc>
              <w:tc>
                <w:tcPr>
                  <w:tcW w:w="727" w:type="pct"/>
                  <w:vMerge w:val="continue"/>
                  <w:tcBorders>
                    <w:left w:val="single" w:color="auto" w:sz="4" w:space="0"/>
                    <w:right w:val="single" w:color="auto" w:sz="4" w:space="0"/>
                  </w:tcBorders>
                  <w:noWrap w:val="0"/>
                  <w:vAlign w:val="center"/>
                </w:tcPr>
                <w:p w14:paraId="1726F1EE">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55681B0C">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宝峰合院</w:t>
                  </w:r>
                </w:p>
              </w:tc>
              <w:tc>
                <w:tcPr>
                  <w:tcW w:w="262" w:type="pct"/>
                  <w:tcBorders>
                    <w:left w:val="single" w:color="auto" w:sz="4" w:space="0"/>
                    <w:right w:val="single" w:color="auto" w:sz="4" w:space="0"/>
                  </w:tcBorders>
                  <w:noWrap w:val="0"/>
                  <w:vAlign w:val="center"/>
                </w:tcPr>
                <w:p w14:paraId="4E0343C3">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西南侧</w:t>
                  </w:r>
                </w:p>
              </w:tc>
              <w:tc>
                <w:tcPr>
                  <w:tcW w:w="434" w:type="pct"/>
                  <w:tcBorders>
                    <w:left w:val="single" w:color="auto" w:sz="4" w:space="0"/>
                    <w:right w:val="single" w:color="auto" w:sz="4" w:space="0"/>
                  </w:tcBorders>
                  <w:noWrap w:val="0"/>
                  <w:vAlign w:val="center"/>
                </w:tcPr>
                <w:p w14:paraId="61DE3160">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248m</w:t>
                  </w:r>
                </w:p>
              </w:tc>
              <w:tc>
                <w:tcPr>
                  <w:tcW w:w="719" w:type="pct"/>
                  <w:vMerge w:val="continue"/>
                  <w:tcBorders>
                    <w:left w:val="single" w:color="auto" w:sz="4" w:space="0"/>
                    <w:right w:val="single" w:color="auto" w:sz="4" w:space="0"/>
                  </w:tcBorders>
                  <w:noWrap w:val="0"/>
                  <w:vAlign w:val="center"/>
                </w:tcPr>
                <w:p w14:paraId="2A720942">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198EB3F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257BE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jc w:val="center"/>
              </w:trPr>
              <w:tc>
                <w:tcPr>
                  <w:tcW w:w="394" w:type="pct"/>
                  <w:vMerge w:val="continue"/>
                  <w:tcBorders>
                    <w:left w:val="single" w:color="auto" w:sz="4" w:space="0"/>
                    <w:right w:val="single" w:color="auto" w:sz="4" w:space="0"/>
                  </w:tcBorders>
                  <w:noWrap w:val="0"/>
                  <w:vAlign w:val="center"/>
                </w:tcPr>
                <w:p w14:paraId="091282F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52B183A3">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伊江小区</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0EAD7840">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南侧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62D62B10">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rPr>
                  </w:pPr>
                  <w:r>
                    <w:rPr>
                      <w:rFonts w:hint="eastAsia" w:ascii="Times New Roman" w:hAnsi="Times New Roman" w:cs="Times New Roman"/>
                      <w:color w:val="000000" w:themeColor="text1"/>
                      <w:kern w:val="0"/>
                      <w:sz w:val="21"/>
                      <w:szCs w:val="21"/>
                      <w:lang w:val="en-US" w:eastAsia="zh-CN"/>
                    </w:rPr>
                    <w:t>250m</w:t>
                  </w:r>
                </w:p>
              </w:tc>
              <w:tc>
                <w:tcPr>
                  <w:tcW w:w="727" w:type="pct"/>
                  <w:vMerge w:val="continue"/>
                  <w:tcBorders>
                    <w:left w:val="single" w:color="auto" w:sz="4" w:space="0"/>
                    <w:right w:val="single" w:color="auto" w:sz="4" w:space="0"/>
                  </w:tcBorders>
                  <w:noWrap w:val="0"/>
                  <w:vAlign w:val="center"/>
                </w:tcPr>
                <w:p w14:paraId="1982E17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6027F35D">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伊江小区</w:t>
                  </w:r>
                </w:p>
              </w:tc>
              <w:tc>
                <w:tcPr>
                  <w:tcW w:w="262" w:type="pct"/>
                  <w:tcBorders>
                    <w:left w:val="single" w:color="auto" w:sz="4" w:space="0"/>
                    <w:right w:val="single" w:color="auto" w:sz="4" w:space="0"/>
                  </w:tcBorders>
                  <w:noWrap w:val="0"/>
                  <w:vAlign w:val="center"/>
                </w:tcPr>
                <w:p w14:paraId="5AF26170">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sz w:val="21"/>
                      <w:szCs w:val="21"/>
                      <w:lang w:val="en-US" w:eastAsia="zh-CN"/>
                    </w:rPr>
                    <w:t>南侧</w:t>
                  </w:r>
                </w:p>
              </w:tc>
              <w:tc>
                <w:tcPr>
                  <w:tcW w:w="434" w:type="pct"/>
                  <w:tcBorders>
                    <w:left w:val="single" w:color="auto" w:sz="4" w:space="0"/>
                    <w:right w:val="single" w:color="auto" w:sz="4" w:space="0"/>
                  </w:tcBorders>
                  <w:noWrap w:val="0"/>
                  <w:vAlign w:val="center"/>
                </w:tcPr>
                <w:p w14:paraId="0D145EB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250m</w:t>
                  </w:r>
                </w:p>
              </w:tc>
              <w:tc>
                <w:tcPr>
                  <w:tcW w:w="719" w:type="pct"/>
                  <w:vMerge w:val="continue"/>
                  <w:tcBorders>
                    <w:left w:val="single" w:color="auto" w:sz="4" w:space="0"/>
                    <w:right w:val="single" w:color="auto" w:sz="4" w:space="0"/>
                  </w:tcBorders>
                  <w:noWrap w:val="0"/>
                  <w:vAlign w:val="center"/>
                </w:tcPr>
                <w:p w14:paraId="532EBC3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1B0BB57">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05CFF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8" w:hRule="atLeast"/>
                <w:jc w:val="center"/>
              </w:trPr>
              <w:tc>
                <w:tcPr>
                  <w:tcW w:w="394" w:type="pct"/>
                  <w:vMerge w:val="continue"/>
                  <w:tcBorders>
                    <w:left w:val="single" w:color="auto" w:sz="4" w:space="0"/>
                    <w:right w:val="single" w:color="auto" w:sz="4" w:space="0"/>
                  </w:tcBorders>
                  <w:noWrap w:val="0"/>
                  <w:vAlign w:val="center"/>
                </w:tcPr>
                <w:p w14:paraId="27E0364D">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03704BA3">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5214E53E">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02509F7">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614B978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38BB1ABA">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宝峰文苑</w:t>
                  </w:r>
                </w:p>
              </w:tc>
              <w:tc>
                <w:tcPr>
                  <w:tcW w:w="262" w:type="pct"/>
                  <w:tcBorders>
                    <w:left w:val="single" w:color="auto" w:sz="4" w:space="0"/>
                    <w:right w:val="single" w:color="auto" w:sz="4" w:space="0"/>
                  </w:tcBorders>
                  <w:noWrap w:val="0"/>
                  <w:vAlign w:val="center"/>
                </w:tcPr>
                <w:p w14:paraId="6B6E18EA">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kern w:val="0"/>
                      <w:sz w:val="21"/>
                      <w:szCs w:val="21"/>
                      <w:lang w:val="en-US" w:eastAsia="zh-CN"/>
                    </w:rPr>
                  </w:pPr>
                  <w:r>
                    <w:rPr>
                      <w:rFonts w:hint="eastAsia" w:ascii="宋体" w:hAnsi="宋体" w:eastAsia="宋体" w:cs="宋体"/>
                      <w:color w:val="000000" w:themeColor="text1"/>
                      <w:kern w:val="0"/>
                      <w:sz w:val="21"/>
                      <w:szCs w:val="21"/>
                      <w:lang w:val="en-US" w:eastAsia="zh-CN"/>
                    </w:rPr>
                    <w:t>北侧</w:t>
                  </w:r>
                </w:p>
              </w:tc>
              <w:tc>
                <w:tcPr>
                  <w:tcW w:w="434" w:type="pct"/>
                  <w:tcBorders>
                    <w:left w:val="single" w:color="auto" w:sz="4" w:space="0"/>
                    <w:right w:val="single" w:color="auto" w:sz="4" w:space="0"/>
                  </w:tcBorders>
                  <w:noWrap w:val="0"/>
                  <w:vAlign w:val="center"/>
                </w:tcPr>
                <w:p w14:paraId="0231732F">
                  <w:pPr>
                    <w:keepNext w:val="0"/>
                    <w:keepLines w:val="0"/>
                    <w:pageBreakBefore w:val="0"/>
                    <w:widowControl/>
                    <w:kinsoku/>
                    <w:wordWrap/>
                    <w:overflowPunct/>
                    <w:topLinePunct w:val="0"/>
                    <w:bidi w:val="0"/>
                    <w:adjustRightInd w:val="0"/>
                    <w:snapToGrid w:val="0"/>
                    <w:spacing w:line="276" w:lineRule="auto"/>
                    <w:jc w:val="center"/>
                    <w:textAlignment w:val="auto"/>
                    <w:rPr>
                      <w:rFonts w:hint="eastAsia"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24m</w:t>
                  </w:r>
                </w:p>
              </w:tc>
              <w:tc>
                <w:tcPr>
                  <w:tcW w:w="719" w:type="pct"/>
                  <w:vMerge w:val="continue"/>
                  <w:tcBorders>
                    <w:left w:val="single" w:color="auto" w:sz="4" w:space="0"/>
                    <w:right w:val="single" w:color="auto" w:sz="4" w:space="0"/>
                  </w:tcBorders>
                  <w:noWrap w:val="0"/>
                  <w:vAlign w:val="center"/>
                </w:tcPr>
                <w:p w14:paraId="1C6773B8">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7DCDDC18">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1B468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2" w:hRule="atLeast"/>
                <w:jc w:val="center"/>
              </w:trPr>
              <w:tc>
                <w:tcPr>
                  <w:tcW w:w="394" w:type="pct"/>
                  <w:vMerge w:val="continue"/>
                  <w:tcBorders>
                    <w:left w:val="single" w:color="auto" w:sz="4" w:space="0"/>
                    <w:right w:val="single" w:color="auto" w:sz="4" w:space="0"/>
                  </w:tcBorders>
                  <w:noWrap w:val="0"/>
                  <w:vAlign w:val="center"/>
                </w:tcPr>
                <w:p w14:paraId="0C9EB07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293AD5B8">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4B1C6226">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0C05151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11A67988">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5C21E582">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Times New Roman" w:hAnsi="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壹品腾冲</w:t>
                  </w:r>
                </w:p>
              </w:tc>
              <w:tc>
                <w:tcPr>
                  <w:tcW w:w="262" w:type="pct"/>
                  <w:tcBorders>
                    <w:left w:val="single" w:color="auto" w:sz="4" w:space="0"/>
                    <w:right w:val="single" w:color="auto" w:sz="4" w:space="0"/>
                  </w:tcBorders>
                  <w:noWrap w:val="0"/>
                  <w:vAlign w:val="center"/>
                </w:tcPr>
                <w:p w14:paraId="4331D7FB">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东北侧</w:t>
                  </w:r>
                </w:p>
              </w:tc>
              <w:tc>
                <w:tcPr>
                  <w:tcW w:w="434" w:type="pct"/>
                  <w:tcBorders>
                    <w:left w:val="single" w:color="auto" w:sz="4" w:space="0"/>
                    <w:right w:val="single" w:color="auto" w:sz="4" w:space="0"/>
                  </w:tcBorders>
                  <w:noWrap w:val="0"/>
                  <w:vAlign w:val="center"/>
                </w:tcPr>
                <w:p w14:paraId="74DE2456">
                  <w:pPr>
                    <w:keepNext w:val="0"/>
                    <w:keepLines w:val="0"/>
                    <w:pageBreakBefore w:val="0"/>
                    <w:widowControl/>
                    <w:kinsoku/>
                    <w:wordWrap/>
                    <w:overflowPunct/>
                    <w:topLinePunct w:val="0"/>
                    <w:bidi w:val="0"/>
                    <w:adjustRightInd w:val="0"/>
                    <w:snapToGrid w:val="0"/>
                    <w:spacing w:line="276"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179m</w:t>
                  </w:r>
                </w:p>
              </w:tc>
              <w:tc>
                <w:tcPr>
                  <w:tcW w:w="719" w:type="pct"/>
                  <w:vMerge w:val="continue"/>
                  <w:tcBorders>
                    <w:left w:val="single" w:color="auto" w:sz="4" w:space="0"/>
                    <w:right w:val="single" w:color="auto" w:sz="4" w:space="0"/>
                  </w:tcBorders>
                  <w:noWrap w:val="0"/>
                  <w:vAlign w:val="center"/>
                </w:tcPr>
                <w:p w14:paraId="1EE02548">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794BF59E">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06A55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8" w:hRule="atLeast"/>
                <w:jc w:val="center"/>
              </w:trPr>
              <w:tc>
                <w:tcPr>
                  <w:tcW w:w="394" w:type="pct"/>
                  <w:vMerge w:val="continue"/>
                  <w:tcBorders>
                    <w:left w:val="single" w:color="auto" w:sz="4" w:space="0"/>
                    <w:right w:val="single" w:color="auto" w:sz="4" w:space="0"/>
                  </w:tcBorders>
                  <w:noWrap w:val="0"/>
                  <w:vAlign w:val="center"/>
                </w:tcPr>
                <w:p w14:paraId="2471243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33C96BFE">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23F14CB4">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18E951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228E9C5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476CDD31">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Times New Roman" w:hAnsi="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腾冲市“顺颐府”住宅建设项目（二期）</w:t>
                  </w:r>
                </w:p>
              </w:tc>
              <w:tc>
                <w:tcPr>
                  <w:tcW w:w="262" w:type="pct"/>
                  <w:tcBorders>
                    <w:left w:val="single" w:color="auto" w:sz="4" w:space="0"/>
                    <w:right w:val="single" w:color="auto" w:sz="4" w:space="0"/>
                  </w:tcBorders>
                  <w:noWrap w:val="0"/>
                  <w:vAlign w:val="center"/>
                </w:tcPr>
                <w:p w14:paraId="3D2A8EDA">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南侧</w:t>
                  </w:r>
                </w:p>
              </w:tc>
              <w:tc>
                <w:tcPr>
                  <w:tcW w:w="434" w:type="pct"/>
                  <w:tcBorders>
                    <w:left w:val="single" w:color="auto" w:sz="4" w:space="0"/>
                    <w:right w:val="single" w:color="auto" w:sz="4" w:space="0"/>
                  </w:tcBorders>
                  <w:noWrap w:val="0"/>
                  <w:vAlign w:val="center"/>
                </w:tcPr>
                <w:p w14:paraId="48A3C1C3">
                  <w:pPr>
                    <w:keepNext w:val="0"/>
                    <w:keepLines w:val="0"/>
                    <w:pageBreakBefore w:val="0"/>
                    <w:widowControl/>
                    <w:kinsoku/>
                    <w:wordWrap/>
                    <w:overflowPunct/>
                    <w:topLinePunct w:val="0"/>
                    <w:bidi w:val="0"/>
                    <w:adjustRightInd w:val="0"/>
                    <w:snapToGrid w:val="0"/>
                    <w:spacing w:line="276"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5m</w:t>
                  </w:r>
                </w:p>
              </w:tc>
              <w:tc>
                <w:tcPr>
                  <w:tcW w:w="719" w:type="pct"/>
                  <w:vMerge w:val="continue"/>
                  <w:tcBorders>
                    <w:left w:val="single" w:color="auto" w:sz="4" w:space="0"/>
                    <w:right w:val="single" w:color="auto" w:sz="4" w:space="0"/>
                  </w:tcBorders>
                  <w:noWrap w:val="0"/>
                  <w:vAlign w:val="center"/>
                </w:tcPr>
                <w:p w14:paraId="111AA40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A300CD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74FF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8" w:hRule="atLeast"/>
                <w:jc w:val="center"/>
              </w:trPr>
              <w:tc>
                <w:tcPr>
                  <w:tcW w:w="394" w:type="pct"/>
                  <w:vMerge w:val="continue"/>
                  <w:tcBorders>
                    <w:left w:val="single" w:color="auto" w:sz="4" w:space="0"/>
                    <w:right w:val="single" w:color="auto" w:sz="4" w:space="0"/>
                  </w:tcBorders>
                  <w:noWrap w:val="0"/>
                  <w:vAlign w:val="center"/>
                </w:tcPr>
                <w:p w14:paraId="374846CD">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1D9F0CE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0E8C967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72857E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47122440">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73E6924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Times New Roman" w:hAnsi="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腾冲市“顺颐府”住宅建设项目（三期）</w:t>
                  </w:r>
                </w:p>
              </w:tc>
              <w:tc>
                <w:tcPr>
                  <w:tcW w:w="262" w:type="pct"/>
                  <w:tcBorders>
                    <w:left w:val="single" w:color="auto" w:sz="4" w:space="0"/>
                    <w:right w:val="single" w:color="auto" w:sz="4" w:space="0"/>
                  </w:tcBorders>
                  <w:noWrap w:val="0"/>
                  <w:vAlign w:val="center"/>
                </w:tcPr>
                <w:p w14:paraId="5707827C">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南侧</w:t>
                  </w:r>
                </w:p>
              </w:tc>
              <w:tc>
                <w:tcPr>
                  <w:tcW w:w="434" w:type="pct"/>
                  <w:tcBorders>
                    <w:left w:val="single" w:color="auto" w:sz="4" w:space="0"/>
                    <w:right w:val="single" w:color="auto" w:sz="4" w:space="0"/>
                  </w:tcBorders>
                  <w:noWrap w:val="0"/>
                  <w:vAlign w:val="center"/>
                </w:tcPr>
                <w:p w14:paraId="0BE0E333">
                  <w:pPr>
                    <w:keepNext w:val="0"/>
                    <w:keepLines w:val="0"/>
                    <w:pageBreakBefore w:val="0"/>
                    <w:widowControl/>
                    <w:kinsoku/>
                    <w:wordWrap/>
                    <w:overflowPunct/>
                    <w:topLinePunct w:val="0"/>
                    <w:bidi w:val="0"/>
                    <w:adjustRightInd w:val="0"/>
                    <w:snapToGrid w:val="0"/>
                    <w:spacing w:line="276"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60m</w:t>
                  </w:r>
                </w:p>
              </w:tc>
              <w:tc>
                <w:tcPr>
                  <w:tcW w:w="719" w:type="pct"/>
                  <w:vMerge w:val="continue"/>
                  <w:tcBorders>
                    <w:left w:val="single" w:color="auto" w:sz="4" w:space="0"/>
                    <w:right w:val="single" w:color="auto" w:sz="4" w:space="0"/>
                  </w:tcBorders>
                  <w:noWrap w:val="0"/>
                  <w:vAlign w:val="center"/>
                </w:tcPr>
                <w:p w14:paraId="0B0C329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1BDD6E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bl>
          <w:p w14:paraId="694FB861">
            <w:pPr>
              <w:spacing w:line="360" w:lineRule="auto"/>
              <w:ind w:firstLine="480" w:firstLineChars="200"/>
              <w:rPr>
                <w:rFonts w:hint="default" w:ascii="Times New Roman" w:hAnsi="Times New Roman" w:eastAsia="宋体" w:cs="Times New Roman"/>
                <w:color w:val="000000" w:themeColor="text1"/>
                <w:sz w:val="24"/>
                <w:lang w:val="en-US" w:eastAsia="zh-CN"/>
              </w:rPr>
            </w:pPr>
            <w:r>
              <w:rPr>
                <w:rFonts w:hint="default" w:ascii="Times New Roman" w:hAnsi="Times New Roman" w:eastAsia="宋体" w:cs="Times New Roman"/>
                <w:color w:val="000000" w:themeColor="text1"/>
                <w:sz w:val="24"/>
                <w:lang w:val="en-US" w:eastAsia="zh-CN"/>
              </w:rPr>
              <w:t>（2）项目总平面布置</w:t>
            </w:r>
          </w:p>
          <w:p w14:paraId="37BB659F">
            <w:pPr>
              <w:spacing w:line="360" w:lineRule="auto"/>
              <w:ind w:firstLine="480" w:firstLineChars="200"/>
              <w:rPr>
                <w:color w:val="000000" w:themeColor="text1"/>
                <w:vertAlign w:val="baseline"/>
              </w:rPr>
            </w:pPr>
            <w:r>
              <w:rPr>
                <w:rFonts w:hint="default" w:ascii="Times New Roman" w:hAnsi="Times New Roman" w:eastAsia="宋体" w:cs="Times New Roman"/>
                <w:color w:val="000000" w:themeColor="text1"/>
                <w:sz w:val="24"/>
              </w:rPr>
              <w:t>本项目位于整个腾冲市“顺颐府”住宅建设项目北部，项目东、北高，西、南底，高度为1816~1826m。本项目南侧紧邻腾冲市“顺颐府”住宅二期建设项目，北侧紧邻桃园路，4幢高层住宅建筑沿桃园路排列分布，项目设置2个出入口与北侧桃园路相连接，且项目主出入口连接项目区内各主次道路，形成项目区内通达的交通网络系统，交通较为便利。项目具体平面布置见附图4。</w:t>
            </w:r>
          </w:p>
        </w:tc>
      </w:tr>
    </w:tbl>
    <w:p w14:paraId="59004570">
      <w:pPr>
        <w:rPr>
          <w:color w:val="000000" w:themeColor="text1"/>
        </w:rPr>
        <w:sectPr>
          <w:pgSz w:w="16838" w:h="11906" w:orient="landscape"/>
          <w:pgMar w:top="1418" w:right="1440" w:bottom="1558" w:left="1440" w:header="851" w:footer="992" w:gutter="0"/>
          <w:pgBorders>
            <w:top w:val="none" w:sz="0" w:space="0"/>
            <w:left w:val="none" w:sz="0" w:space="0"/>
            <w:bottom w:val="none" w:sz="0" w:space="0"/>
            <w:right w:val="none" w:sz="0" w:space="0"/>
          </w:pgBorders>
          <w:cols w:space="720" w:num="1"/>
          <w:docGrid w:linePitch="312" w:charSpace="0"/>
        </w:sectPr>
      </w:pPr>
    </w:p>
    <w:tbl>
      <w:tblPr>
        <w:tblStyle w:val="39"/>
        <w:tblW w:w="9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6"/>
      </w:tblGrid>
      <w:tr w14:paraId="62FEA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45" w:type="dxa"/>
            <w:vAlign w:val="center"/>
          </w:tcPr>
          <w:p w14:paraId="41DE79DC">
            <w:pPr>
              <w:spacing w:line="360" w:lineRule="auto"/>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原辅料消耗及水平衡：</w:t>
            </w:r>
          </w:p>
          <w:p w14:paraId="367F1D21">
            <w:pPr>
              <w:spacing w:line="360" w:lineRule="auto"/>
              <w:ind w:firstLine="482" w:firstLineChars="200"/>
              <w:rPr>
                <w:rFonts w:hint="default" w:ascii="Times New Roman" w:hAnsi="Times New Roman" w:cs="Times New Roman"/>
                <w:color w:val="000000" w:themeColor="text1"/>
              </w:rPr>
            </w:pPr>
            <w:r>
              <w:rPr>
                <w:rFonts w:hint="default" w:ascii="Times New Roman" w:hAnsi="Times New Roman" w:cs="Times New Roman"/>
                <w:b/>
                <w:color w:val="000000" w:themeColor="text1"/>
                <w:sz w:val="24"/>
                <w:szCs w:val="24"/>
              </w:rPr>
              <w:t>1、原辅料消耗</w:t>
            </w:r>
          </w:p>
          <w:p w14:paraId="06D2112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项目原辅料消耗情况一览表见表2-</w:t>
            </w:r>
            <w:r>
              <w:rPr>
                <w:rFonts w:hint="eastAsia" w:ascii="Times New Roman" w:hAnsi="Times New Roman" w:cs="Times New Roman"/>
                <w:color w:val="000000" w:themeColor="text1"/>
                <w:sz w:val="24"/>
                <w:szCs w:val="24"/>
                <w:lang w:val="en-US" w:eastAsia="zh-CN"/>
              </w:rPr>
              <w:t>7</w:t>
            </w:r>
            <w:r>
              <w:rPr>
                <w:rFonts w:hint="default" w:ascii="Times New Roman" w:hAnsi="Times New Roman" w:cs="Times New Roman"/>
                <w:color w:val="000000" w:themeColor="text1"/>
                <w:sz w:val="24"/>
                <w:szCs w:val="24"/>
              </w:rPr>
              <w:t>。</w:t>
            </w:r>
          </w:p>
          <w:p w14:paraId="19E1F9E9">
            <w:pPr>
              <w:pStyle w:val="36"/>
              <w:spacing w:before="0" w:beforeAutospacing="0" w:after="0" w:afterAutospacing="0"/>
              <w:jc w:val="center"/>
              <w:rPr>
                <w:rFonts w:hint="default" w:ascii="Times New Roman" w:hAnsi="Times New Roman" w:cs="Times New Roman"/>
                <w:b/>
                <w:color w:val="000000" w:themeColor="text1"/>
                <w:spacing w:val="8"/>
                <w:highlight w:val="yellow"/>
              </w:rPr>
            </w:pPr>
            <w:r>
              <w:rPr>
                <w:rFonts w:hint="default" w:ascii="Times New Roman" w:hAnsi="Times New Roman" w:cs="Times New Roman"/>
                <w:b/>
                <w:color w:val="000000" w:themeColor="text1"/>
                <w:spacing w:val="8"/>
              </w:rPr>
              <w:t>表2-</w:t>
            </w:r>
            <w:r>
              <w:rPr>
                <w:rFonts w:hint="eastAsia" w:ascii="Times New Roman" w:hAnsi="Times New Roman" w:cs="Times New Roman"/>
                <w:b/>
                <w:color w:val="000000" w:themeColor="text1"/>
                <w:spacing w:val="8"/>
                <w:lang w:val="en-US" w:eastAsia="zh-CN"/>
              </w:rPr>
              <w:t>7</w:t>
            </w:r>
            <w:r>
              <w:rPr>
                <w:rFonts w:hint="default" w:ascii="Times New Roman" w:hAnsi="Times New Roman" w:cs="Times New Roman"/>
                <w:b/>
                <w:color w:val="000000" w:themeColor="text1"/>
                <w:spacing w:val="8"/>
              </w:rPr>
              <w:t xml:space="preserve">  原辅料消耗一览表</w:t>
            </w:r>
          </w:p>
          <w:tbl>
            <w:tblPr>
              <w:tblStyle w:val="39"/>
              <w:tblW w:w="8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721"/>
              <w:gridCol w:w="1701"/>
              <w:gridCol w:w="1559"/>
              <w:gridCol w:w="3210"/>
            </w:tblGrid>
            <w:tr w14:paraId="46A97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1" w:type="dxa"/>
                  <w:vMerge w:val="restart"/>
                  <w:vAlign w:val="center"/>
                </w:tcPr>
                <w:p w14:paraId="2A8083B3">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序号</w:t>
                  </w:r>
                </w:p>
              </w:tc>
              <w:tc>
                <w:tcPr>
                  <w:tcW w:w="1721" w:type="dxa"/>
                  <w:vMerge w:val="restart"/>
                  <w:vAlign w:val="center"/>
                </w:tcPr>
                <w:p w14:paraId="79D62E7E">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名称</w:t>
                  </w:r>
                </w:p>
              </w:tc>
              <w:tc>
                <w:tcPr>
                  <w:tcW w:w="3260" w:type="dxa"/>
                  <w:gridSpan w:val="2"/>
                  <w:vAlign w:val="center"/>
                </w:tcPr>
                <w:p w14:paraId="613FEE05">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消耗量（每年）</w:t>
                  </w:r>
                </w:p>
              </w:tc>
              <w:tc>
                <w:tcPr>
                  <w:tcW w:w="3210" w:type="dxa"/>
                  <w:vMerge w:val="restart"/>
                  <w:vAlign w:val="center"/>
                </w:tcPr>
                <w:p w14:paraId="71861D86">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备注</w:t>
                  </w:r>
                </w:p>
              </w:tc>
            </w:tr>
            <w:tr w14:paraId="1EA31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1" w:type="dxa"/>
                  <w:vMerge w:val="continue"/>
                  <w:vAlign w:val="center"/>
                </w:tcPr>
                <w:p w14:paraId="2D9B6ED5">
                  <w:pPr>
                    <w:widowControl/>
                    <w:spacing w:line="240" w:lineRule="auto"/>
                    <w:jc w:val="center"/>
                    <w:rPr>
                      <w:rFonts w:hint="default" w:ascii="Times New Roman" w:hAnsi="Times New Roman" w:cs="Times New Roman"/>
                      <w:color w:val="000000" w:themeColor="text1"/>
                      <w:sz w:val="21"/>
                      <w:szCs w:val="21"/>
                    </w:rPr>
                  </w:pPr>
                </w:p>
              </w:tc>
              <w:tc>
                <w:tcPr>
                  <w:tcW w:w="1721" w:type="dxa"/>
                  <w:vMerge w:val="continue"/>
                  <w:vAlign w:val="center"/>
                </w:tcPr>
                <w:p w14:paraId="6E7A02DC">
                  <w:pPr>
                    <w:widowControl/>
                    <w:spacing w:line="240" w:lineRule="auto"/>
                    <w:jc w:val="center"/>
                    <w:rPr>
                      <w:rFonts w:hint="default" w:ascii="Times New Roman" w:hAnsi="Times New Roman" w:cs="Times New Roman"/>
                      <w:color w:val="000000" w:themeColor="text1"/>
                      <w:sz w:val="21"/>
                      <w:szCs w:val="21"/>
                    </w:rPr>
                  </w:pPr>
                </w:p>
              </w:tc>
              <w:tc>
                <w:tcPr>
                  <w:tcW w:w="1701" w:type="dxa"/>
                  <w:vAlign w:val="center"/>
                </w:tcPr>
                <w:p w14:paraId="69CB3573">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单位</w:t>
                  </w:r>
                </w:p>
              </w:tc>
              <w:tc>
                <w:tcPr>
                  <w:tcW w:w="1559" w:type="dxa"/>
                  <w:vAlign w:val="center"/>
                </w:tcPr>
                <w:p w14:paraId="2EB4D497">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数量</w:t>
                  </w:r>
                </w:p>
              </w:tc>
              <w:tc>
                <w:tcPr>
                  <w:tcW w:w="3210" w:type="dxa"/>
                  <w:vMerge w:val="continue"/>
                  <w:vAlign w:val="center"/>
                </w:tcPr>
                <w:p w14:paraId="47F8A2A8">
                  <w:pPr>
                    <w:spacing w:line="240" w:lineRule="auto"/>
                    <w:jc w:val="center"/>
                    <w:rPr>
                      <w:rFonts w:hint="default" w:ascii="Times New Roman" w:hAnsi="Times New Roman" w:cs="Times New Roman"/>
                      <w:color w:val="000000" w:themeColor="text1"/>
                      <w:sz w:val="21"/>
                      <w:szCs w:val="21"/>
                    </w:rPr>
                  </w:pPr>
                </w:p>
              </w:tc>
            </w:tr>
            <w:tr w14:paraId="7873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1" w:type="dxa"/>
                  <w:vAlign w:val="center"/>
                </w:tcPr>
                <w:p w14:paraId="121180F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1</w:t>
                  </w:r>
                </w:p>
              </w:tc>
              <w:tc>
                <w:tcPr>
                  <w:tcW w:w="1721" w:type="dxa"/>
                  <w:vAlign w:val="center"/>
                </w:tcPr>
                <w:p w14:paraId="024580C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水</w:t>
                  </w:r>
                </w:p>
              </w:tc>
              <w:tc>
                <w:tcPr>
                  <w:tcW w:w="1701" w:type="dxa"/>
                  <w:vAlign w:val="center"/>
                </w:tcPr>
                <w:p w14:paraId="2241788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立方米</w:t>
                  </w:r>
                </w:p>
              </w:tc>
              <w:tc>
                <w:tcPr>
                  <w:tcW w:w="1559" w:type="dxa"/>
                  <w:vAlign w:val="center"/>
                </w:tcPr>
                <w:p w14:paraId="423CC920">
                  <w:pPr>
                    <w:spacing w:line="240" w:lineRule="auto"/>
                    <w:jc w:val="center"/>
                    <w:rPr>
                      <w:rFonts w:hint="default" w:ascii="Times New Roman" w:hAnsi="Times New Roman" w:eastAsia="宋体" w:cs="Times New Roman"/>
                      <w:color w:val="000000" w:themeColor="text1"/>
                      <w:sz w:val="21"/>
                      <w:szCs w:val="21"/>
                      <w:highlight w:val="yellow"/>
                      <w:lang w:val="en-US" w:eastAsia="zh-CN"/>
                    </w:rPr>
                  </w:pPr>
                  <w:r>
                    <w:rPr>
                      <w:rFonts w:hint="eastAsia" w:ascii="Times New Roman" w:hAnsi="Times New Roman" w:cs="Times New Roman"/>
                      <w:color w:val="000000" w:themeColor="text1"/>
                      <w:sz w:val="21"/>
                      <w:szCs w:val="21"/>
                      <w:highlight w:val="none"/>
                      <w:lang w:val="en-US" w:eastAsia="zh-CN"/>
                    </w:rPr>
                    <w:t>4029</w:t>
                  </w:r>
                </w:p>
              </w:tc>
              <w:tc>
                <w:tcPr>
                  <w:tcW w:w="3210" w:type="dxa"/>
                  <w:vAlign w:val="center"/>
                </w:tcPr>
                <w:p w14:paraId="2ED5009C">
                  <w:pPr>
                    <w:spacing w:line="240" w:lineRule="auto"/>
                    <w:jc w:val="center"/>
                    <w:rPr>
                      <w:rFonts w:hint="default" w:ascii="Times New Roman" w:hAnsi="Times New Roman" w:cs="Times New Roman"/>
                      <w:color w:val="000000" w:themeColor="text1"/>
                      <w:sz w:val="21"/>
                      <w:szCs w:val="21"/>
                    </w:rPr>
                  </w:pPr>
                  <w:r>
                    <w:rPr>
                      <w:rFonts w:ascii="Times New Roman" w:hAnsiTheme="minorEastAsia" w:eastAsiaTheme="minorEastAsia"/>
                      <w:color w:val="000000" w:themeColor="text1"/>
                      <w:szCs w:val="21"/>
                    </w:rPr>
                    <w:t>生活及消防用水由市政给水干管供给</w:t>
                  </w:r>
                </w:p>
              </w:tc>
            </w:tr>
            <w:tr w14:paraId="15636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1" w:type="dxa"/>
                  <w:vAlign w:val="center"/>
                </w:tcPr>
                <w:p w14:paraId="0DBC605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2</w:t>
                  </w:r>
                </w:p>
              </w:tc>
              <w:tc>
                <w:tcPr>
                  <w:tcW w:w="1721" w:type="dxa"/>
                  <w:vAlign w:val="center"/>
                </w:tcPr>
                <w:p w14:paraId="08D6721B">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电</w:t>
                  </w:r>
                </w:p>
              </w:tc>
              <w:tc>
                <w:tcPr>
                  <w:tcW w:w="1701" w:type="dxa"/>
                  <w:vAlign w:val="center"/>
                </w:tcPr>
                <w:p w14:paraId="722A6CC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万KWh</w:t>
                  </w:r>
                </w:p>
              </w:tc>
              <w:tc>
                <w:tcPr>
                  <w:tcW w:w="1559" w:type="dxa"/>
                  <w:vAlign w:val="center"/>
                </w:tcPr>
                <w:p w14:paraId="3159D57D">
                  <w:pPr>
                    <w:spacing w:line="240" w:lineRule="auto"/>
                    <w:jc w:val="center"/>
                    <w:rPr>
                      <w:rFonts w:hint="default" w:ascii="Times New Roman" w:hAnsi="Times New Roman" w:eastAsia="宋体" w:cs="Times New Roman"/>
                      <w:color w:val="000000" w:themeColor="text1"/>
                      <w:sz w:val="21"/>
                      <w:szCs w:val="21"/>
                      <w:highlight w:val="yellow"/>
                      <w:lang w:val="en-US" w:eastAsia="zh-CN"/>
                    </w:rPr>
                  </w:pPr>
                  <w:r>
                    <w:rPr>
                      <w:rFonts w:hint="eastAsia" w:ascii="Times New Roman" w:hAnsi="Times New Roman" w:cs="Times New Roman"/>
                      <w:color w:val="000000" w:themeColor="text1"/>
                      <w:sz w:val="21"/>
                      <w:szCs w:val="21"/>
                      <w:highlight w:val="none"/>
                      <w:lang w:val="en-US" w:eastAsia="zh-CN"/>
                    </w:rPr>
                    <w:t>1.176</w:t>
                  </w:r>
                </w:p>
              </w:tc>
              <w:tc>
                <w:tcPr>
                  <w:tcW w:w="3210" w:type="dxa"/>
                  <w:vAlign w:val="center"/>
                </w:tcPr>
                <w:p w14:paraId="5B4AC2B6">
                  <w:pPr>
                    <w:spacing w:line="240" w:lineRule="auto"/>
                    <w:jc w:val="center"/>
                    <w:rPr>
                      <w:rFonts w:hint="default" w:ascii="Times New Roman" w:hAnsi="Times New Roman" w:cs="Times New Roman"/>
                      <w:color w:val="000000" w:themeColor="text1"/>
                      <w:sz w:val="21"/>
                      <w:szCs w:val="21"/>
                    </w:rPr>
                  </w:pPr>
                  <w:r>
                    <w:rPr>
                      <w:rFonts w:ascii="Times New Roman" w:hAnsiTheme="minorEastAsia" w:eastAsiaTheme="minorEastAsia"/>
                      <w:color w:val="000000" w:themeColor="text1"/>
                      <w:szCs w:val="21"/>
                    </w:rPr>
                    <w:t>由市政供电网供给，并设有柴油发电机作为备用电源</w:t>
                  </w:r>
                </w:p>
              </w:tc>
            </w:tr>
            <w:tr w14:paraId="7422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1" w:type="dxa"/>
                  <w:vAlign w:val="center"/>
                </w:tcPr>
                <w:p w14:paraId="5625297F">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3</w:t>
                  </w:r>
                </w:p>
              </w:tc>
              <w:tc>
                <w:tcPr>
                  <w:tcW w:w="1721" w:type="dxa"/>
                  <w:vAlign w:val="center"/>
                </w:tcPr>
                <w:p w14:paraId="3D06834B">
                  <w:pPr>
                    <w:spacing w:line="240" w:lineRule="auto"/>
                    <w:jc w:val="center"/>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二氧化氯消毒剂</w:t>
                  </w:r>
                </w:p>
              </w:tc>
              <w:tc>
                <w:tcPr>
                  <w:tcW w:w="1701" w:type="dxa"/>
                  <w:vAlign w:val="center"/>
                </w:tcPr>
                <w:p w14:paraId="3E3FEC91">
                  <w:pPr>
                    <w:spacing w:line="240" w:lineRule="auto"/>
                    <w:jc w:val="center"/>
                    <w:rPr>
                      <w:rFonts w:hint="eastAsia"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升</w:t>
                  </w:r>
                </w:p>
              </w:tc>
              <w:tc>
                <w:tcPr>
                  <w:tcW w:w="1559" w:type="dxa"/>
                  <w:vAlign w:val="center"/>
                </w:tcPr>
                <w:p w14:paraId="2A3ED937">
                  <w:pPr>
                    <w:spacing w:line="240" w:lineRule="auto"/>
                    <w:jc w:val="center"/>
                    <w:rPr>
                      <w:rFonts w:hint="default" w:ascii="Times New Roman" w:hAnsi="Times New Roman"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100.73</w:t>
                  </w:r>
                </w:p>
              </w:tc>
              <w:tc>
                <w:tcPr>
                  <w:tcW w:w="3210" w:type="dxa"/>
                  <w:vAlign w:val="center"/>
                </w:tcPr>
                <w:p w14:paraId="106A7851">
                  <w:pPr>
                    <w:spacing w:line="240" w:lineRule="auto"/>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自行采买</w:t>
                  </w:r>
                </w:p>
              </w:tc>
            </w:tr>
          </w:tbl>
          <w:p w14:paraId="6E1B56F5">
            <w:pPr>
              <w:spacing w:line="360" w:lineRule="auto"/>
              <w:ind w:firstLine="482" w:firstLineChars="200"/>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2、本项目水量平衡</w:t>
            </w:r>
          </w:p>
          <w:p w14:paraId="1B12017D">
            <w:pPr>
              <w:spacing w:line="360" w:lineRule="auto"/>
              <w:ind w:firstLine="480" w:firstLineChars="200"/>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cs="Times New Roman"/>
                <w:color w:val="000000" w:themeColor="text1"/>
                <w:sz w:val="24"/>
                <w:szCs w:val="24"/>
                <w:highlight w:val="none"/>
              </w:rPr>
              <w:t>腾冲市“顺颐府”住宅建设项目</w:t>
            </w:r>
            <w:r>
              <w:rPr>
                <w:rFonts w:hint="eastAsia" w:ascii="Times New Roman" w:hAnsi="Times New Roman" w:cs="Times New Roman"/>
                <w:color w:val="000000" w:themeColor="text1"/>
                <w:sz w:val="24"/>
                <w:szCs w:val="24"/>
                <w:highlight w:val="none"/>
                <w:lang w:val="en-US" w:eastAsia="zh-CN"/>
              </w:rPr>
              <w:t>的污水主要源于居民住户生活污水。本项目实际入住率为9.9%，</w:t>
            </w:r>
            <w:r>
              <w:rPr>
                <w:rFonts w:hint="eastAsia" w:ascii="Times New Roman" w:hAnsi="Times New Roman" w:cs="Times New Roman"/>
                <w:color w:val="000000" w:themeColor="text1"/>
                <w:sz w:val="24"/>
                <w:highlight w:val="none"/>
                <w:lang w:val="en-US" w:eastAsia="zh-CN"/>
              </w:rPr>
              <w:t>即项目入住户数为28户、约100人。</w:t>
            </w:r>
            <w:r>
              <w:rPr>
                <w:rFonts w:hint="eastAsia" w:ascii="Times New Roman" w:hAnsi="Times New Roman" w:cs="Times New Roman"/>
                <w:color w:val="000000" w:themeColor="text1"/>
                <w:sz w:val="24"/>
                <w:szCs w:val="24"/>
                <w:highlight w:val="none"/>
                <w:lang w:val="en-US" w:eastAsia="zh-CN"/>
              </w:rPr>
              <w:t>根据</w:t>
            </w:r>
            <w:r>
              <w:rPr>
                <w:rFonts w:hint="default" w:ascii="Times New Roman" w:hAnsi="Times New Roman" w:cs="Times New Roman"/>
                <w:color w:val="000000" w:themeColor="text1"/>
                <w:sz w:val="24"/>
                <w:szCs w:val="24"/>
                <w:highlight w:val="none"/>
              </w:rPr>
              <w:t>本</w:t>
            </w:r>
            <w:r>
              <w:rPr>
                <w:rFonts w:hint="default" w:ascii="Times New Roman" w:hAnsi="Times New Roman" w:cs="Times New Roman"/>
                <w:bCs/>
                <w:color w:val="000000" w:themeColor="text1"/>
                <w:sz w:val="24"/>
                <w:highlight w:val="none"/>
              </w:rPr>
              <w:t>项目</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4</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11</w:t>
            </w:r>
            <w:r>
              <w:rPr>
                <w:rFonts w:hint="default" w:ascii="Times New Roman" w:hAnsi="Times New Roman" w:cs="Times New Roman"/>
                <w:color w:val="000000" w:themeColor="text1"/>
                <w:sz w:val="24"/>
                <w:szCs w:val="24"/>
                <w:highlight w:val="none"/>
              </w:rPr>
              <w:t>月份至</w:t>
            </w:r>
            <w:r>
              <w:rPr>
                <w:rFonts w:hint="eastAsia" w:ascii="Times New Roman" w:hAnsi="Times New Roman" w:cs="Times New Roman"/>
                <w:color w:val="000000" w:themeColor="text1"/>
                <w:sz w:val="24"/>
                <w:szCs w:val="24"/>
                <w:highlight w:val="none"/>
                <w:lang w:val="en-US" w:eastAsia="zh-CN"/>
              </w:rPr>
              <w:t>2025年2</w:t>
            </w:r>
            <w:r>
              <w:rPr>
                <w:rFonts w:hint="default" w:ascii="Times New Roman" w:hAnsi="Times New Roman" w:cs="Times New Roman"/>
                <w:color w:val="000000" w:themeColor="text1"/>
                <w:sz w:val="24"/>
                <w:szCs w:val="24"/>
                <w:highlight w:val="none"/>
              </w:rPr>
              <w:t>月份</w:t>
            </w:r>
            <w:r>
              <w:rPr>
                <w:rFonts w:hint="eastAsia" w:ascii="Times New Roman" w:hAnsi="Times New Roman" w:cs="Times New Roman"/>
                <w:color w:val="000000" w:themeColor="text1"/>
                <w:sz w:val="24"/>
                <w:szCs w:val="24"/>
                <w:highlight w:val="none"/>
                <w:lang w:val="en-US" w:eastAsia="zh-CN"/>
              </w:rPr>
              <w:t>用水量说明，</w:t>
            </w:r>
            <w:r>
              <w:rPr>
                <w:rFonts w:hint="default" w:ascii="Times New Roman" w:hAnsi="Times New Roman" w:cs="Times New Roman"/>
                <w:color w:val="000000" w:themeColor="text1"/>
                <w:sz w:val="24"/>
                <w:szCs w:val="24"/>
                <w:highlight w:val="none"/>
              </w:rPr>
              <w:t>参照最大用水量为</w:t>
            </w:r>
            <w:r>
              <w:rPr>
                <w:rFonts w:hint="eastAsia" w:ascii="Times New Roman" w:hAnsi="Times New Roman" w:cs="Times New Roman"/>
                <w:color w:val="000000" w:themeColor="text1"/>
                <w:sz w:val="24"/>
                <w:szCs w:val="24"/>
                <w:highlight w:val="none"/>
                <w:lang w:val="en-US" w:eastAsia="zh-CN"/>
              </w:rPr>
              <w:t>497</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3</w:t>
            </w:r>
            <w:r>
              <w:rPr>
                <w:rFonts w:hint="default" w:ascii="Times New Roman" w:hAnsi="Times New Roman" w:cs="Times New Roman"/>
                <w:color w:val="000000" w:themeColor="text1"/>
                <w:sz w:val="24"/>
                <w:szCs w:val="24"/>
                <w:highlight w:val="none"/>
              </w:rPr>
              <w:t>/月（折算每天用水量为</w:t>
            </w:r>
            <w:r>
              <w:rPr>
                <w:rFonts w:hint="eastAsia" w:ascii="Times New Roman" w:hAnsi="Times New Roman" w:cs="Times New Roman"/>
                <w:color w:val="000000" w:themeColor="text1"/>
                <w:sz w:val="24"/>
                <w:szCs w:val="24"/>
                <w:highlight w:val="none"/>
                <w:lang w:val="en-US" w:eastAsia="zh-CN"/>
              </w:rPr>
              <w:t>16.03</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项目住户用水量约为10m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生活污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产生量约8.5</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/d排入化粪池，</w:t>
            </w:r>
            <w:r>
              <w:rPr>
                <w:rFonts w:hint="eastAsia" w:ascii="Times New Roman" w:hAnsi="Times New Roman" w:cs="Times New Roman"/>
                <w:color w:val="000000" w:themeColor="text1"/>
                <w:sz w:val="24"/>
                <w:highlight w:val="none"/>
                <w:lang w:val="en-US" w:eastAsia="zh-CN"/>
              </w:rPr>
              <w:t>满入住率时，</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生活污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产生量约85.86</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/d排入化粪池</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本项目化粪池可满足污水处理需要。</w:t>
            </w:r>
            <w:r>
              <w:rPr>
                <w:rFonts w:hint="default" w:ascii="Times New Roman" w:hAnsi="Times New Roman" w:cs="Times New Roman"/>
                <w:color w:val="000000" w:themeColor="text1"/>
                <w:sz w:val="24"/>
                <w:szCs w:val="24"/>
                <w:highlight w:val="none"/>
              </w:rPr>
              <w:t>腾冲市“顺颐府”住宅建设项目</w:t>
            </w:r>
            <w:r>
              <w:rPr>
                <w:rFonts w:hint="eastAsia" w:ascii="Times New Roman" w:hAnsi="Times New Roman" w:cs="Times New Roman"/>
                <w:color w:val="000000" w:themeColor="text1"/>
                <w:sz w:val="24"/>
                <w:szCs w:val="24"/>
                <w:highlight w:val="none"/>
                <w:lang w:eastAsia="zh-CN"/>
              </w:rPr>
              <w:t>（</w:t>
            </w:r>
            <w:r>
              <w:rPr>
                <w:rFonts w:hint="eastAsia" w:ascii="Times New Roman" w:hAnsi="Times New Roman" w:cs="Times New Roman"/>
                <w:color w:val="000000" w:themeColor="text1"/>
                <w:sz w:val="24"/>
                <w:szCs w:val="24"/>
                <w:highlight w:val="none"/>
                <w:lang w:val="en-US" w:eastAsia="zh-CN"/>
              </w:rPr>
              <w:t>二期</w:t>
            </w:r>
            <w:r>
              <w:rPr>
                <w:rFonts w:hint="eastAsia" w:ascii="Times New Roman" w:hAnsi="Times New Roman" w:cs="Times New Roman"/>
                <w:color w:val="000000" w:themeColor="text1"/>
                <w:sz w:val="24"/>
                <w:szCs w:val="24"/>
                <w:highlight w:val="none"/>
                <w:lang w:eastAsia="zh-CN"/>
              </w:rPr>
              <w:t>）</w:t>
            </w:r>
            <w:r>
              <w:rPr>
                <w:rFonts w:hint="eastAsia" w:ascii="Times New Roman" w:hAnsi="Times New Roman" w:cs="Times New Roman"/>
                <w:color w:val="000000" w:themeColor="text1"/>
                <w:sz w:val="24"/>
                <w:szCs w:val="24"/>
                <w:highlight w:val="none"/>
                <w:lang w:val="en-US" w:eastAsia="zh-CN"/>
              </w:rPr>
              <w:t>实际入住率为5.76%，</w:t>
            </w:r>
            <w:r>
              <w:rPr>
                <w:rFonts w:hint="eastAsia" w:ascii="Times New Roman" w:hAnsi="Times New Roman" w:cs="Times New Roman"/>
                <w:color w:val="000000" w:themeColor="text1"/>
                <w:sz w:val="24"/>
                <w:highlight w:val="none"/>
                <w:lang w:val="en-US" w:eastAsia="zh-CN"/>
              </w:rPr>
              <w:t>即项目入住户数为16户、约55人。</w:t>
            </w:r>
            <w:r>
              <w:rPr>
                <w:rFonts w:hint="eastAsia" w:ascii="Times New Roman" w:hAnsi="Times New Roman" w:cs="Times New Roman"/>
                <w:color w:val="000000" w:themeColor="text1"/>
                <w:sz w:val="24"/>
                <w:szCs w:val="24"/>
                <w:highlight w:val="none"/>
                <w:lang w:val="en-US" w:eastAsia="zh-CN"/>
              </w:rPr>
              <w:t>根据该</w:t>
            </w:r>
            <w:r>
              <w:rPr>
                <w:rFonts w:hint="default" w:ascii="Times New Roman" w:hAnsi="Times New Roman" w:cs="Times New Roman"/>
                <w:bCs/>
                <w:color w:val="000000" w:themeColor="text1"/>
                <w:sz w:val="24"/>
                <w:highlight w:val="none"/>
              </w:rPr>
              <w:t>项目</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4</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11</w:t>
            </w:r>
            <w:r>
              <w:rPr>
                <w:rFonts w:hint="default" w:ascii="Times New Roman" w:hAnsi="Times New Roman" w:cs="Times New Roman"/>
                <w:color w:val="000000" w:themeColor="text1"/>
                <w:sz w:val="24"/>
                <w:szCs w:val="24"/>
                <w:highlight w:val="none"/>
              </w:rPr>
              <w:t>月份至</w:t>
            </w:r>
            <w:r>
              <w:rPr>
                <w:rFonts w:hint="eastAsia" w:ascii="Times New Roman" w:hAnsi="Times New Roman" w:cs="Times New Roman"/>
                <w:color w:val="000000" w:themeColor="text1"/>
                <w:sz w:val="24"/>
                <w:szCs w:val="24"/>
                <w:highlight w:val="none"/>
                <w:lang w:val="en-US" w:eastAsia="zh-CN"/>
              </w:rPr>
              <w:t>2025年2</w:t>
            </w:r>
            <w:r>
              <w:rPr>
                <w:rFonts w:hint="default" w:ascii="Times New Roman" w:hAnsi="Times New Roman" w:cs="Times New Roman"/>
                <w:color w:val="000000" w:themeColor="text1"/>
                <w:sz w:val="24"/>
                <w:szCs w:val="24"/>
                <w:highlight w:val="none"/>
              </w:rPr>
              <w:t>月份</w:t>
            </w:r>
            <w:r>
              <w:rPr>
                <w:rFonts w:hint="eastAsia" w:ascii="Times New Roman" w:hAnsi="Times New Roman" w:cs="Times New Roman"/>
                <w:color w:val="000000" w:themeColor="text1"/>
                <w:sz w:val="24"/>
                <w:szCs w:val="24"/>
                <w:highlight w:val="none"/>
                <w:lang w:val="en-US" w:eastAsia="zh-CN"/>
              </w:rPr>
              <w:t>用水量说明，</w:t>
            </w:r>
            <w:r>
              <w:rPr>
                <w:rFonts w:hint="default" w:ascii="Times New Roman" w:hAnsi="Times New Roman" w:cs="Times New Roman"/>
                <w:color w:val="000000" w:themeColor="text1"/>
                <w:sz w:val="24"/>
                <w:szCs w:val="24"/>
                <w:highlight w:val="none"/>
              </w:rPr>
              <w:t>参照最大用水量为</w:t>
            </w:r>
            <w:r>
              <w:rPr>
                <w:rFonts w:hint="eastAsia" w:ascii="Times New Roman" w:hAnsi="Times New Roman" w:cs="Times New Roman"/>
                <w:color w:val="000000" w:themeColor="text1"/>
                <w:sz w:val="24"/>
                <w:szCs w:val="24"/>
                <w:highlight w:val="none"/>
                <w:lang w:val="en-US" w:eastAsia="zh-CN"/>
              </w:rPr>
              <w:t>350</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3</w:t>
            </w:r>
            <w:r>
              <w:rPr>
                <w:rFonts w:hint="default" w:ascii="Times New Roman" w:hAnsi="Times New Roman" w:cs="Times New Roman"/>
                <w:color w:val="000000" w:themeColor="text1"/>
                <w:sz w:val="24"/>
                <w:szCs w:val="24"/>
                <w:highlight w:val="none"/>
              </w:rPr>
              <w:t>/月（折算每天用水量为</w:t>
            </w:r>
            <w:r>
              <w:rPr>
                <w:rFonts w:hint="eastAsia" w:ascii="Times New Roman" w:hAnsi="Times New Roman" w:cs="Times New Roman"/>
                <w:color w:val="000000" w:themeColor="text1"/>
                <w:sz w:val="24"/>
                <w:szCs w:val="24"/>
                <w:highlight w:val="none"/>
                <w:lang w:val="en-US" w:eastAsia="zh-CN"/>
              </w:rPr>
              <w:t>12.5</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项目住户用水量约为5.5m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生活污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产生量约4.675</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/d排入化粪池，</w:t>
            </w:r>
            <w:r>
              <w:rPr>
                <w:rFonts w:hint="eastAsia" w:ascii="Times New Roman" w:hAnsi="Times New Roman" w:cs="Times New Roman"/>
                <w:color w:val="000000" w:themeColor="text1"/>
                <w:sz w:val="24"/>
                <w:highlight w:val="none"/>
                <w:lang w:val="en-US" w:eastAsia="zh-CN"/>
              </w:rPr>
              <w:t>满入住率时，项目</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生活污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产生量约81.16</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/d排入化粪池</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项目物管人员约10人，用水量约0.4m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物管人员污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产生量约0.34</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所以</w:t>
            </w:r>
            <w:r>
              <w:rPr>
                <w:rFonts w:hint="default" w:ascii="Times New Roman" w:hAnsi="Times New Roman" w:cs="Times New Roman"/>
                <w:color w:val="000000" w:themeColor="text1"/>
                <w:sz w:val="24"/>
                <w:szCs w:val="24"/>
                <w:highlight w:val="none"/>
              </w:rPr>
              <w:t>腾冲市“顺颐府”住宅建设项目</w:t>
            </w:r>
            <w:r>
              <w:rPr>
                <w:rFonts w:hint="eastAsia" w:ascii="Times New Roman" w:hAnsi="Times New Roman" w:cs="Times New Roman"/>
                <w:color w:val="000000" w:themeColor="text1"/>
                <w:sz w:val="24"/>
                <w:szCs w:val="24"/>
                <w:highlight w:val="none"/>
                <w:lang w:eastAsia="zh-CN"/>
              </w:rPr>
              <w:t>（</w:t>
            </w:r>
            <w:r>
              <w:rPr>
                <w:rFonts w:hint="eastAsia" w:ascii="Times New Roman" w:hAnsi="Times New Roman" w:cs="Times New Roman"/>
                <w:color w:val="000000" w:themeColor="text1"/>
                <w:sz w:val="24"/>
                <w:szCs w:val="24"/>
                <w:highlight w:val="none"/>
                <w:lang w:val="en-US" w:eastAsia="zh-CN"/>
              </w:rPr>
              <w:t>二期</w:t>
            </w:r>
            <w:r>
              <w:rPr>
                <w:rFonts w:hint="eastAsia" w:ascii="Times New Roman" w:hAnsi="Times New Roman" w:cs="Times New Roman"/>
                <w:color w:val="000000" w:themeColor="text1"/>
                <w:sz w:val="24"/>
                <w:szCs w:val="24"/>
                <w:highlight w:val="none"/>
                <w:lang w:eastAsia="zh-CN"/>
              </w:rPr>
              <w:t>）</w:t>
            </w:r>
            <w:r>
              <w:rPr>
                <w:rFonts w:hint="eastAsia" w:ascii="Times New Roman" w:hAnsi="Times New Roman" w:cs="Times New Roman"/>
                <w:color w:val="000000" w:themeColor="text1"/>
                <w:sz w:val="24"/>
                <w:szCs w:val="24"/>
                <w:highlight w:val="none"/>
                <w:lang w:val="en-US" w:eastAsia="zh-CN"/>
              </w:rPr>
              <w:t>满入住率时约有</w:t>
            </w:r>
            <w:r>
              <w:rPr>
                <w:rFonts w:hint="eastAsia" w:ascii="Times New Roman" w:hAnsi="Times New Roman" w:cs="Times New Roman"/>
                <w:color w:val="000000" w:themeColor="text1"/>
                <w:sz w:val="24"/>
                <w:highlight w:val="none"/>
                <w:lang w:val="en-US" w:eastAsia="zh-CN"/>
              </w:rPr>
              <w:t>81.5</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val="en-US" w:eastAsia="zh-CN"/>
              </w:rPr>
              <w:t>的污水排入化粪池。</w:t>
            </w:r>
            <w:r>
              <w:rPr>
                <w:rFonts w:hint="default" w:ascii="Times New Roman" w:hAnsi="Times New Roman" w:cs="Times New Roman"/>
                <w:color w:val="000000" w:themeColor="text1"/>
                <w:sz w:val="24"/>
                <w:szCs w:val="24"/>
                <w:highlight w:val="none"/>
              </w:rPr>
              <w:t>腾冲市“顺颐府”住宅建设项目</w:t>
            </w:r>
            <w:r>
              <w:rPr>
                <w:rFonts w:hint="eastAsia" w:ascii="Times New Roman" w:hAnsi="Times New Roman" w:cs="Times New Roman"/>
                <w:color w:val="000000" w:themeColor="text1"/>
                <w:sz w:val="24"/>
                <w:szCs w:val="24"/>
                <w:highlight w:val="none"/>
                <w:lang w:eastAsia="zh-CN"/>
              </w:rPr>
              <w:t>（</w:t>
            </w:r>
            <w:r>
              <w:rPr>
                <w:rFonts w:hint="eastAsia" w:ascii="Times New Roman" w:hAnsi="Times New Roman" w:cs="Times New Roman"/>
                <w:color w:val="000000" w:themeColor="text1"/>
                <w:sz w:val="24"/>
                <w:szCs w:val="24"/>
                <w:highlight w:val="none"/>
                <w:lang w:val="en-US" w:eastAsia="zh-CN"/>
              </w:rPr>
              <w:t>三期</w:t>
            </w:r>
            <w:r>
              <w:rPr>
                <w:rFonts w:hint="eastAsia" w:ascii="Times New Roman" w:hAnsi="Times New Roman" w:cs="Times New Roman"/>
                <w:color w:val="000000" w:themeColor="text1"/>
                <w:sz w:val="24"/>
                <w:szCs w:val="24"/>
                <w:highlight w:val="none"/>
                <w:lang w:eastAsia="zh-CN"/>
              </w:rPr>
              <w:t>）</w:t>
            </w:r>
            <w:r>
              <w:rPr>
                <w:rFonts w:hint="eastAsia" w:ascii="Times New Roman" w:hAnsi="Times New Roman" w:cs="Times New Roman"/>
                <w:color w:val="000000" w:themeColor="text1"/>
                <w:sz w:val="24"/>
                <w:szCs w:val="24"/>
                <w:highlight w:val="none"/>
                <w:lang w:val="en-US" w:eastAsia="zh-CN"/>
              </w:rPr>
              <w:t>实际入住率为59.12%，</w:t>
            </w:r>
            <w:r>
              <w:rPr>
                <w:rFonts w:hint="eastAsia" w:ascii="Times New Roman" w:hAnsi="Times New Roman" w:cs="Times New Roman"/>
                <w:color w:val="000000" w:themeColor="text1"/>
                <w:sz w:val="24"/>
                <w:highlight w:val="none"/>
                <w:lang w:val="en-US" w:eastAsia="zh-CN"/>
              </w:rPr>
              <w:t>即项目入住户数为94户、约328人。</w:t>
            </w:r>
            <w:r>
              <w:rPr>
                <w:rFonts w:hint="eastAsia" w:ascii="Times New Roman" w:hAnsi="Times New Roman" w:cs="Times New Roman"/>
                <w:color w:val="000000" w:themeColor="text1"/>
                <w:sz w:val="24"/>
                <w:szCs w:val="24"/>
                <w:highlight w:val="none"/>
                <w:lang w:val="en-US" w:eastAsia="zh-CN"/>
              </w:rPr>
              <w:t>根据该</w:t>
            </w:r>
            <w:r>
              <w:rPr>
                <w:rFonts w:hint="default" w:ascii="Times New Roman" w:hAnsi="Times New Roman" w:cs="Times New Roman"/>
                <w:bCs/>
                <w:color w:val="000000" w:themeColor="text1"/>
                <w:sz w:val="24"/>
                <w:highlight w:val="none"/>
              </w:rPr>
              <w:t>项目</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4</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11</w:t>
            </w:r>
            <w:r>
              <w:rPr>
                <w:rFonts w:hint="default" w:ascii="Times New Roman" w:hAnsi="Times New Roman" w:cs="Times New Roman"/>
                <w:color w:val="000000" w:themeColor="text1"/>
                <w:sz w:val="24"/>
                <w:szCs w:val="24"/>
                <w:highlight w:val="none"/>
              </w:rPr>
              <w:t>月份至</w:t>
            </w:r>
            <w:r>
              <w:rPr>
                <w:rFonts w:hint="eastAsia" w:ascii="Times New Roman" w:hAnsi="Times New Roman" w:cs="Times New Roman"/>
                <w:color w:val="000000" w:themeColor="text1"/>
                <w:sz w:val="24"/>
                <w:szCs w:val="24"/>
                <w:highlight w:val="none"/>
                <w:lang w:val="en-US" w:eastAsia="zh-CN"/>
              </w:rPr>
              <w:t>2025年2</w:t>
            </w:r>
            <w:r>
              <w:rPr>
                <w:rFonts w:hint="default" w:ascii="Times New Roman" w:hAnsi="Times New Roman" w:cs="Times New Roman"/>
                <w:color w:val="000000" w:themeColor="text1"/>
                <w:sz w:val="24"/>
                <w:szCs w:val="24"/>
                <w:highlight w:val="none"/>
              </w:rPr>
              <w:t>月份</w:t>
            </w:r>
            <w:r>
              <w:rPr>
                <w:rFonts w:hint="eastAsia" w:ascii="Times New Roman" w:hAnsi="Times New Roman" w:cs="Times New Roman"/>
                <w:color w:val="000000" w:themeColor="text1"/>
                <w:sz w:val="24"/>
                <w:szCs w:val="24"/>
                <w:highlight w:val="none"/>
                <w:lang w:val="en-US" w:eastAsia="zh-CN"/>
              </w:rPr>
              <w:t>用水量说明，</w:t>
            </w:r>
            <w:r>
              <w:rPr>
                <w:rFonts w:hint="default" w:ascii="Times New Roman" w:hAnsi="Times New Roman" w:cs="Times New Roman"/>
                <w:color w:val="000000" w:themeColor="text1"/>
                <w:sz w:val="24"/>
                <w:szCs w:val="24"/>
                <w:highlight w:val="none"/>
              </w:rPr>
              <w:t>参照最大用水量为</w:t>
            </w:r>
            <w:r>
              <w:rPr>
                <w:rFonts w:hint="eastAsia" w:ascii="Times New Roman" w:hAnsi="Times New Roman" w:cs="Times New Roman"/>
                <w:color w:val="000000" w:themeColor="text1"/>
                <w:sz w:val="24"/>
                <w:szCs w:val="24"/>
                <w:highlight w:val="none"/>
                <w:lang w:val="en-US" w:eastAsia="zh-CN"/>
              </w:rPr>
              <w:t>1228</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3</w:t>
            </w:r>
            <w:r>
              <w:rPr>
                <w:rFonts w:hint="default" w:ascii="Times New Roman" w:hAnsi="Times New Roman" w:cs="Times New Roman"/>
                <w:color w:val="000000" w:themeColor="text1"/>
                <w:sz w:val="24"/>
                <w:szCs w:val="24"/>
                <w:highlight w:val="none"/>
              </w:rPr>
              <w:t>/月（折算每天用水量为</w:t>
            </w:r>
            <w:r>
              <w:rPr>
                <w:rFonts w:hint="eastAsia" w:ascii="Times New Roman" w:hAnsi="Times New Roman" w:cs="Times New Roman"/>
                <w:color w:val="000000" w:themeColor="text1"/>
                <w:sz w:val="24"/>
                <w:szCs w:val="24"/>
                <w:highlight w:val="none"/>
                <w:lang w:val="en-US" w:eastAsia="zh-CN"/>
              </w:rPr>
              <w:t>43.86</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项目住户用水量约为32.8m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生活污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产生量约27.88</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val="en-US" w:eastAsia="zh-CN"/>
              </w:rPr>
              <w:t>排入化粪池</w:t>
            </w:r>
            <w:r>
              <w:rPr>
                <w:rFonts w:hint="default" w:ascii="Times New Roman" w:hAnsi="Times New Roman" w:cs="Times New Roman"/>
                <w:color w:val="000000" w:themeColor="text1"/>
                <w:sz w:val="24"/>
                <w:highlight w:val="none"/>
              </w:rPr>
              <w:t>，</w:t>
            </w:r>
            <w:r>
              <w:rPr>
                <w:rFonts w:hint="eastAsia" w:ascii="Times New Roman" w:hAnsi="Times New Roman" w:cs="Times New Roman"/>
                <w:color w:val="000000" w:themeColor="text1"/>
                <w:sz w:val="24"/>
                <w:highlight w:val="none"/>
                <w:lang w:val="en-US" w:eastAsia="zh-CN"/>
              </w:rPr>
              <w:t>满入住率时，项目</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生活污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产生量约47.16</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/d排入化粪池</w:t>
            </w:r>
            <w:r>
              <w:rPr>
                <w:rFonts w:hint="eastAsia" w:ascii="Times New Roman" w:hAnsi="Times New Roman" w:cs="Times New Roman"/>
                <w:color w:val="000000" w:themeColor="text1"/>
                <w:sz w:val="24"/>
                <w:highlight w:val="none"/>
                <w:lang w:eastAsia="zh-CN"/>
              </w:rPr>
              <w:t>。</w:t>
            </w:r>
            <w:r>
              <w:rPr>
                <w:rFonts w:hint="default" w:ascii="Times New Roman" w:hAnsi="Times New Roman" w:cs="Times New Roman"/>
                <w:color w:val="000000" w:themeColor="text1"/>
                <w:sz w:val="24"/>
                <w:szCs w:val="24"/>
                <w:highlight w:val="none"/>
              </w:rPr>
              <w:t>腾冲市“顺颐府”住宅建设项目</w:t>
            </w:r>
            <w:r>
              <w:rPr>
                <w:rFonts w:hint="eastAsia" w:ascii="Times New Roman" w:hAnsi="Times New Roman" w:cs="Times New Roman"/>
                <w:color w:val="000000" w:themeColor="text1"/>
                <w:sz w:val="24"/>
                <w:szCs w:val="24"/>
                <w:highlight w:val="none"/>
                <w:lang w:val="en-US" w:eastAsia="zh-CN"/>
              </w:rPr>
              <w:t>二期、三期共用1个容积为200m</w:t>
            </w:r>
            <w:r>
              <w:rPr>
                <w:rFonts w:hint="eastAsia" w:ascii="Times New Roman" w:hAnsi="Times New Roman" w:cs="Times New Roman"/>
                <w:color w:val="000000" w:themeColor="text1"/>
                <w:sz w:val="24"/>
                <w:szCs w:val="24"/>
                <w:highlight w:val="none"/>
                <w:vertAlign w:val="superscript"/>
                <w:lang w:val="en-US" w:eastAsia="zh-CN"/>
              </w:rPr>
              <w:t>3</w:t>
            </w:r>
            <w:r>
              <w:rPr>
                <w:rFonts w:hint="eastAsia" w:ascii="Times New Roman" w:hAnsi="Times New Roman" w:cs="Times New Roman"/>
                <w:color w:val="000000" w:themeColor="text1"/>
                <w:sz w:val="24"/>
                <w:szCs w:val="24"/>
                <w:highlight w:val="none"/>
                <w:lang w:val="en-US" w:eastAsia="zh-CN"/>
              </w:rPr>
              <w:t>的化粪池，</w:t>
            </w:r>
            <w:r>
              <w:rPr>
                <w:rFonts w:hint="default" w:ascii="Times New Roman" w:hAnsi="Times New Roman" w:cs="Times New Roman"/>
                <w:color w:val="000000" w:themeColor="text1"/>
                <w:sz w:val="24"/>
                <w:szCs w:val="24"/>
                <w:highlight w:val="none"/>
              </w:rPr>
              <w:t>腾冲市“顺颐府”住宅建设项目</w:t>
            </w:r>
            <w:r>
              <w:rPr>
                <w:rFonts w:hint="eastAsia" w:ascii="Times New Roman" w:hAnsi="Times New Roman" w:cs="Times New Roman"/>
                <w:color w:val="000000" w:themeColor="text1"/>
                <w:sz w:val="24"/>
                <w:szCs w:val="24"/>
                <w:highlight w:val="none"/>
                <w:lang w:val="en-US" w:eastAsia="zh-CN"/>
              </w:rPr>
              <w:t>二期、三期污水总量为128.32m</w:t>
            </w:r>
            <w:r>
              <w:rPr>
                <w:rFonts w:hint="eastAsia" w:ascii="Times New Roman" w:hAnsi="Times New Roman" w:cs="Times New Roman"/>
                <w:color w:val="000000" w:themeColor="text1"/>
                <w:sz w:val="24"/>
                <w:szCs w:val="24"/>
                <w:highlight w:val="none"/>
                <w:vertAlign w:val="superscript"/>
                <w:lang w:val="en-US" w:eastAsia="zh-CN"/>
              </w:rPr>
              <w:t>3</w:t>
            </w:r>
            <w:r>
              <w:rPr>
                <w:rFonts w:hint="eastAsia" w:ascii="Times New Roman" w:hAnsi="Times New Roman" w:cs="Times New Roman"/>
                <w:color w:val="000000" w:themeColor="text1"/>
                <w:sz w:val="24"/>
                <w:szCs w:val="24"/>
                <w:highlight w:val="none"/>
                <w:lang w:val="en-US" w:eastAsia="zh-CN"/>
              </w:rPr>
              <w:t>，故</w:t>
            </w:r>
            <w:r>
              <w:rPr>
                <w:rFonts w:hint="default" w:ascii="Times New Roman" w:hAnsi="Times New Roman" w:cs="Times New Roman"/>
                <w:color w:val="000000" w:themeColor="text1"/>
                <w:sz w:val="24"/>
                <w:szCs w:val="24"/>
                <w:highlight w:val="none"/>
              </w:rPr>
              <w:t>腾冲市“顺颐府”住宅建设项目</w:t>
            </w:r>
            <w:r>
              <w:rPr>
                <w:rFonts w:hint="eastAsia" w:ascii="Times New Roman" w:hAnsi="Times New Roman" w:cs="Times New Roman"/>
                <w:color w:val="000000" w:themeColor="text1"/>
                <w:sz w:val="24"/>
                <w:szCs w:val="24"/>
                <w:highlight w:val="none"/>
                <w:lang w:val="en-US" w:eastAsia="zh-CN"/>
              </w:rPr>
              <w:t>二期、三期</w:t>
            </w:r>
            <w:r>
              <w:rPr>
                <w:rFonts w:hint="eastAsia" w:ascii="Times New Roman" w:hAnsi="Times New Roman" w:cs="Times New Roman"/>
                <w:color w:val="000000" w:themeColor="text1"/>
                <w:sz w:val="24"/>
                <w:highlight w:val="none"/>
                <w:lang w:val="en-US" w:eastAsia="zh-CN"/>
              </w:rPr>
              <w:t>化粪池可满足污水处理需要。</w:t>
            </w:r>
            <w:r>
              <w:rPr>
                <w:rFonts w:hint="default" w:ascii="Times New Roman" w:hAnsi="Times New Roman" w:cs="Times New Roman"/>
                <w:color w:val="000000" w:themeColor="text1"/>
                <w:sz w:val="24"/>
                <w:szCs w:val="24"/>
                <w:highlight w:val="none"/>
              </w:rPr>
              <w:t>腾冲市“顺颐府”住宅建设项目</w:t>
            </w:r>
            <w:r>
              <w:rPr>
                <w:rFonts w:hint="eastAsia" w:ascii="Times New Roman" w:hAnsi="Times New Roman" w:cs="Times New Roman"/>
                <w:color w:val="000000" w:themeColor="text1"/>
                <w:sz w:val="24"/>
                <w:szCs w:val="24"/>
                <w:highlight w:val="none"/>
                <w:lang w:val="en-US" w:eastAsia="zh-CN"/>
              </w:rPr>
              <w:t>污水经化粪池处理后</w:t>
            </w:r>
            <w:r>
              <w:rPr>
                <w:rFonts w:hint="default" w:ascii="Times New Roman" w:hAnsi="Times New Roman" w:cs="Times New Roman"/>
                <w:color w:val="000000" w:themeColor="text1"/>
                <w:sz w:val="24"/>
                <w:szCs w:val="24"/>
                <w:highlight w:val="none"/>
              </w:rPr>
              <w:t>再排入</w:t>
            </w:r>
            <w:r>
              <w:rPr>
                <w:rFonts w:hint="eastAsia" w:ascii="Times New Roman" w:hAnsi="Times New Roman" w:cs="Times New Roman"/>
                <w:color w:val="000000" w:themeColor="text1"/>
                <w:sz w:val="24"/>
                <w:szCs w:val="24"/>
                <w:highlight w:val="none"/>
                <w:lang w:val="en-US" w:eastAsia="zh-CN"/>
              </w:rPr>
              <w:t>1个处理能力为384m</w:t>
            </w:r>
            <w:r>
              <w:rPr>
                <w:rFonts w:hint="eastAsia" w:ascii="Times New Roman" w:hAnsi="Times New Roman" w:cs="Times New Roman"/>
                <w:color w:val="000000" w:themeColor="text1"/>
                <w:sz w:val="24"/>
                <w:szCs w:val="24"/>
                <w:highlight w:val="none"/>
                <w:vertAlign w:val="superscript"/>
                <w:lang w:val="en-US" w:eastAsia="zh-CN"/>
              </w:rPr>
              <w:t>3</w:t>
            </w:r>
            <w:r>
              <w:rPr>
                <w:rFonts w:hint="eastAsia" w:ascii="Times New Roman" w:hAnsi="Times New Roman" w:cs="Times New Roman"/>
                <w:color w:val="000000" w:themeColor="text1"/>
                <w:sz w:val="24"/>
                <w:szCs w:val="24"/>
                <w:highlight w:val="none"/>
                <w:lang w:val="en-US" w:eastAsia="zh-CN"/>
              </w:rPr>
              <w:t>/d的污</w:t>
            </w:r>
            <w:r>
              <w:rPr>
                <w:rFonts w:hint="default" w:ascii="Times New Roman" w:hAnsi="Times New Roman" w:cs="Times New Roman"/>
                <w:color w:val="000000" w:themeColor="text1"/>
                <w:sz w:val="24"/>
                <w:szCs w:val="24"/>
                <w:highlight w:val="none"/>
              </w:rPr>
              <w:t>水处理站处理</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腾冲市“顺颐府”住宅建设项目</w:t>
            </w:r>
            <w:r>
              <w:rPr>
                <w:rFonts w:hint="eastAsia" w:ascii="Times New Roman" w:hAnsi="Times New Roman" w:cs="Times New Roman"/>
                <w:color w:val="000000" w:themeColor="text1"/>
                <w:sz w:val="24"/>
                <w:szCs w:val="24"/>
                <w:highlight w:val="none"/>
                <w:lang w:val="en-US" w:eastAsia="zh-CN"/>
              </w:rPr>
              <w:t>污水总量为214.18m</w:t>
            </w:r>
            <w:r>
              <w:rPr>
                <w:rFonts w:hint="eastAsia" w:ascii="Times New Roman" w:hAnsi="Times New Roman" w:cs="Times New Roman"/>
                <w:color w:val="000000" w:themeColor="text1"/>
                <w:sz w:val="24"/>
                <w:szCs w:val="24"/>
                <w:highlight w:val="none"/>
                <w:vertAlign w:val="superscript"/>
                <w:lang w:val="en-US" w:eastAsia="zh-CN"/>
              </w:rPr>
              <w:t>3</w:t>
            </w:r>
            <w:r>
              <w:rPr>
                <w:rFonts w:hint="eastAsia" w:ascii="Times New Roman" w:hAnsi="Times New Roman" w:cs="Times New Roman"/>
                <w:color w:val="000000" w:themeColor="text1"/>
                <w:sz w:val="24"/>
                <w:szCs w:val="24"/>
                <w:highlight w:val="none"/>
                <w:lang w:val="en-US" w:eastAsia="zh-CN"/>
              </w:rPr>
              <w:t>，故</w:t>
            </w:r>
            <w:r>
              <w:rPr>
                <w:rFonts w:hint="default" w:ascii="Times New Roman" w:hAnsi="Times New Roman" w:cs="Times New Roman"/>
                <w:color w:val="000000" w:themeColor="text1"/>
                <w:sz w:val="24"/>
                <w:szCs w:val="24"/>
                <w:highlight w:val="none"/>
              </w:rPr>
              <w:t>腾冲市“顺颐府”住宅建设项目</w:t>
            </w:r>
            <w:r>
              <w:rPr>
                <w:rFonts w:hint="eastAsia" w:ascii="Times New Roman" w:hAnsi="Times New Roman" w:cs="Times New Roman"/>
                <w:color w:val="000000" w:themeColor="text1"/>
                <w:sz w:val="24"/>
                <w:szCs w:val="24"/>
                <w:highlight w:val="none"/>
                <w:lang w:val="en-US" w:eastAsia="zh-CN"/>
              </w:rPr>
              <w:t>污水处理站可满足项目污水处理需要。</w:t>
            </w:r>
          </w:p>
          <w:p w14:paraId="26F38AF5">
            <w:pPr>
              <w:spacing w:line="360" w:lineRule="auto"/>
              <w:ind w:firstLine="480" w:firstLineChars="200"/>
              <w:rPr>
                <w:rFonts w:hint="eastAsia" w:ascii="Times New Roman" w:hAnsi="Times New Roman" w:eastAsia="宋体" w:cs="Times New Roman"/>
                <w:color w:val="000000" w:themeColor="text1"/>
                <w:sz w:val="24"/>
                <w:szCs w:val="24"/>
                <w:highlight w:val="yellow"/>
                <w:lang w:eastAsia="zh-CN"/>
              </w:rPr>
            </w:pPr>
            <w:r>
              <w:rPr>
                <w:rFonts w:hint="default" w:ascii="Times New Roman" w:hAnsi="Times New Roman" w:cs="Times New Roman"/>
                <w:color w:val="000000" w:themeColor="text1"/>
                <w:sz w:val="24"/>
                <w:szCs w:val="24"/>
                <w:highlight w:val="none"/>
              </w:rPr>
              <w:t>本项目</w:t>
            </w: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水主要来源于</w:t>
            </w:r>
            <w:r>
              <w:rPr>
                <w:rFonts w:hint="default" w:ascii="Times New Roman" w:hAnsi="Times New Roman" w:cs="Times New Roman"/>
                <w:bCs/>
                <w:color w:val="000000" w:themeColor="text1"/>
                <w:sz w:val="24"/>
                <w:szCs w:val="24"/>
                <w:highlight w:val="none"/>
              </w:rPr>
              <w:t>居民住户生活</w:t>
            </w:r>
            <w:r>
              <w:rPr>
                <w:rFonts w:hint="eastAsia" w:ascii="Times New Roman" w:hAnsi="Times New Roman" w:cs="Times New Roman"/>
                <w:bCs/>
                <w:color w:val="000000" w:themeColor="text1"/>
                <w:sz w:val="24"/>
                <w:szCs w:val="24"/>
                <w:highlight w:val="none"/>
                <w:lang w:val="en-US" w:eastAsia="zh-CN"/>
              </w:rPr>
              <w:t>污</w:t>
            </w:r>
            <w:r>
              <w:rPr>
                <w:rFonts w:hint="default" w:ascii="Times New Roman" w:hAnsi="Times New Roman" w:cs="Times New Roman"/>
                <w:bCs/>
                <w:color w:val="000000" w:themeColor="text1"/>
                <w:sz w:val="24"/>
                <w:szCs w:val="24"/>
                <w:highlight w:val="none"/>
              </w:rPr>
              <w:t>水</w:t>
            </w:r>
            <w:r>
              <w:rPr>
                <w:rFonts w:hint="default" w:ascii="Times New Roman" w:hAnsi="Times New Roman" w:cs="Times New Roman"/>
                <w:color w:val="000000" w:themeColor="text1"/>
                <w:sz w:val="24"/>
                <w:szCs w:val="24"/>
                <w:highlight w:val="none"/>
              </w:rPr>
              <w:t>；项目用水由市政给水干管供给</w:t>
            </w:r>
            <w:r>
              <w:rPr>
                <w:rFonts w:hint="default" w:ascii="Times New Roman" w:hAnsi="Times New Roman" w:cs="Times New Roman"/>
                <w:bCs/>
                <w:color w:val="000000" w:themeColor="text1"/>
                <w:sz w:val="24"/>
                <w:szCs w:val="24"/>
                <w:highlight w:val="none"/>
              </w:rPr>
              <w:t>。</w:t>
            </w:r>
            <w:r>
              <w:rPr>
                <w:rFonts w:hint="default" w:ascii="Times New Roman" w:hAnsi="Times New Roman" w:cs="Times New Roman"/>
                <w:color w:val="000000" w:themeColor="text1"/>
                <w:sz w:val="24"/>
                <w:szCs w:val="24"/>
                <w:highlight w:val="none"/>
              </w:rPr>
              <w:t>根据本</w:t>
            </w:r>
            <w:r>
              <w:rPr>
                <w:rFonts w:hint="default" w:ascii="Times New Roman" w:hAnsi="Times New Roman" w:cs="Times New Roman"/>
                <w:bCs/>
                <w:color w:val="000000" w:themeColor="text1"/>
                <w:sz w:val="24"/>
                <w:highlight w:val="none"/>
              </w:rPr>
              <w:t>项目</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4</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11</w:t>
            </w:r>
            <w:r>
              <w:rPr>
                <w:rFonts w:hint="default" w:ascii="Times New Roman" w:hAnsi="Times New Roman" w:cs="Times New Roman"/>
                <w:color w:val="000000" w:themeColor="text1"/>
                <w:sz w:val="24"/>
                <w:szCs w:val="24"/>
                <w:highlight w:val="none"/>
              </w:rPr>
              <w:t>月份至</w:t>
            </w:r>
            <w:r>
              <w:rPr>
                <w:rFonts w:hint="eastAsia" w:ascii="Times New Roman" w:hAnsi="Times New Roman" w:cs="Times New Roman"/>
                <w:color w:val="000000" w:themeColor="text1"/>
                <w:sz w:val="24"/>
                <w:szCs w:val="24"/>
                <w:highlight w:val="none"/>
                <w:lang w:val="en-US" w:eastAsia="zh-CN"/>
              </w:rPr>
              <w:t>2025年2</w:t>
            </w:r>
            <w:r>
              <w:rPr>
                <w:rFonts w:hint="default" w:ascii="Times New Roman" w:hAnsi="Times New Roman" w:cs="Times New Roman"/>
                <w:color w:val="000000" w:themeColor="text1"/>
                <w:sz w:val="24"/>
                <w:szCs w:val="24"/>
                <w:highlight w:val="none"/>
              </w:rPr>
              <w:t>月份</w:t>
            </w:r>
            <w:r>
              <w:rPr>
                <w:rFonts w:hint="eastAsia" w:ascii="Times New Roman" w:hAnsi="Times New Roman" w:cs="Times New Roman"/>
                <w:color w:val="000000" w:themeColor="text1"/>
                <w:sz w:val="24"/>
                <w:szCs w:val="24"/>
                <w:highlight w:val="none"/>
                <w:lang w:val="en-US" w:eastAsia="zh-CN"/>
              </w:rPr>
              <w:t>用水量说明</w:t>
            </w:r>
            <w:r>
              <w:rPr>
                <w:rFonts w:hint="default" w:ascii="Times New Roman" w:hAnsi="Times New Roman" w:cs="Times New Roman"/>
                <w:color w:val="000000" w:themeColor="text1"/>
                <w:sz w:val="24"/>
                <w:szCs w:val="24"/>
                <w:highlight w:val="none"/>
              </w:rPr>
              <w:t>，本次验收参照最大用水量为</w:t>
            </w:r>
            <w:r>
              <w:rPr>
                <w:rFonts w:hint="eastAsia" w:ascii="Times New Roman" w:hAnsi="Times New Roman" w:cs="Times New Roman"/>
                <w:color w:val="000000" w:themeColor="text1"/>
                <w:sz w:val="24"/>
                <w:szCs w:val="24"/>
                <w:highlight w:val="none"/>
                <w:lang w:val="en-US" w:eastAsia="zh-CN"/>
              </w:rPr>
              <w:t>497</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3</w:t>
            </w:r>
            <w:r>
              <w:rPr>
                <w:rFonts w:hint="default" w:ascii="Times New Roman" w:hAnsi="Times New Roman" w:cs="Times New Roman"/>
                <w:color w:val="000000" w:themeColor="text1"/>
                <w:sz w:val="24"/>
                <w:szCs w:val="24"/>
                <w:highlight w:val="none"/>
              </w:rPr>
              <w:t>/月（折算每天用水量为</w:t>
            </w:r>
            <w:r>
              <w:rPr>
                <w:rFonts w:hint="eastAsia" w:ascii="Times New Roman" w:hAnsi="Times New Roman" w:cs="Times New Roman"/>
                <w:color w:val="000000" w:themeColor="text1"/>
                <w:sz w:val="24"/>
                <w:szCs w:val="24"/>
                <w:highlight w:val="none"/>
                <w:lang w:val="en-US" w:eastAsia="zh-CN"/>
              </w:rPr>
              <w:t>16.03</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val="en-US" w:eastAsia="zh-CN"/>
              </w:rPr>
              <w:t>项目入住率为9.9%，即项目入住户数为28户、约100人。项目住户用水量约为10m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生活污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产生量约8.5</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/d排入化粪池，</w:t>
            </w:r>
            <w:r>
              <w:rPr>
                <w:rFonts w:hint="default" w:ascii="Times New Roman" w:hAnsi="Times New Roman" w:cs="Times New Roman"/>
                <w:color w:val="000000" w:themeColor="text1"/>
                <w:sz w:val="24"/>
                <w:szCs w:val="24"/>
                <w:highlight w:val="none"/>
              </w:rPr>
              <w:t>再排入</w:t>
            </w: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水处理站处理达到《城市污水再生利用</w:t>
            </w:r>
            <w:r>
              <w:rPr>
                <w:rFonts w:hint="default" w:ascii="Times New Roman" w:hAnsi="Times New Roman" w:cs="Times New Roman"/>
                <w:color w:val="000000" w:themeColor="text1"/>
                <w:sz w:val="24"/>
                <w:szCs w:val="24"/>
                <w:highlight w:val="none"/>
                <w:lang w:val="en-US" w:eastAsia="zh-CN"/>
              </w:rPr>
              <w:t xml:space="preserve"> </w:t>
            </w:r>
            <w:r>
              <w:rPr>
                <w:rFonts w:hint="default" w:ascii="Times New Roman" w:hAnsi="Times New Roman" w:cs="Times New Roman"/>
                <w:color w:val="000000" w:themeColor="text1"/>
                <w:sz w:val="24"/>
                <w:szCs w:val="24"/>
                <w:highlight w:val="none"/>
              </w:rPr>
              <w:t>城市杂用水水质》（GB/T18920-20</w:t>
            </w:r>
            <w:r>
              <w:rPr>
                <w:rFonts w:hint="default" w:ascii="Times New Roman" w:hAnsi="Times New Roman" w:cs="Times New Roman"/>
                <w:color w:val="000000" w:themeColor="text1"/>
                <w:sz w:val="24"/>
                <w:szCs w:val="24"/>
                <w:highlight w:val="none"/>
                <w:lang w:val="en-US" w:eastAsia="zh-CN"/>
              </w:rPr>
              <w:t>20</w:t>
            </w:r>
            <w:r>
              <w:rPr>
                <w:rFonts w:hint="default" w:ascii="Times New Roman" w:hAnsi="Times New Roman" w:cs="Times New Roman"/>
                <w:color w:val="000000" w:themeColor="text1"/>
                <w:sz w:val="24"/>
                <w:szCs w:val="24"/>
                <w:highlight w:val="none"/>
              </w:rPr>
              <w:t>）城市绿化水质标准及《城镇污水处理厂污染物排放标准》（GB18918-2002）一级A标准，</w:t>
            </w:r>
            <w:r>
              <w:rPr>
                <w:rFonts w:hint="eastAsia" w:ascii="Times New Roman" w:hAnsi="Times New Roman" w:cs="Times New Roman"/>
                <w:color w:val="000000" w:themeColor="text1"/>
                <w:sz w:val="24"/>
                <w:szCs w:val="24"/>
                <w:highlight w:val="none"/>
                <w:lang w:val="en-US" w:eastAsia="zh-CN"/>
              </w:rPr>
              <w:t>处理达标后</w:t>
            </w:r>
            <w:r>
              <w:rPr>
                <w:rFonts w:hint="default" w:ascii="Times New Roman" w:hAnsi="Times New Roman" w:cs="Times New Roman"/>
                <w:color w:val="000000" w:themeColor="text1"/>
                <w:sz w:val="24"/>
                <w:szCs w:val="24"/>
                <w:highlight w:val="none"/>
              </w:rPr>
              <w:t>排入市政污水管网，最终排入腾冲市污水处理厂。</w:t>
            </w:r>
            <w:r>
              <w:rPr>
                <w:rFonts w:hint="eastAsia" w:ascii="Times New Roman" w:hAnsi="Times New Roman" w:cs="Times New Roman"/>
                <w:color w:val="000000" w:themeColor="text1"/>
                <w:sz w:val="24"/>
                <w:szCs w:val="24"/>
                <w:highlight w:val="none"/>
                <w:lang w:val="en-US" w:eastAsia="zh-CN"/>
              </w:rPr>
              <w:t>项目绿化用水约6.03</w:t>
            </w:r>
            <w:r>
              <w:rPr>
                <w:rFonts w:hint="eastAsia" w:ascii="Times New Roman" w:hAnsi="Times New Roman" w:cs="Times New Roman"/>
                <w:color w:val="000000" w:themeColor="text1"/>
                <w:sz w:val="24"/>
                <w:highlight w:val="none"/>
                <w:lang w:val="en-US" w:eastAsia="zh-CN"/>
              </w:rPr>
              <w:t>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szCs w:val="24"/>
                <w:highlight w:val="none"/>
              </w:rPr>
              <w:t>项目水量平衡见图2-1。</w:t>
            </w:r>
          </w:p>
          <w:p w14:paraId="53061402">
            <w:pPr>
              <w:spacing w:line="360" w:lineRule="auto"/>
              <w:jc w:val="left"/>
              <w:rPr>
                <w:rFonts w:hint="default" w:ascii="Times New Roman" w:hAnsi="Times New Roman" w:cs="Times New Roman"/>
                <w:b/>
                <w:color w:val="000000" w:themeColor="text1"/>
                <w:sz w:val="24"/>
                <w:szCs w:val="24"/>
                <w:highlight w:val="none"/>
              </w:rPr>
            </w:pPr>
            <w:r>
              <w:rPr>
                <w:rFonts w:hint="default" w:ascii="Times New Roman" w:hAnsi="Times New Roman" w:cs="Times New Roman"/>
                <w:color w:val="000000" w:themeColor="text1"/>
                <w:highlight w:val="none"/>
              </w:rPr>
              <w:object>
                <v:shape id="_x0000_i1025" o:spt="75" type="#_x0000_t75" style="height:206.6pt;width:446.4pt;" o:ole="t" filled="f" o:preferrelative="t" stroked="f" coordsize="21600,21600">
                  <v:path/>
                  <v:fill on="f" focussize="0,0"/>
                  <v:stroke on="f"/>
                  <v:imagedata r:id="rId12" o:title=""/>
                  <o:lock v:ext="edit" aspectratio="t"/>
                  <w10:wrap type="none"/>
                  <w10:anchorlock/>
                </v:shape>
                <o:OLEObject Type="Embed" ProgID="Visio.Drawing.11" ShapeID="_x0000_i1025" DrawAspect="Content" ObjectID="_1468075725" r:id="rId11">
                  <o:LockedField>false</o:LockedField>
                </o:OLEObject>
              </w:object>
            </w:r>
          </w:p>
          <w:p w14:paraId="602513C9">
            <w:pPr>
              <w:spacing w:line="360" w:lineRule="auto"/>
              <w:ind w:firstLine="482" w:firstLineChars="200"/>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图2-1  项目水量平衡图（单位：m</w:t>
            </w:r>
            <w:r>
              <w:rPr>
                <w:rFonts w:hint="default" w:ascii="Times New Roman" w:hAnsi="Times New Roman" w:cs="Times New Roman"/>
                <w:b/>
                <w:color w:val="000000" w:themeColor="text1"/>
                <w:sz w:val="24"/>
                <w:szCs w:val="24"/>
                <w:highlight w:val="none"/>
                <w:vertAlign w:val="superscript"/>
              </w:rPr>
              <w:t>3</w:t>
            </w:r>
            <w:r>
              <w:rPr>
                <w:rFonts w:hint="default" w:ascii="Times New Roman" w:hAnsi="Times New Roman" w:cs="Times New Roman"/>
                <w:b/>
                <w:color w:val="000000" w:themeColor="text1"/>
                <w:sz w:val="24"/>
                <w:szCs w:val="24"/>
                <w:highlight w:val="none"/>
              </w:rPr>
              <w:t>/d）</w:t>
            </w:r>
          </w:p>
          <w:p w14:paraId="66D26DA6">
            <w:pPr>
              <w:spacing w:line="360" w:lineRule="auto"/>
              <w:ind w:firstLine="482" w:firstLineChars="200"/>
              <w:jc w:val="center"/>
              <w:rPr>
                <w:rFonts w:hint="default" w:ascii="Times New Roman" w:hAnsi="Times New Roman" w:cs="Times New Roman"/>
                <w:b/>
                <w:color w:val="000000" w:themeColor="text1"/>
                <w:sz w:val="24"/>
                <w:szCs w:val="24"/>
                <w:highlight w:val="none"/>
              </w:rPr>
            </w:pPr>
          </w:p>
          <w:p w14:paraId="09FEF56D">
            <w:pPr>
              <w:spacing w:line="360" w:lineRule="auto"/>
              <w:ind w:firstLine="482" w:firstLineChars="200"/>
              <w:jc w:val="center"/>
              <w:rPr>
                <w:rFonts w:hint="default" w:ascii="Times New Roman" w:hAnsi="Times New Roman" w:cs="Times New Roman"/>
                <w:b/>
                <w:color w:val="000000" w:themeColor="text1"/>
                <w:sz w:val="24"/>
                <w:szCs w:val="24"/>
                <w:highlight w:val="none"/>
              </w:rPr>
            </w:pPr>
          </w:p>
        </w:tc>
      </w:tr>
      <w:tr w14:paraId="4B05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45" w:type="dxa"/>
            <w:vAlign w:val="center"/>
          </w:tcPr>
          <w:p w14:paraId="6B829E6D">
            <w:pPr>
              <w:spacing w:line="360" w:lineRule="auto"/>
              <w:rPr>
                <w:rFonts w:hint="default" w:ascii="Times New Roman" w:hAnsi="Times New Roman" w:cs="Times New Roman"/>
                <w:b/>
                <w:color w:val="000000" w:themeColor="text1"/>
                <w:sz w:val="28"/>
                <w:szCs w:val="28"/>
              </w:rPr>
            </w:pPr>
            <w:bookmarkStart w:id="17" w:name="_Toc527116043"/>
            <w:r>
              <w:rPr>
                <w:rFonts w:hint="default" w:ascii="Times New Roman" w:hAnsi="Times New Roman" w:cs="Times New Roman"/>
                <w:b/>
                <w:color w:val="000000" w:themeColor="text1"/>
                <w:sz w:val="28"/>
                <w:szCs w:val="28"/>
              </w:rPr>
              <w:t>主要工艺流程及产污环节（附处理工艺流程图，标出产污节点）：</w:t>
            </w:r>
          </w:p>
          <w:p w14:paraId="7E79710F">
            <w:pPr>
              <w:numPr>
                <w:ilvl w:val="0"/>
                <w:numId w:val="3"/>
              </w:num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项目污水处理工艺</w:t>
            </w:r>
          </w:p>
          <w:p w14:paraId="04079F22">
            <w:pPr>
              <w:adjustRightInd w:val="0"/>
              <w:snapToGrid w:val="0"/>
              <w:spacing w:line="360" w:lineRule="auto"/>
              <w:ind w:firstLine="480" w:firstLineChars="20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本项目</w:t>
            </w:r>
            <w:r>
              <w:rPr>
                <w:rFonts w:hint="default" w:ascii="Times New Roman" w:hAnsi="Times New Roman" w:cs="Times New Roman"/>
                <w:color w:val="000000" w:themeColor="text1"/>
                <w:sz w:val="24"/>
              </w:rPr>
              <w:t>于项目区</w:t>
            </w:r>
            <w:r>
              <w:rPr>
                <w:rFonts w:hint="eastAsia" w:ascii="Times New Roman" w:hAnsi="Times New Roman" w:cs="Times New Roman"/>
                <w:color w:val="000000" w:themeColor="text1"/>
                <w:sz w:val="24"/>
                <w:lang w:val="en-US" w:eastAsia="zh-CN"/>
              </w:rPr>
              <w:t>东</w:t>
            </w:r>
            <w:r>
              <w:rPr>
                <w:rFonts w:hint="default" w:ascii="Times New Roman" w:hAnsi="Times New Roman" w:cs="Times New Roman"/>
                <w:color w:val="000000" w:themeColor="text1"/>
                <w:sz w:val="24"/>
                <w:szCs w:val="24"/>
              </w:rPr>
              <w:t>南侧设1</w:t>
            </w:r>
            <w:r>
              <w:rPr>
                <w:rFonts w:hint="eastAsia" w:ascii="Times New Roman" w:hAnsi="Times New Roman" w:cs="Times New Roman"/>
                <w:color w:val="000000" w:themeColor="text1"/>
                <w:sz w:val="24"/>
                <w:szCs w:val="24"/>
                <w:lang w:eastAsia="zh-CN"/>
              </w:rPr>
              <w:t>座</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水处理站，具体内容如下：</w:t>
            </w:r>
          </w:p>
          <w:p w14:paraId="6435A164">
            <w:pPr>
              <w:adjustRightInd w:val="0"/>
              <w:snapToGrid w:val="0"/>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水处理站占地面积为</w:t>
            </w:r>
            <w:r>
              <w:rPr>
                <w:rFonts w:hint="eastAsia" w:ascii="Times New Roman" w:hAnsi="Times New Roman" w:cs="Times New Roman"/>
                <w:color w:val="000000" w:themeColor="text1"/>
                <w:sz w:val="24"/>
                <w:szCs w:val="24"/>
                <w:highlight w:val="none"/>
                <w:lang w:val="en-US" w:eastAsia="zh-CN"/>
              </w:rPr>
              <w:t>220</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2</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水处理站处理规模为</w:t>
            </w:r>
            <w:r>
              <w:rPr>
                <w:rFonts w:hint="eastAsia" w:ascii="Times New Roman" w:hAnsi="Times New Roman" w:cs="Times New Roman"/>
                <w:color w:val="000000" w:themeColor="text1"/>
                <w:sz w:val="24"/>
                <w:szCs w:val="24"/>
                <w:lang w:val="en-US" w:eastAsia="zh-CN"/>
              </w:rPr>
              <w:t>384</w:t>
            </w:r>
            <w:r>
              <w:rPr>
                <w:rFonts w:hint="default" w:ascii="Times New Roman" w:hAnsi="Times New Roman" w:cs="Times New Roman"/>
                <w:color w:val="000000" w:themeColor="text1"/>
                <w:sz w:val="24"/>
                <w:szCs w:val="24"/>
              </w:rPr>
              <w:t>m</w:t>
            </w:r>
            <w:r>
              <w:rPr>
                <w:rFonts w:hint="default" w:ascii="Times New Roman" w:hAnsi="Times New Roman" w:cs="Times New Roman"/>
                <w:color w:val="000000" w:themeColor="text1"/>
                <w:sz w:val="24"/>
                <w:szCs w:val="24"/>
                <w:vertAlign w:val="superscript"/>
              </w:rPr>
              <w:t>3</w:t>
            </w:r>
            <w:r>
              <w:rPr>
                <w:rFonts w:hint="default" w:ascii="Times New Roman" w:hAnsi="Times New Roman" w:cs="Times New Roman"/>
                <w:color w:val="000000" w:themeColor="text1"/>
                <w:sz w:val="24"/>
                <w:szCs w:val="24"/>
              </w:rPr>
              <w:t>/d，</w:t>
            </w:r>
            <w:r>
              <w:rPr>
                <w:rFonts w:hint="default" w:ascii="Times New Roman" w:hAnsi="Times New Roman" w:cs="Times New Roman"/>
                <w:color w:val="000000" w:themeColor="text1"/>
                <w:sz w:val="24"/>
                <w:szCs w:val="24"/>
                <w:highlight w:val="none"/>
              </w:rPr>
              <w:t>采用预处理+厌氧+两级接触氧化+沉淀+过滤+消毒工艺</w:t>
            </w:r>
            <w:r>
              <w:rPr>
                <w:rStyle w:val="83"/>
                <w:rFonts w:hint="default" w:ascii="Times New Roman" w:hAnsi="Times New Roman" w:cs="Times New Roman"/>
                <w:color w:val="000000" w:themeColor="text1"/>
                <w:sz w:val="24"/>
                <w:highlight w:val="none"/>
              </w:rPr>
              <w:t>。</w:t>
            </w:r>
            <w:r>
              <w:rPr>
                <w:rFonts w:hint="default" w:ascii="Times New Roman" w:hAnsi="Times New Roman" w:cs="Times New Roman"/>
                <w:color w:val="000000" w:themeColor="text1"/>
                <w:sz w:val="24"/>
                <w:szCs w:val="24"/>
              </w:rPr>
              <w:t>出水水质执行《城市污水再生利用 城市杂用水水质》（GB/T18920-2020）城市绿化水质标准和《城镇污水处理厂污染物排放标准》（GB18918-2002）一级A标准</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水处理站主要建设有调节池、</w:t>
            </w:r>
            <w:r>
              <w:rPr>
                <w:rFonts w:hint="eastAsia" w:ascii="Times New Roman" w:hAnsi="Times New Roman" w:cs="Times New Roman"/>
                <w:color w:val="000000" w:themeColor="text1"/>
                <w:sz w:val="24"/>
                <w:szCs w:val="24"/>
                <w:highlight w:val="none"/>
                <w:lang w:val="en-US" w:eastAsia="zh-CN"/>
              </w:rPr>
              <w:t>厌氧</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接触氧化</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沉淀池</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中间水池</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过滤</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清水</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污泥池</w:t>
            </w:r>
            <w:r>
              <w:rPr>
                <w:rFonts w:hint="default" w:ascii="Times New Roman" w:hAnsi="Times New Roman" w:cs="Times New Roman"/>
                <w:color w:val="000000" w:themeColor="text1"/>
                <w:sz w:val="24"/>
                <w:szCs w:val="24"/>
                <w:highlight w:val="none"/>
              </w:rPr>
              <w:t>等，</w:t>
            </w:r>
            <w:r>
              <w:rPr>
                <w:rFonts w:hint="default" w:ascii="Times New Roman" w:hAnsi="Times New Roman" w:cs="Times New Roman"/>
                <w:color w:val="000000" w:themeColor="text1"/>
                <w:sz w:val="24"/>
                <w:szCs w:val="24"/>
              </w:rPr>
              <w:t>工艺流程图见图2-</w:t>
            </w:r>
            <w:r>
              <w:rPr>
                <w:rFonts w:hint="eastAsia"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rPr>
              <w:t>。</w:t>
            </w:r>
          </w:p>
          <w:p w14:paraId="590654B7">
            <w:pPr>
              <w:adjustRightInd w:val="0"/>
              <w:snapToGrid w:val="0"/>
              <w:spacing w:line="360" w:lineRule="auto"/>
              <w:ind w:firstLine="420" w:firstLineChars="200"/>
              <w:rPr>
                <w:rFonts w:hint="default" w:ascii="Times New Roman" w:hAnsi="Times New Roman" w:cs="Times New Roman"/>
                <w:color w:val="000000" w:themeColor="text1"/>
                <w:sz w:val="24"/>
                <w:szCs w:val="24"/>
              </w:rPr>
            </w:pPr>
            <w:r>
              <w:rPr>
                <w:rFonts w:hint="eastAsia" w:ascii="宋体" w:hAnsi="宋体" w:cs="宋体"/>
                <w:color w:val="000000" w:themeColor="text1"/>
              </w:rPr>
              <w:pict>
                <v:group id="_x0000_s2090" o:spid="_x0000_s2090" o:spt="203" style="height:395.2pt;width:415.6pt;" coordsize="5278120,5019038" editas="canvas">
                  <o:lock v:ext="edit"/>
                  <v:shape id="_x0000_s2091" o:spid="_x0000_s2091" o:spt="75" type="#_x0000_t75" style="position:absolute;left:0;top:0;height:5019038;width:5278120;" filled="f" stroked="f" coordsize="21600,21600">
                    <v:path/>
                    <v:fill on="f" focussize="0,0"/>
                    <v:stroke on="f"/>
                    <v:imagedata o:title=""/>
                    <o:lock v:ext="edit" rotation="t" aspectratio="f"/>
                  </v:shape>
                  <v:roundrect id="_x0000_s2092" o:spid="_x0000_s2092" o:spt="2" style="position:absolute;left:2046605;top:270510;height:314960;width:1095375;" filled="f" stroked="f" coordsize="21600,21600" arcsize="0.166666666666667">
                    <v:path/>
                    <v:fill on="f" focussize="0,0"/>
                    <v:stroke on="f" weight="1.25pt"/>
                    <v:imagedata o:title=""/>
                    <o:lock v:ext="edit" aspectratio="f"/>
                    <v:textbox>
                      <w:txbxContent>
                        <w:p w14:paraId="38E2DB8A">
                          <w:pPr>
                            <w:jc w:val="center"/>
                            <w:rPr>
                              <w:rFonts w:hint="eastAsia"/>
                              <w:sz w:val="24"/>
                            </w:rPr>
                          </w:pPr>
                          <w:r>
                            <w:rPr>
                              <w:rFonts w:hint="eastAsia"/>
                              <w:sz w:val="24"/>
                            </w:rPr>
                            <w:t>化粪池来水</w:t>
                          </w:r>
                        </w:p>
                      </w:txbxContent>
                    </v:textbox>
                  </v:roundrect>
                  <v:roundrect id="_x0000_s2093" o:spid="_x0000_s2093" o:spt="2" style="position:absolute;left:2141855;top:861695;height:304800;width:901700;" filled="f" stroked="t" coordsize="21600,21600" arcsize="0.166666666666667">
                    <v:path/>
                    <v:fill on="f" focussize="0,0"/>
                    <v:stroke weight="1.25pt" color="#739CC3"/>
                    <v:imagedata o:title=""/>
                    <o:lock v:ext="edit" aspectratio="f"/>
                    <v:textbox>
                      <w:txbxContent>
                        <w:p w14:paraId="39C09061">
                          <w:pPr>
                            <w:jc w:val="center"/>
                            <w:rPr>
                              <w:rFonts w:hint="eastAsia"/>
                              <w:sz w:val="24"/>
                            </w:rPr>
                          </w:pPr>
                          <w:r>
                            <w:rPr>
                              <w:rFonts w:hint="eastAsia"/>
                              <w:sz w:val="24"/>
                            </w:rPr>
                            <w:t>调节池</w:t>
                          </w:r>
                        </w:p>
                      </w:txbxContent>
                    </v:textbox>
                  </v:roundrect>
                  <v:roundrect id="_x0000_s2094" o:spid="_x0000_s2094" o:spt="2" style="position:absolute;left:2141855;top:1414780;height:304800;width:901700;" filled="f" stroked="t" coordsize="21600,21600" arcsize="0.166666666666667">
                    <v:path/>
                    <v:fill on="f" focussize="0,0"/>
                    <v:stroke weight="1.25pt" color="#739CC3"/>
                    <v:imagedata o:title=""/>
                    <o:lock v:ext="edit" aspectratio="f"/>
                    <v:textbox>
                      <w:txbxContent>
                        <w:p w14:paraId="6032F45E">
                          <w:pPr>
                            <w:jc w:val="center"/>
                            <w:rPr>
                              <w:rFonts w:hint="eastAsia"/>
                              <w:sz w:val="24"/>
                            </w:rPr>
                          </w:pPr>
                          <w:r>
                            <w:rPr>
                              <w:rFonts w:hint="eastAsia"/>
                              <w:sz w:val="24"/>
                            </w:rPr>
                            <w:t>厌氧池</w:t>
                          </w:r>
                        </w:p>
                      </w:txbxContent>
                    </v:textbox>
                  </v:roundrect>
                  <v:roundrect id="_x0000_s2095" o:spid="_x0000_s2095" o:spt="2" style="position:absolute;left:2065655;top:1986915;height:304800;width:1053465;" filled="f" stroked="t" coordsize="21600,21600" arcsize="0.166666666666667">
                    <v:path/>
                    <v:fill on="f" focussize="0,0"/>
                    <v:stroke weight="1.25pt" color="#739CC3"/>
                    <v:imagedata o:title=""/>
                    <o:lock v:ext="edit" aspectratio="f"/>
                    <v:textbox>
                      <w:txbxContent>
                        <w:p w14:paraId="022C89DB">
                          <w:pPr>
                            <w:jc w:val="center"/>
                            <w:rPr>
                              <w:rFonts w:hint="eastAsia"/>
                              <w:sz w:val="24"/>
                            </w:rPr>
                          </w:pPr>
                          <w:r>
                            <w:rPr>
                              <w:rFonts w:hint="eastAsia"/>
                              <w:sz w:val="24"/>
                            </w:rPr>
                            <w:t>接触氧化池</w:t>
                          </w:r>
                        </w:p>
                      </w:txbxContent>
                    </v:textbox>
                  </v:roundrect>
                  <v:roundrect id="_x0000_s2096" o:spid="_x0000_s2096" o:spt="2" style="position:absolute;left:2227580;top:2520950;height:304800;width:717550;" filled="f" stroked="t" coordsize="21600,21600" arcsize="0.166666666666667">
                    <v:path/>
                    <v:fill on="f" focussize="0,0"/>
                    <v:stroke weight="1.25pt" color="#739CC3"/>
                    <v:imagedata o:title=""/>
                    <o:lock v:ext="edit" aspectratio="f"/>
                    <v:textbox>
                      <w:txbxContent>
                        <w:p w14:paraId="6A8D56E2">
                          <w:pPr>
                            <w:jc w:val="center"/>
                            <w:rPr>
                              <w:rFonts w:hint="eastAsia"/>
                              <w:sz w:val="24"/>
                            </w:rPr>
                          </w:pPr>
                          <w:r>
                            <w:rPr>
                              <w:rFonts w:hint="eastAsia"/>
                              <w:sz w:val="24"/>
                            </w:rPr>
                            <w:t>沉淀池</w:t>
                          </w:r>
                        </w:p>
                      </w:txbxContent>
                    </v:textbox>
                  </v:roundrect>
                  <v:roundrect id="_x0000_s2097" o:spid="_x0000_s2097" o:spt="2" style="position:absolute;left:2113280;top:3064510;height:304800;width:939165;" filled="f" stroked="t" coordsize="21600,21600" arcsize="0.166666666666667">
                    <v:path/>
                    <v:fill on="f" focussize="0,0"/>
                    <v:stroke weight="1.25pt" color="#739CC3"/>
                    <v:imagedata o:title=""/>
                    <o:lock v:ext="edit" aspectratio="f"/>
                    <v:textbox>
                      <w:txbxContent>
                        <w:p w14:paraId="70939DCC">
                          <w:pPr>
                            <w:jc w:val="center"/>
                            <w:rPr>
                              <w:rFonts w:hint="eastAsia"/>
                              <w:sz w:val="24"/>
                            </w:rPr>
                          </w:pPr>
                          <w:r>
                            <w:rPr>
                              <w:rFonts w:hint="eastAsia"/>
                              <w:sz w:val="24"/>
                            </w:rPr>
                            <w:t>中间水池</w:t>
                          </w:r>
                        </w:p>
                      </w:txbxContent>
                    </v:textbox>
                  </v:roundrect>
                  <v:roundrect id="_x0000_s2098" o:spid="_x0000_s2098" o:spt="2" style="position:absolute;left:2179955;top:3636645;height:304800;width:803910;" filled="f" stroked="t" coordsize="21600,21600" arcsize="0.166666666666667">
                    <v:path/>
                    <v:fill on="f" focussize="0,0"/>
                    <v:stroke weight="1.25pt" color="#739CC3"/>
                    <v:imagedata o:title=""/>
                    <o:lock v:ext="edit" aspectratio="f"/>
                    <v:textbox>
                      <w:txbxContent>
                        <w:p w14:paraId="5A70544F">
                          <w:pPr>
                            <w:jc w:val="center"/>
                            <w:rPr>
                              <w:rFonts w:hint="eastAsia"/>
                              <w:sz w:val="24"/>
                            </w:rPr>
                          </w:pPr>
                          <w:r>
                            <w:rPr>
                              <w:rFonts w:hint="eastAsia"/>
                              <w:sz w:val="24"/>
                            </w:rPr>
                            <w:t>过滤池</w:t>
                          </w:r>
                        </w:p>
                      </w:txbxContent>
                    </v:textbox>
                  </v:roundrect>
                  <v:roundrect id="_x0000_s2099" o:spid="_x0000_s2099" o:spt="2" style="position:absolute;left:2179955;top:4170680;height:304800;width:800100;" filled="f" stroked="t" coordsize="21600,21600" arcsize="0.166666666666667">
                    <v:path/>
                    <v:fill on="f" focussize="0,0"/>
                    <v:stroke weight="1.25pt" color="#739CC3"/>
                    <v:imagedata o:title=""/>
                    <o:lock v:ext="edit" aspectratio="f"/>
                    <v:textbox>
                      <w:txbxContent>
                        <w:p w14:paraId="640A4931">
                          <w:pPr>
                            <w:jc w:val="center"/>
                            <w:rPr>
                              <w:rFonts w:hint="eastAsia"/>
                              <w:sz w:val="24"/>
                            </w:rPr>
                          </w:pPr>
                          <w:r>
                            <w:rPr>
                              <w:rFonts w:hint="eastAsia"/>
                              <w:sz w:val="24"/>
                            </w:rPr>
                            <w:t>清水池</w:t>
                          </w:r>
                        </w:p>
                      </w:txbxContent>
                    </v:textbox>
                  </v:roundrect>
                  <v:roundrect id="_x0000_s2100" o:spid="_x0000_s2100" o:spt="2" style="position:absolute;left:2179955;top:4752340;height:304800;width:800100;" filled="f" stroked="f" coordsize="21600,21600" arcsize="0.166666666666667">
                    <v:path/>
                    <v:fill on="f" focussize="0,0"/>
                    <v:stroke on="f" weight="1.25pt"/>
                    <v:imagedata o:title=""/>
                    <o:lock v:ext="edit" aspectratio="f"/>
                    <v:textbox>
                      <w:txbxContent>
                        <w:p w14:paraId="0F680904">
                          <w:pPr>
                            <w:jc w:val="center"/>
                            <w:rPr>
                              <w:rFonts w:hint="eastAsia"/>
                              <w:sz w:val="24"/>
                            </w:rPr>
                          </w:pPr>
                          <w:r>
                            <w:rPr>
                              <w:rFonts w:hint="eastAsia"/>
                              <w:sz w:val="24"/>
                            </w:rPr>
                            <w:t>外排</w:t>
                          </w:r>
                        </w:p>
                      </w:txbxContent>
                    </v:textbox>
                  </v:roundrect>
                  <v:shape id="_x0000_s2101" o:spid="_x0000_s2101" o:spt="32" type="#_x0000_t32" style="position:absolute;left:2592705;top:585470;flip:x;height:276225;width:1270;" filled="f" stroked="t" coordsize="21600,21600">
                    <v:path arrowok="t"/>
                    <v:fill on="f" focussize="0,0"/>
                    <v:stroke weight="1.25pt" color="#739CC3" endarrow="open"/>
                    <v:imagedata o:title=""/>
                    <o:lock v:ext="edit" aspectratio="f"/>
                  </v:shape>
                  <v:shape id="_x0000_s2102" o:spid="_x0000_s2102" o:spt="32" type="#_x0000_t32" style="position:absolute;left:2592705;top:1166495;height:248285;width:0;" filled="f" stroked="t" coordsize="21600,21600">
                    <v:path arrowok="t"/>
                    <v:fill on="f" focussize="0,0"/>
                    <v:stroke weight="1.25pt" color="#739CC3" endarrow="open"/>
                    <v:imagedata o:title=""/>
                    <o:lock v:ext="edit" aspectratio="f"/>
                  </v:shape>
                  <v:shape id="_x0000_s2103" o:spid="_x0000_s2103" o:spt="32" type="#_x0000_t32" style="position:absolute;left:2592705;top:1719580;height:267335;width:0;" filled="f" stroked="t" coordsize="21600,21600">
                    <v:path arrowok="t"/>
                    <v:fill on="f" focussize="0,0"/>
                    <v:stroke weight="1.25pt" color="#739CC3" endarrow="open"/>
                    <v:imagedata o:title=""/>
                    <o:lock v:ext="edit" aspectratio="f"/>
                  </v:shape>
                  <v:shape id="_x0000_s2104" o:spid="_x0000_s2104" o:spt="32" type="#_x0000_t32" style="position:absolute;left:2586355;top:2291715;flip:x;height:229235;width:6350;" filled="f" stroked="t" coordsize="21600,21600">
                    <v:path arrowok="t"/>
                    <v:fill on="f" focussize="0,0"/>
                    <v:stroke weight="1.25pt" color="#739CC3" endarrow="open"/>
                    <v:imagedata o:title=""/>
                    <o:lock v:ext="edit" aspectratio="f"/>
                  </v:shape>
                  <v:shape id="_x0000_s2105" o:spid="_x0000_s2105" o:spt="32" type="#_x0000_t32" style="position:absolute;left:2583180;top:2825750;flip:x;height:238760;width:3175;" filled="f" stroked="t" coordsize="21600,21600">
                    <v:path arrowok="t"/>
                    <v:fill on="f" focussize="0,0"/>
                    <v:stroke weight="1.25pt" color="#739CC3" endarrow="open"/>
                    <v:imagedata o:title=""/>
                    <o:lock v:ext="edit" aspectratio="f"/>
                  </v:shape>
                  <v:shape id="_x0000_s2106" o:spid="_x0000_s2106" o:spt="32" type="#_x0000_t32" style="position:absolute;left:2581910;top:3369310;flip:x;height:267335;width:1270;" filled="f" stroked="t" coordsize="21600,21600">
                    <v:path arrowok="t"/>
                    <v:fill on="f" focussize="0,0"/>
                    <v:stroke weight="1.25pt" color="#739CC3" endarrow="open"/>
                    <v:imagedata o:title=""/>
                    <o:lock v:ext="edit" aspectratio="f"/>
                  </v:shape>
                  <v:shape id="_x0000_s2107" o:spid="_x0000_s2107" o:spt="32" type="#_x0000_t32" style="position:absolute;left:2580005;top:3941445;flip:x;height:229235;width:1905;" filled="f" stroked="t" coordsize="21600,21600">
                    <v:path arrowok="t"/>
                    <v:fill on="f" focussize="0,0"/>
                    <v:stroke weight="1.25pt" color="#739CC3" endarrow="open"/>
                    <v:imagedata o:title=""/>
                    <o:lock v:ext="edit" aspectratio="f"/>
                  </v:shape>
                  <v:shape id="_x0000_s2108" o:spid="_x0000_s2108" o:spt="32" type="#_x0000_t32" style="position:absolute;left:2580005;top:4475480;height:276860;width:0;" filled="f" stroked="t" coordsize="21600,21600">
                    <v:path arrowok="t"/>
                    <v:fill on="f" focussize="0,0"/>
                    <v:stroke weight="1.25pt" color="#739CC3" endarrow="open"/>
                    <v:imagedata o:title=""/>
                    <o:lock v:ext="edit" aspectratio="f"/>
                  </v:shape>
                  <v:roundrect id="_x0000_s2109" o:spid="_x0000_s2109" o:spt="2" style="position:absolute;left:3427730;top:1986915;height:304800;width:606425;" filled="f" stroked="t" coordsize="21600,21600" arcsize="0.166666666666667">
                    <v:path/>
                    <v:fill on="f" focussize="0,0"/>
                    <v:stroke weight="1.25pt" color="#739CC3"/>
                    <v:imagedata o:title=""/>
                    <o:lock v:ext="edit" aspectratio="f"/>
                    <v:textbox>
                      <w:txbxContent>
                        <w:p w14:paraId="2FB25060">
                          <w:pPr>
                            <w:jc w:val="center"/>
                            <w:rPr>
                              <w:rFonts w:hint="eastAsia"/>
                              <w:sz w:val="24"/>
                            </w:rPr>
                          </w:pPr>
                          <w:r>
                            <w:rPr>
                              <w:rFonts w:hint="eastAsia"/>
                              <w:sz w:val="24"/>
                            </w:rPr>
                            <w:t>风机</w:t>
                          </w:r>
                        </w:p>
                      </w:txbxContent>
                    </v:textbox>
                  </v:roundrect>
                  <v:roundrect id="_x0000_s2110" o:spid="_x0000_s2110" o:spt="2" style="position:absolute;left:3513455;top:3044825;height:304800;width:843915;" filled="f" stroked="t" coordsize="21600,21600" arcsize="0.166666666666667">
                    <v:path/>
                    <v:fill on="f" focussize="0,0"/>
                    <v:stroke weight="1.25pt" color="#739CC3"/>
                    <v:imagedata o:title=""/>
                    <o:lock v:ext="edit" aspectratio="f"/>
                    <v:textbox>
                      <w:txbxContent>
                        <w:p w14:paraId="3DB3C010">
                          <w:pPr>
                            <w:jc w:val="center"/>
                            <w:rPr>
                              <w:rFonts w:hint="eastAsia"/>
                              <w:sz w:val="24"/>
                            </w:rPr>
                          </w:pPr>
                          <w:r>
                            <w:rPr>
                              <w:rFonts w:hint="eastAsia"/>
                              <w:sz w:val="24"/>
                            </w:rPr>
                            <w:t>污泥池</w:t>
                          </w:r>
                        </w:p>
                      </w:txbxContent>
                    </v:textbox>
                  </v:roundrect>
                  <v:roundrect id="_x0000_s2111" o:spid="_x0000_s2111" o:spt="2" style="position:absolute;left:3446780;top:3597909;height:1289050;width:1384300;" filled="f" stroked="f" coordsize="21600,21600" arcsize="0.166666666666667">
                    <v:path/>
                    <v:fill on="f" focussize="0,0"/>
                    <v:stroke on="f" weight="1.25pt"/>
                    <v:imagedata o:title=""/>
                    <o:lock v:ext="edit" aspectratio="f"/>
                    <v:textbox>
                      <w:txbxContent>
                        <w:p w14:paraId="34EF77B3">
                          <w:pPr>
                            <w:spacing w:beforeLines="0" w:afterLines="0" w:line="288" w:lineRule="auto"/>
                            <w:jc w:val="center"/>
                            <w:rPr>
                              <w:rFonts w:hint="eastAsia" w:ascii="宋体" w:hAnsi="宋体"/>
                              <w:b w:val="0"/>
                              <w:bCs/>
                              <w:color w:val="000000"/>
                              <w:sz w:val="24"/>
                              <w:szCs w:val="24"/>
                              <w:lang w:val="zh-CN"/>
                            </w:rPr>
                          </w:pPr>
                          <w:r>
                            <w:rPr>
                              <w:rFonts w:hint="eastAsia" w:ascii="宋体" w:hAnsi="宋体"/>
                              <w:b w:val="0"/>
                              <w:bCs/>
                              <w:color w:val="000000"/>
                              <w:sz w:val="24"/>
                              <w:szCs w:val="24"/>
                              <w:lang w:val="en-US"/>
                            </w:rPr>
                            <w:t>委托腾冲市无害化垃圾处理有限责任公司</w:t>
                          </w:r>
                          <w:r>
                            <w:rPr>
                              <w:rFonts w:hint="eastAsia" w:ascii="宋体" w:hAnsi="宋体"/>
                              <w:b w:val="0"/>
                              <w:bCs/>
                              <w:color w:val="000000"/>
                              <w:sz w:val="24"/>
                              <w:szCs w:val="24"/>
                              <w:lang w:val="zh-CN"/>
                            </w:rPr>
                            <w:t>定期清运、处置</w:t>
                          </w:r>
                        </w:p>
                        <w:p w14:paraId="3A9DC4A2">
                          <w:pPr>
                            <w:rPr>
                              <w:rFonts w:hint="eastAsia"/>
                            </w:rPr>
                          </w:pPr>
                        </w:p>
                      </w:txbxContent>
                    </v:textbox>
                  </v:roundrect>
                  <v:shape id="_x0000_s2112" o:spid="_x0000_s2112" o:spt="32" type="#_x0000_t32" style="position:absolute;left:3119120;top:2139315;flip:x;height:0;width:308610;" filled="f" stroked="t" coordsize="21600,21600">
                    <v:path arrowok="t"/>
                    <v:fill on="f" focussize="0,0"/>
                    <v:stroke weight="1.25pt" color="#739CC3" endarrow="open"/>
                    <v:imagedata o:title=""/>
                    <o:lock v:ext="edit" aspectratio="f"/>
                  </v:shape>
                  <v:shape id="_x0000_s2113" o:spid="_x0000_s2113" o:spt="34" type="#_x0000_t34" style="position:absolute;left:2980055;top:3789045;flip:y;height:534035;width:3810;" filled="f" stroked="t" coordsize="21600,21600" adj="1371600">
                    <v:path arrowok="t"/>
                    <v:fill on="f" focussize="0,0"/>
                    <v:stroke weight="1.25pt" color="#739CC3" joinstyle="miter" endarrow="open"/>
                    <v:imagedata o:title=""/>
                    <o:lock v:ext="edit" aspectratio="f"/>
                  </v:shape>
                  <v:shape id="_x0000_s2114" o:spid="_x0000_s2114" o:spt="34" type="#_x0000_t34" style="position:absolute;left:2141855;top:1014095;height:2774950;width:38100;rotation:11796480f;" filled="f" stroked="t" coordsize="21600,21600" adj="437400">
                    <v:path arrowok="t"/>
                    <v:fill on="f" focussize="0,0"/>
                    <v:stroke weight="1.25pt" color="#739CC3" joinstyle="miter" endarrow="open"/>
                    <v:imagedata o:title=""/>
                    <o:lock v:ext="edit" aspectratio="f"/>
                  </v:shape>
                  <v:shape id="_x0000_s2115" o:spid="_x0000_s2115" o:spt="33" type="#_x0000_t33" style="position:absolute;left:2945130;top:2673350;height:371475;width:990600;" filled="f" stroked="t" coordsize="21600,21600">
                    <v:path arrowok="t"/>
                    <v:fill on="f" focussize="0,0"/>
                    <v:stroke weight="1.25pt" color="#739CC3" joinstyle="miter" endarrow="open"/>
                    <v:imagedata o:title=""/>
                    <o:lock v:ext="edit" aspectratio="f"/>
                  </v:shape>
                  <v:shape id="_x0000_s2116" o:spid="_x0000_s2116" o:spt="32" type="#_x0000_t32" style="position:absolute;left:3927475;top:3349625;flip:x;height:248285;width:8255;" filled="f" stroked="t" coordsize="21600,21600">
                    <v:path arrowok="t"/>
                    <v:fill on="f" focussize="0,0"/>
                    <v:stroke weight="1.25pt" color="#739CC3" endarrow="open"/>
                    <v:imagedata o:title=""/>
                    <o:lock v:ext="edit" aspectratio="f"/>
                  </v:shape>
                  <v:roundrect id="_x0000_s2117" o:spid="_x0000_s2117" o:spt="2" style="position:absolute;left:1075055;top:2007870;height:934085;width:361315;" filled="f" stroked="f" coordsize="21600,21600" arcsize="0.166666666666667">
                    <v:path/>
                    <v:fill on="f" focussize="0,0"/>
                    <v:stroke on="f" weight="1.25pt"/>
                    <v:imagedata o:title=""/>
                    <o:lock v:ext="edit" aspectratio="f"/>
                    <v:textbox>
                      <w:txbxContent>
                        <w:p w14:paraId="4A2C0AAD">
                          <w:pPr>
                            <w:jc w:val="center"/>
                            <w:rPr>
                              <w:rFonts w:hint="eastAsia"/>
                              <w:sz w:val="24"/>
                            </w:rPr>
                          </w:pPr>
                          <w:r>
                            <w:rPr>
                              <w:rFonts w:hint="eastAsia"/>
                              <w:sz w:val="24"/>
                            </w:rPr>
                            <w:t>反</w:t>
                          </w:r>
                        </w:p>
                        <w:p w14:paraId="4950683D">
                          <w:pPr>
                            <w:jc w:val="center"/>
                            <w:rPr>
                              <w:rFonts w:hint="eastAsia"/>
                              <w:sz w:val="24"/>
                            </w:rPr>
                          </w:pPr>
                          <w:r>
                            <w:rPr>
                              <w:rFonts w:hint="eastAsia"/>
                              <w:sz w:val="24"/>
                            </w:rPr>
                            <w:t>洗出水</w:t>
                          </w:r>
                        </w:p>
                      </w:txbxContent>
                    </v:textbox>
                  </v:roundrect>
                  <v:roundrect id="_x0000_s2118" o:spid="_x0000_s2118" o:spt="2" style="position:absolute;left:2627630;top:1132840;height:304800;width:457200;" filled="f" stroked="f" coordsize="21600,21600" arcsize="0.166666666666667">
                    <v:path/>
                    <v:fill on="f" focussize="0,0"/>
                    <v:stroke on="f" weight="1.25pt"/>
                    <v:imagedata o:title=""/>
                    <o:lock v:ext="edit" aspectratio="f"/>
                    <v:textbox>
                      <w:txbxContent>
                        <w:p w14:paraId="2DCF70CE">
                          <w:pPr>
                            <w:jc w:val="center"/>
                            <w:rPr>
                              <w:rFonts w:hint="eastAsia"/>
                              <w:sz w:val="24"/>
                            </w:rPr>
                          </w:pPr>
                          <w:r>
                            <w:rPr>
                              <w:rFonts w:hint="eastAsia"/>
                              <w:sz w:val="24"/>
                            </w:rPr>
                            <w:t>泵</w:t>
                          </w:r>
                        </w:p>
                      </w:txbxContent>
                    </v:textbox>
                  </v:roundrect>
                  <v:roundrect id="_x0000_s2119" o:spid="_x0000_s2119" o:spt="2" style="position:absolute;left:2999105;top:2400300;height:304800;width:457200;" filled="f" stroked="f" coordsize="21600,21600" arcsize="0.166666666666667">
                    <v:path/>
                    <v:fill on="f" focussize="0,0"/>
                    <v:stroke on="f" weight="1.25pt"/>
                    <v:imagedata o:title=""/>
                    <o:lock v:ext="edit" aspectratio="f"/>
                    <v:textbox>
                      <w:txbxContent>
                        <w:p w14:paraId="787BB660">
                          <w:pPr>
                            <w:jc w:val="center"/>
                            <w:rPr>
                              <w:rFonts w:hint="eastAsia"/>
                              <w:sz w:val="24"/>
                            </w:rPr>
                          </w:pPr>
                          <w:r>
                            <w:rPr>
                              <w:rFonts w:hint="eastAsia"/>
                              <w:sz w:val="24"/>
                            </w:rPr>
                            <w:t>泵</w:t>
                          </w:r>
                        </w:p>
                      </w:txbxContent>
                    </v:textbox>
                  </v:roundrect>
                  <v:roundrect id="_x0000_s2120" o:spid="_x0000_s2120" o:spt="2" style="position:absolute;left:3103880;top:3905885;height:304800;width:457200;" filled="f" stroked="f" coordsize="21600,21600" arcsize="0.166666666666667">
                    <v:path/>
                    <v:fill on="f" focussize="0,0"/>
                    <v:stroke on="f" weight="1.25pt"/>
                    <v:imagedata o:title=""/>
                    <o:lock v:ext="edit" aspectratio="f"/>
                    <v:textbox>
                      <w:txbxContent>
                        <w:p w14:paraId="03CA13DE">
                          <w:pPr>
                            <w:jc w:val="center"/>
                            <w:rPr>
                              <w:rFonts w:hint="eastAsia"/>
                              <w:sz w:val="24"/>
                            </w:rPr>
                          </w:pPr>
                          <w:r>
                            <w:rPr>
                              <w:rFonts w:hint="eastAsia"/>
                              <w:sz w:val="24"/>
                            </w:rPr>
                            <w:t>泵</w:t>
                          </w:r>
                        </w:p>
                      </w:txbxContent>
                    </v:textbox>
                  </v:roundrect>
                  <v:shape id="_x0000_s2121" o:spid="_x0000_s2121" o:spt="34" type="#_x0000_t34" style="position:absolute;left:2141220;top:1567180;height:1106170;width:85725;rotation:11796480f;" filled="f" stroked="t" coordsize="21600,21600" adj="98400">
                    <v:path arrowok="t"/>
                    <v:fill on="f" focussize="0,0"/>
                    <v:stroke weight="1.25pt" color="#739CC3" joinstyle="miter" endarrow="open"/>
                    <v:imagedata o:title=""/>
                    <o:lock v:ext="edit" aspectratio="f"/>
                  </v:shape>
                  <v:roundrect id="_x0000_s2122" o:spid="_x0000_s2122" o:spt="2" style="position:absolute;left:1475105;top:1675130;height:927100;width:355600;" filled="f" stroked="f" coordsize="21600,21600" arcsize="0.166666666666667">
                    <v:path/>
                    <v:fill on="f" focussize="0,0"/>
                    <v:stroke on="f" weight="1.25pt"/>
                    <v:imagedata o:title=""/>
                    <o:lock v:ext="edit" aspectratio="f"/>
                    <v:textbox>
                      <w:txbxContent>
                        <w:p w14:paraId="589D57C0">
                          <w:pPr>
                            <w:jc w:val="center"/>
                            <w:rPr>
                              <w:rFonts w:hint="eastAsia"/>
                              <w:sz w:val="24"/>
                            </w:rPr>
                          </w:pPr>
                          <w:r>
                            <w:rPr>
                              <w:rFonts w:hint="eastAsia"/>
                              <w:sz w:val="24"/>
                            </w:rPr>
                            <w:t>污泥回流</w:t>
                          </w:r>
                        </w:p>
                      </w:txbxContent>
                    </v:textbox>
                  </v:roundrect>
                  <v:roundrect id="_x0000_s2123" o:spid="_x0000_s2123" o:spt="2" style="position:absolute;left:1789430;top:2677160;height:304800;width:457200;" filled="f" stroked="f" coordsize="21600,21600" arcsize="0.166666666666667">
                    <v:path/>
                    <v:fill on="f" focussize="0,0"/>
                    <v:stroke on="f" weight="1.25pt"/>
                    <v:imagedata o:title=""/>
                    <o:lock v:ext="edit" aspectratio="f"/>
                    <v:textbox>
                      <w:txbxContent>
                        <w:p w14:paraId="0CC5BE37">
                          <w:pPr>
                            <w:jc w:val="center"/>
                            <w:rPr>
                              <w:rFonts w:hint="eastAsia"/>
                              <w:sz w:val="24"/>
                            </w:rPr>
                          </w:pPr>
                          <w:r>
                            <w:rPr>
                              <w:rFonts w:hint="eastAsia"/>
                              <w:sz w:val="24"/>
                            </w:rPr>
                            <w:t>泵</w:t>
                          </w:r>
                        </w:p>
                      </w:txbxContent>
                    </v:textbox>
                  </v:roundrect>
                  <w10:wrap type="none"/>
                  <w10:anchorlock/>
                </v:group>
              </w:pict>
            </w:r>
          </w:p>
          <w:p w14:paraId="420D1ABC">
            <w:pPr>
              <w:spacing w:line="360" w:lineRule="auto"/>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图2-</w:t>
            </w:r>
            <w:r>
              <w:rPr>
                <w:rFonts w:hint="default" w:ascii="Times New Roman" w:hAnsi="Times New Roman" w:cs="Times New Roman"/>
                <w:b/>
                <w:color w:val="000000" w:themeColor="text1"/>
                <w:sz w:val="24"/>
                <w:szCs w:val="24"/>
                <w:highlight w:val="none"/>
                <w:lang w:val="en-US" w:eastAsia="zh-CN"/>
              </w:rPr>
              <w:t>2</w:t>
            </w:r>
            <w:r>
              <w:rPr>
                <w:rFonts w:hint="default" w:ascii="Times New Roman" w:hAnsi="Times New Roman" w:cs="Times New Roman"/>
                <w:b/>
                <w:color w:val="000000" w:themeColor="text1"/>
                <w:sz w:val="24"/>
                <w:szCs w:val="24"/>
                <w:highlight w:val="none"/>
              </w:rPr>
              <w:t xml:space="preserve"> </w:t>
            </w:r>
            <w:r>
              <w:rPr>
                <w:rFonts w:hint="eastAsia" w:ascii="Times New Roman" w:hAnsi="Times New Roman" w:cs="Times New Roman"/>
                <w:b/>
                <w:color w:val="000000" w:themeColor="text1"/>
                <w:sz w:val="24"/>
                <w:szCs w:val="24"/>
                <w:highlight w:val="none"/>
                <w:lang w:val="en-US" w:eastAsia="zh-CN"/>
              </w:rPr>
              <w:t>污</w:t>
            </w:r>
            <w:r>
              <w:rPr>
                <w:rFonts w:hint="default" w:ascii="Times New Roman" w:hAnsi="Times New Roman" w:cs="Times New Roman"/>
                <w:b/>
                <w:color w:val="000000" w:themeColor="text1"/>
                <w:sz w:val="24"/>
                <w:szCs w:val="24"/>
                <w:highlight w:val="none"/>
              </w:rPr>
              <w:t>水处理站工艺流程图</w:t>
            </w:r>
          </w:p>
          <w:p w14:paraId="42A7CAD3">
            <w:pPr>
              <w:spacing w:line="360" w:lineRule="auto"/>
              <w:ind w:firstLine="480" w:firstLineChars="200"/>
              <w:jc w:val="left"/>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污水处理工艺简介：</w:t>
            </w:r>
          </w:p>
          <w:p w14:paraId="67020CF4">
            <w:pPr>
              <w:spacing w:line="360" w:lineRule="auto"/>
              <w:ind w:firstLine="480" w:firstLineChars="200"/>
              <w:jc w:val="left"/>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生活污水由化粪池自流进入调节池，污水经调节池充分</w:t>
            </w:r>
            <w:r>
              <w:rPr>
                <w:rFonts w:hint="eastAsia" w:ascii="Times New Roman" w:hAnsi="Times New Roman" w:cs="Times New Roman"/>
                <w:color w:val="000000" w:themeColor="text1"/>
                <w:sz w:val="24"/>
                <w:szCs w:val="24"/>
                <w:highlight w:val="none"/>
                <w:lang w:eastAsia="zh-CN"/>
              </w:rPr>
              <w:t>均质</w:t>
            </w:r>
            <w:r>
              <w:rPr>
                <w:rFonts w:hint="default" w:ascii="Times New Roman" w:hAnsi="Times New Roman" w:cs="Times New Roman"/>
                <w:color w:val="000000" w:themeColor="text1"/>
                <w:sz w:val="24"/>
                <w:szCs w:val="24"/>
                <w:highlight w:val="none"/>
              </w:rPr>
              <w:t>由排污泵提升进入厌氧池、两级接触氧化池及沉淀池，进行处理，处理后的废水进入中间水池，通过中间水泵提升进入过滤池过滤处理后，进入消毒清水池，经消毒后净水排放。沉淀池产生的剩余污泥进入污泥池好氧消化后定期外运。活性污泥回流至厌氧池和两级接触氧化池，用以补充流失的污泥量。自控系统控制水泵、风机、过滤池的运行，实现对污水处理设备的无人化操作。污水处理设备的处理过程靠风机房送风至污水处理设备以达到好氧条件，为了考虑减少噪音，风机进、出风口安装消声器，减少噪声污染。项目区污水经过</w:t>
            </w:r>
            <w:r>
              <w:rPr>
                <w:rFonts w:hint="eastAsia" w:ascii="Times New Roman" w:hAnsi="Times New Roman" w:cs="Times New Roman"/>
                <w:color w:val="000000" w:themeColor="text1"/>
                <w:sz w:val="24"/>
                <w:szCs w:val="24"/>
                <w:highlight w:val="none"/>
                <w:lang w:val="en-US" w:eastAsia="zh-CN"/>
              </w:rPr>
              <w:t>污水处理</w:t>
            </w:r>
            <w:r>
              <w:rPr>
                <w:rFonts w:hint="default" w:ascii="Times New Roman" w:hAnsi="Times New Roman" w:cs="Times New Roman"/>
                <w:color w:val="000000" w:themeColor="text1"/>
                <w:sz w:val="24"/>
                <w:szCs w:val="24"/>
                <w:highlight w:val="none"/>
              </w:rPr>
              <w:t>站处理达到排放标准后排入项目区</w:t>
            </w:r>
            <w:r>
              <w:rPr>
                <w:rFonts w:hint="default" w:ascii="Times New Roman" w:hAnsi="Times New Roman" w:cs="Times New Roman"/>
                <w:color w:val="000000" w:themeColor="text1"/>
                <w:sz w:val="24"/>
                <w:highlight w:val="none"/>
              </w:rPr>
              <w:t>市政污水管网</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最后进入腾冲市污水处理厂</w:t>
            </w:r>
            <w:r>
              <w:rPr>
                <w:rFonts w:hint="default" w:ascii="Times New Roman" w:hAnsi="Times New Roman" w:cs="Times New Roman"/>
                <w:color w:val="000000" w:themeColor="text1"/>
                <w:sz w:val="24"/>
                <w:szCs w:val="24"/>
                <w:highlight w:val="none"/>
              </w:rPr>
              <w:t>。</w:t>
            </w:r>
          </w:p>
          <w:p w14:paraId="719AA6BE">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2、项目运营期产污环节</w:t>
            </w:r>
          </w:p>
          <w:p w14:paraId="70C0532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本项目运营期污染主要包括：</w:t>
            </w:r>
            <w:r>
              <w:rPr>
                <w:rFonts w:ascii="Times New Roman" w:hAnsiTheme="minorEastAsia" w:eastAsiaTheme="minorEastAsia"/>
                <w:color w:val="000000" w:themeColor="text1"/>
                <w:sz w:val="24"/>
                <w:szCs w:val="24"/>
              </w:rPr>
              <w:t>住户产生的生活污水和生活垃圾、住户厨房产生的油烟；车辆进出产生的废气和噪声；备用柴油发电机设备产生的废气和噪声；防渗化粪池及污水处理站产生的污泥；防渗化粪池、污水处理站以及垃圾收集设施产</w:t>
            </w:r>
            <w:r>
              <w:rPr>
                <w:rFonts w:hint="eastAsia" w:ascii="Times New Roman" w:hAnsiTheme="minorEastAsia" w:eastAsiaTheme="minorEastAsia"/>
                <w:color w:val="000000" w:themeColor="text1"/>
                <w:sz w:val="24"/>
                <w:szCs w:val="24"/>
                <w:lang w:eastAsia="zh-CN"/>
              </w:rPr>
              <w:t>生的</w:t>
            </w:r>
            <w:r>
              <w:rPr>
                <w:rFonts w:ascii="Times New Roman" w:hAnsiTheme="minorEastAsia" w:eastAsiaTheme="minorEastAsia"/>
                <w:color w:val="000000" w:themeColor="text1"/>
                <w:sz w:val="24"/>
                <w:szCs w:val="24"/>
              </w:rPr>
              <w:t>恶臭</w:t>
            </w:r>
            <w:r>
              <w:rPr>
                <w:rFonts w:hint="default" w:ascii="Times New Roman" w:hAnsi="Times New Roman" w:cs="Times New Roman"/>
                <w:color w:val="000000" w:themeColor="text1"/>
                <w:sz w:val="24"/>
                <w:szCs w:val="24"/>
              </w:rPr>
              <w:t>。具体产污情况见图2-2。</w:t>
            </w:r>
          </w:p>
          <w:p w14:paraId="1F92496F">
            <w:pPr>
              <w:spacing w:line="360" w:lineRule="auto"/>
              <w:jc w:val="center"/>
              <w:rPr>
                <w:rFonts w:hint="default" w:ascii="Times New Roman" w:hAnsi="Times New Roman" w:cs="Times New Roman"/>
                <w:b/>
                <w:color w:val="000000" w:themeColor="text1"/>
                <w:sz w:val="24"/>
                <w:szCs w:val="24"/>
              </w:rPr>
            </w:pPr>
            <w:r>
              <w:rPr>
                <w:rFonts w:ascii="Times New Roman" w:hAnsi="Times New Roman" w:eastAsiaTheme="minorEastAsia"/>
                <w:color w:val="000000" w:themeColor="text1"/>
              </w:rPr>
              <w:object>
                <v:shape id="_x0000_i1026" o:spt="75" type="#_x0000_t75" style="height:267.25pt;width:447pt;" o:ole="t" filled="f" o:preferrelative="t" stroked="f" coordsize="21600,21600">
                  <v:path/>
                  <v:fill on="f" focussize="0,0"/>
                  <v:stroke on="f"/>
                  <v:imagedata r:id="rId14" o:title=""/>
                  <o:lock v:ext="edit" aspectratio="t"/>
                  <w10:wrap type="none"/>
                  <w10:anchorlock/>
                </v:shape>
                <o:OLEObject Type="Embed" ProgID="Visio.Drawing.11" ShapeID="_x0000_i1026" DrawAspect="Content" ObjectID="_1468075726" r:id="rId13">
                  <o:LockedField>false</o:LockedField>
                </o:OLEObject>
              </w:object>
            </w:r>
            <w:r>
              <w:rPr>
                <w:rFonts w:hint="default" w:ascii="Times New Roman" w:hAnsi="Times New Roman" w:cs="Times New Roman"/>
                <w:b/>
                <w:color w:val="000000" w:themeColor="text1"/>
                <w:sz w:val="24"/>
                <w:szCs w:val="24"/>
              </w:rPr>
              <w:t>图2-</w:t>
            </w:r>
            <w:r>
              <w:rPr>
                <w:rFonts w:hint="default" w:ascii="Times New Roman" w:hAnsi="Times New Roman" w:cs="Times New Roman"/>
                <w:b/>
                <w:color w:val="000000" w:themeColor="text1"/>
                <w:sz w:val="24"/>
                <w:szCs w:val="24"/>
                <w:lang w:val="en-US" w:eastAsia="zh-CN"/>
              </w:rPr>
              <w:t>3</w:t>
            </w:r>
            <w:r>
              <w:rPr>
                <w:rFonts w:hint="default" w:ascii="Times New Roman" w:hAnsi="Times New Roman" w:cs="Times New Roman"/>
                <w:b/>
                <w:color w:val="000000" w:themeColor="text1"/>
                <w:sz w:val="24"/>
                <w:szCs w:val="24"/>
              </w:rPr>
              <w:t xml:space="preserve">  项目运行期产污节点图</w:t>
            </w:r>
          </w:p>
          <w:p w14:paraId="665F0F39">
            <w:pPr>
              <w:spacing w:line="360" w:lineRule="auto"/>
              <w:jc w:val="center"/>
              <w:rPr>
                <w:rFonts w:hint="default" w:ascii="Times New Roman" w:hAnsi="Times New Roman" w:cs="Times New Roman"/>
                <w:b/>
                <w:color w:val="000000" w:themeColor="text1"/>
                <w:sz w:val="24"/>
                <w:szCs w:val="24"/>
              </w:rPr>
            </w:pPr>
          </w:p>
          <w:p w14:paraId="3B91D195">
            <w:pPr>
              <w:spacing w:line="360" w:lineRule="auto"/>
              <w:jc w:val="center"/>
              <w:rPr>
                <w:rFonts w:hint="default" w:ascii="Times New Roman" w:hAnsi="Times New Roman" w:cs="Times New Roman"/>
                <w:b/>
                <w:color w:val="000000" w:themeColor="text1"/>
                <w:sz w:val="24"/>
                <w:szCs w:val="24"/>
              </w:rPr>
            </w:pPr>
          </w:p>
          <w:p w14:paraId="6BFFDE66">
            <w:pPr>
              <w:spacing w:line="360" w:lineRule="auto"/>
              <w:jc w:val="center"/>
              <w:rPr>
                <w:rFonts w:hint="default" w:ascii="Times New Roman" w:hAnsi="Times New Roman" w:cs="Times New Roman"/>
                <w:b/>
                <w:color w:val="000000" w:themeColor="text1"/>
                <w:sz w:val="24"/>
                <w:szCs w:val="24"/>
              </w:rPr>
            </w:pPr>
          </w:p>
          <w:p w14:paraId="7790B86F">
            <w:pPr>
              <w:spacing w:line="360" w:lineRule="auto"/>
              <w:jc w:val="center"/>
              <w:rPr>
                <w:rFonts w:hint="default" w:ascii="Times New Roman" w:hAnsi="Times New Roman" w:cs="Times New Roman"/>
                <w:b/>
                <w:color w:val="000000" w:themeColor="text1"/>
                <w:sz w:val="24"/>
                <w:szCs w:val="24"/>
              </w:rPr>
            </w:pPr>
          </w:p>
          <w:p w14:paraId="4B0F594F">
            <w:pPr>
              <w:pStyle w:val="2"/>
              <w:rPr>
                <w:rFonts w:hint="default" w:ascii="Times New Roman" w:hAnsi="Times New Roman" w:cs="Times New Roman"/>
                <w:b/>
                <w:color w:val="000000" w:themeColor="text1"/>
                <w:sz w:val="24"/>
                <w:szCs w:val="24"/>
              </w:rPr>
            </w:pPr>
          </w:p>
          <w:p w14:paraId="637D10FF">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b/>
                <w:color w:val="000000" w:themeColor="text1"/>
                <w:sz w:val="24"/>
                <w:szCs w:val="24"/>
              </w:rPr>
            </w:pPr>
          </w:p>
          <w:p w14:paraId="311628D5">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b/>
                <w:color w:val="000000" w:themeColor="text1"/>
                <w:sz w:val="24"/>
                <w:szCs w:val="24"/>
              </w:rPr>
            </w:pPr>
          </w:p>
          <w:p w14:paraId="7FA6F70E">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b/>
                <w:color w:val="000000" w:themeColor="text1"/>
                <w:sz w:val="24"/>
                <w:szCs w:val="24"/>
              </w:rPr>
            </w:pPr>
          </w:p>
          <w:p w14:paraId="5B217629">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b/>
                <w:color w:val="000000" w:themeColor="text1"/>
                <w:sz w:val="24"/>
                <w:szCs w:val="24"/>
              </w:rPr>
            </w:pPr>
          </w:p>
          <w:p w14:paraId="7F32D622">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b/>
                <w:color w:val="000000" w:themeColor="text1"/>
                <w:sz w:val="24"/>
                <w:szCs w:val="24"/>
              </w:rPr>
            </w:pPr>
          </w:p>
          <w:p w14:paraId="122C8C43">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b/>
                <w:color w:val="000000" w:themeColor="text1"/>
                <w:sz w:val="24"/>
                <w:szCs w:val="24"/>
              </w:rPr>
            </w:pPr>
          </w:p>
          <w:p w14:paraId="5DB04801">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b/>
                <w:color w:val="000000" w:themeColor="text1"/>
                <w:sz w:val="24"/>
                <w:szCs w:val="24"/>
              </w:rPr>
            </w:pPr>
          </w:p>
          <w:p w14:paraId="59701904">
            <w:pPr>
              <w:spacing w:line="360" w:lineRule="auto"/>
              <w:jc w:val="center"/>
              <w:rPr>
                <w:rFonts w:hint="default" w:ascii="Times New Roman" w:hAnsi="Times New Roman" w:cs="Times New Roman"/>
                <w:b/>
                <w:color w:val="000000" w:themeColor="text1"/>
                <w:sz w:val="24"/>
                <w:szCs w:val="24"/>
              </w:rPr>
            </w:pPr>
          </w:p>
          <w:p w14:paraId="69C586D2">
            <w:pPr>
              <w:spacing w:line="360" w:lineRule="auto"/>
              <w:jc w:val="both"/>
              <w:rPr>
                <w:rFonts w:hint="default" w:ascii="Times New Roman" w:hAnsi="Times New Roman" w:cs="Times New Roman"/>
                <w:b/>
                <w:color w:val="000000" w:themeColor="text1"/>
                <w:sz w:val="24"/>
                <w:szCs w:val="24"/>
              </w:rPr>
            </w:pPr>
          </w:p>
        </w:tc>
      </w:tr>
    </w:tbl>
    <w:p w14:paraId="4D62615D">
      <w:pPr>
        <w:spacing w:beforeLines="50" w:line="360" w:lineRule="auto"/>
        <w:outlineLvl w:val="0"/>
        <w:rPr>
          <w:rFonts w:hint="default" w:ascii="Times New Roman" w:hAnsi="Times New Roman" w:cs="Times New Roman"/>
          <w:b/>
          <w:bCs/>
          <w:color w:val="000000" w:themeColor="text1"/>
          <w:sz w:val="30"/>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p>
    <w:p w14:paraId="2365CEF6">
      <w:pPr>
        <w:spacing w:beforeLines="50" w:line="360" w:lineRule="auto"/>
        <w:outlineLvl w:val="0"/>
        <w:rPr>
          <w:rFonts w:hint="default" w:ascii="Times New Roman" w:hAnsi="Times New Roman" w:cs="Times New Roman"/>
          <w:b/>
          <w:bCs/>
          <w:color w:val="000000" w:themeColor="text1"/>
          <w:sz w:val="30"/>
        </w:rPr>
      </w:pPr>
      <w:r>
        <w:rPr>
          <w:rFonts w:hint="default" w:ascii="Times New Roman" w:hAnsi="Times New Roman" w:cs="Times New Roman"/>
          <w:b/>
          <w:bCs/>
          <w:color w:val="000000" w:themeColor="text1"/>
          <w:sz w:val="30"/>
        </w:rPr>
        <w:t>表三</w:t>
      </w:r>
      <w:bookmarkEnd w:id="16"/>
      <w:bookmarkEnd w:id="17"/>
      <w:bookmarkStart w:id="18" w:name="_Toc239736725"/>
    </w:p>
    <w:tbl>
      <w:tblPr>
        <w:tblStyle w:val="39"/>
        <w:tblW w:w="8760"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8760"/>
      </w:tblGrid>
      <w:tr w14:paraId="0D741C6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760" w:type="dxa"/>
            <w:vAlign w:val="top"/>
          </w:tcPr>
          <w:p w14:paraId="57612EF0">
            <w:pPr>
              <w:spacing w:line="360" w:lineRule="auto"/>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主要污染源、污染物处理和排放</w:t>
            </w:r>
            <w:bookmarkStart w:id="19" w:name="OLE_LINK9"/>
            <w:bookmarkStart w:id="20" w:name="OLE_LINK8"/>
            <w:r>
              <w:rPr>
                <w:rFonts w:hint="default" w:ascii="Times New Roman" w:hAnsi="Times New Roman" w:cs="Times New Roman"/>
                <w:b/>
                <w:color w:val="000000" w:themeColor="text1"/>
                <w:sz w:val="28"/>
                <w:szCs w:val="28"/>
              </w:rPr>
              <w:t>（附处理流程示意图，标出废水、废气、厂界噪声监测点位）</w:t>
            </w:r>
            <w:bookmarkEnd w:id="19"/>
            <w:bookmarkEnd w:id="20"/>
            <w:r>
              <w:rPr>
                <w:rFonts w:hint="default" w:ascii="Times New Roman" w:hAnsi="Times New Roman" w:cs="Times New Roman"/>
                <w:b/>
                <w:color w:val="000000" w:themeColor="text1"/>
                <w:sz w:val="28"/>
                <w:szCs w:val="28"/>
              </w:rPr>
              <w:t>：</w:t>
            </w:r>
          </w:p>
          <w:p w14:paraId="7C7975D5">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val="en-US" w:eastAsia="zh-CN"/>
              </w:rPr>
              <w:t>1、</w:t>
            </w:r>
            <w:r>
              <w:rPr>
                <w:rFonts w:hint="default" w:ascii="Times New Roman" w:hAnsi="Times New Roman" w:cs="Times New Roman"/>
                <w:b/>
                <w:bCs/>
                <w:color w:val="000000" w:themeColor="text1"/>
                <w:sz w:val="24"/>
                <w:szCs w:val="24"/>
              </w:rPr>
              <w:t>施工期</w:t>
            </w:r>
          </w:p>
          <w:p w14:paraId="6A621A73">
            <w:pPr>
              <w:spacing w:line="360" w:lineRule="auto"/>
              <w:ind w:firstLine="480" w:firstLineChars="200"/>
              <w:rPr>
                <w:rFonts w:hint="default" w:ascii="Times New Roman" w:hAnsi="Times New Roman" w:cs="Times New Roman"/>
                <w:b/>
                <w:bCs/>
                <w:color w:val="000000" w:themeColor="text1"/>
                <w:sz w:val="24"/>
                <w:szCs w:val="24"/>
              </w:rPr>
            </w:pPr>
            <w:r>
              <w:rPr>
                <w:rFonts w:hint="default" w:ascii="Times New Roman" w:hAnsi="Times New Roman" w:cs="Times New Roman"/>
                <w:color w:val="000000" w:themeColor="text1"/>
                <w:sz w:val="24"/>
              </w:rPr>
              <w:t>本项目施工期早已结束，施工环境影响随之消失。</w:t>
            </w:r>
            <w:r>
              <w:rPr>
                <w:rFonts w:hint="default" w:ascii="Times New Roman" w:hAnsi="Times New Roman" w:cs="Times New Roman"/>
                <w:bCs/>
                <w:color w:val="000000" w:themeColor="text1"/>
                <w:sz w:val="24"/>
                <w:szCs w:val="24"/>
              </w:rPr>
              <w:t>项目施工期已严格按照“三同时”要求，认真落实“报告表”中所提出对各项污染物处理及其设施建设的相关要求进行施工。</w:t>
            </w:r>
            <w:r>
              <w:rPr>
                <w:rFonts w:hint="default" w:ascii="Times New Roman" w:hAnsi="Times New Roman" w:cs="Times New Roman"/>
                <w:color w:val="000000" w:themeColor="text1"/>
                <w:sz w:val="24"/>
              </w:rPr>
              <w:t>本项目在施工过程中未收到相关环境影响投诉；本项目在施工过程中对周边居民及单位影响不大。</w:t>
            </w:r>
          </w:p>
          <w:p w14:paraId="263376DC">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val="en-US" w:eastAsia="zh-CN"/>
              </w:rPr>
              <w:t>2、</w:t>
            </w:r>
            <w:r>
              <w:rPr>
                <w:rFonts w:hint="default" w:ascii="Times New Roman" w:hAnsi="Times New Roman" w:cs="Times New Roman"/>
                <w:b/>
                <w:bCs/>
                <w:color w:val="000000" w:themeColor="text1"/>
                <w:sz w:val="24"/>
                <w:szCs w:val="24"/>
              </w:rPr>
              <w:t>运行期</w:t>
            </w:r>
          </w:p>
          <w:p w14:paraId="4BA06B6B">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eastAsia="zh-CN"/>
              </w:rPr>
              <w:t>（</w:t>
            </w:r>
            <w:r>
              <w:rPr>
                <w:rFonts w:hint="eastAsia" w:ascii="Times New Roman" w:hAnsi="Times New Roman" w:cs="Times New Roman"/>
                <w:b/>
                <w:bCs/>
                <w:color w:val="000000" w:themeColor="text1"/>
                <w:sz w:val="24"/>
                <w:szCs w:val="24"/>
                <w:lang w:val="en-US" w:eastAsia="zh-CN"/>
              </w:rPr>
              <w:t>1</w:t>
            </w:r>
            <w:r>
              <w:rPr>
                <w:rFonts w:hint="eastAsia" w:ascii="Times New Roman" w:hAnsi="Times New Roman" w:cs="Times New Roman"/>
                <w:b/>
                <w:bCs/>
                <w:color w:val="000000" w:themeColor="text1"/>
                <w:sz w:val="24"/>
                <w:szCs w:val="24"/>
                <w:lang w:eastAsia="zh-CN"/>
              </w:rPr>
              <w:t>）</w:t>
            </w:r>
            <w:r>
              <w:rPr>
                <w:rFonts w:hint="default" w:ascii="Times New Roman" w:hAnsi="Times New Roman" w:cs="Times New Roman"/>
                <w:b/>
                <w:bCs/>
                <w:color w:val="000000" w:themeColor="text1"/>
                <w:sz w:val="24"/>
                <w:szCs w:val="24"/>
              </w:rPr>
              <w:t>废水</w:t>
            </w:r>
          </w:p>
          <w:p w14:paraId="1A822EE0">
            <w:pPr>
              <w:spacing w:line="360" w:lineRule="auto"/>
              <w:ind w:firstLine="480" w:firstLineChars="200"/>
              <w:rPr>
                <w:rFonts w:hint="default" w:ascii="Times New Roman" w:hAnsi="Times New Roman" w:cs="Times New Roman"/>
                <w:color w:val="000000" w:themeColor="text1"/>
                <w:kern w:val="18"/>
                <w:sz w:val="24"/>
                <w:szCs w:val="24"/>
                <w:highlight w:val="none"/>
              </w:rPr>
            </w:pPr>
            <w:r>
              <w:rPr>
                <w:rFonts w:hint="default" w:ascii="Times New Roman" w:hAnsi="Times New Roman" w:cs="Times New Roman"/>
                <w:color w:val="000000" w:themeColor="text1"/>
                <w:sz w:val="24"/>
                <w:szCs w:val="24"/>
                <w:highlight w:val="none"/>
              </w:rPr>
              <w:t>本项目运营期废水主要来源于</w:t>
            </w:r>
            <w:r>
              <w:rPr>
                <w:rFonts w:ascii="Times New Roman" w:hAnsiTheme="minorEastAsia" w:eastAsiaTheme="minorEastAsia"/>
                <w:color w:val="000000" w:themeColor="text1"/>
                <w:sz w:val="24"/>
                <w:szCs w:val="24"/>
              </w:rPr>
              <w:t>住宅区居民生活污水</w:t>
            </w:r>
            <w:r>
              <w:rPr>
                <w:rFonts w:hint="default" w:ascii="Times New Roman" w:hAnsi="Times New Roman" w:cs="Times New Roman"/>
                <w:color w:val="000000" w:themeColor="text1"/>
                <w:kern w:val="18"/>
                <w:sz w:val="24"/>
                <w:szCs w:val="24"/>
                <w:highlight w:val="none"/>
              </w:rPr>
              <w:t>。试运行期间，本项目废水产生量约为</w:t>
            </w:r>
            <w:r>
              <w:rPr>
                <w:rFonts w:hint="eastAsia" w:ascii="Times New Roman" w:hAnsi="Times New Roman" w:cs="Times New Roman"/>
                <w:color w:val="000000" w:themeColor="text1"/>
                <w:kern w:val="18"/>
                <w:sz w:val="24"/>
                <w:szCs w:val="24"/>
                <w:highlight w:val="none"/>
                <w:lang w:val="en-US" w:eastAsia="zh-CN"/>
              </w:rPr>
              <w:t>8.5</w:t>
            </w:r>
            <w:r>
              <w:rPr>
                <w:rFonts w:hint="default" w:ascii="Times New Roman" w:hAnsi="Times New Roman" w:cs="Times New Roman"/>
                <w:color w:val="000000" w:themeColor="text1"/>
                <w:kern w:val="18"/>
                <w:sz w:val="24"/>
                <w:szCs w:val="24"/>
                <w:highlight w:val="none"/>
              </w:rPr>
              <w:t>m</w:t>
            </w:r>
            <w:r>
              <w:rPr>
                <w:rFonts w:hint="default" w:ascii="Times New Roman" w:hAnsi="Times New Roman" w:cs="Times New Roman"/>
                <w:color w:val="000000" w:themeColor="text1"/>
                <w:kern w:val="18"/>
                <w:sz w:val="24"/>
                <w:szCs w:val="24"/>
                <w:highlight w:val="none"/>
                <w:vertAlign w:val="superscript"/>
              </w:rPr>
              <w:t>3</w:t>
            </w:r>
            <w:r>
              <w:rPr>
                <w:rFonts w:hint="default" w:ascii="Times New Roman" w:hAnsi="Times New Roman" w:cs="Times New Roman"/>
                <w:color w:val="000000" w:themeColor="text1"/>
                <w:kern w:val="18"/>
                <w:sz w:val="24"/>
                <w:szCs w:val="24"/>
                <w:highlight w:val="none"/>
              </w:rPr>
              <w:t>/d。</w:t>
            </w:r>
          </w:p>
          <w:p w14:paraId="73B9F05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本项目运营期综合废水经防渗化粪池处理后，再排入</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水处理站处理达到《城市污水再生利用</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rPr>
              <w:t>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）城市绿化水质标准及《城镇污水处理厂污染物排放标准》（GB18918-2002）一级A标准后，排入市政污水管网，最终排入腾冲市污水处理厂。</w:t>
            </w:r>
          </w:p>
          <w:p w14:paraId="26614B98">
            <w:pPr>
              <w:spacing w:line="360" w:lineRule="auto"/>
              <w:ind w:firstLine="480" w:firstLineChars="200"/>
              <w:rPr>
                <w:rFonts w:hint="default" w:ascii="Times New Roman" w:hAnsi="Times New Roman" w:cs="Times New Roman"/>
                <w:bCs/>
                <w:color w:val="000000" w:themeColor="text1"/>
                <w:sz w:val="24"/>
                <w:szCs w:val="24"/>
              </w:rPr>
            </w:pPr>
            <w:r>
              <w:rPr>
                <w:rFonts w:hint="default" w:ascii="Times New Roman" w:hAnsi="Times New Roman" w:cs="Times New Roman"/>
                <w:color w:val="000000" w:themeColor="text1"/>
                <w:sz w:val="24"/>
                <w:szCs w:val="24"/>
              </w:rPr>
              <w:t>经监测结果表明，项目</w:t>
            </w:r>
            <w:r>
              <w:rPr>
                <w:rFonts w:hint="eastAsia" w:ascii="Times New Roman" w:hAnsi="Times New Roman" w:cs="Times New Roman"/>
                <w:color w:val="000000" w:themeColor="text1"/>
                <w:sz w:val="24"/>
                <w:szCs w:val="24"/>
                <w:lang w:val="en-US" w:eastAsia="zh-CN"/>
              </w:rPr>
              <w:t>废</w:t>
            </w:r>
            <w:r>
              <w:rPr>
                <w:rFonts w:hint="default" w:ascii="Times New Roman" w:hAnsi="Times New Roman" w:cs="Times New Roman"/>
                <w:color w:val="000000" w:themeColor="text1"/>
                <w:sz w:val="24"/>
                <w:szCs w:val="24"/>
              </w:rPr>
              <w:t>水</w:t>
            </w:r>
            <w:r>
              <w:rPr>
                <w:rFonts w:hint="default" w:ascii="Times New Roman" w:hAnsi="Times New Roman" w:cs="Times New Roman"/>
                <w:bCs/>
                <w:color w:val="000000" w:themeColor="text1"/>
                <w:sz w:val="24"/>
                <w:szCs w:val="24"/>
              </w:rPr>
              <w:t>均能达</w:t>
            </w:r>
            <w:r>
              <w:rPr>
                <w:rFonts w:hint="default" w:ascii="Times New Roman" w:hAnsi="Times New Roman" w:cs="Times New Roman"/>
                <w:color w:val="000000" w:themeColor="text1"/>
                <w:sz w:val="24"/>
                <w:szCs w:val="24"/>
              </w:rPr>
              <w:t>《城市污水再生利用</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rPr>
              <w:t>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w:t>
            </w:r>
            <w:r>
              <w:rPr>
                <w:rFonts w:hint="default" w:ascii="Times New Roman" w:hAnsi="Times New Roman" w:cs="Times New Roman"/>
                <w:color w:val="000000" w:themeColor="text1"/>
                <w:kern w:val="18"/>
                <w:sz w:val="24"/>
                <w:szCs w:val="24"/>
              </w:rPr>
              <w:t>标准要求</w:t>
            </w:r>
            <w:r>
              <w:rPr>
                <w:rFonts w:hint="default" w:ascii="Times New Roman" w:hAnsi="Times New Roman" w:cs="Times New Roman"/>
                <w:bCs/>
                <w:color w:val="000000" w:themeColor="text1"/>
                <w:sz w:val="24"/>
                <w:szCs w:val="24"/>
              </w:rPr>
              <w:t>，可做到达标排放。</w:t>
            </w:r>
          </w:p>
          <w:p w14:paraId="5A692537">
            <w:pPr>
              <w:spacing w:line="360" w:lineRule="auto"/>
              <w:ind w:firstLine="480" w:firstLineChars="200"/>
              <w:rPr>
                <w:rFonts w:hint="default" w:ascii="Times New Roman" w:hAnsi="Times New Roman" w:cs="Times New Roman"/>
                <w:bCs/>
                <w:color w:val="000000" w:themeColor="text1"/>
                <w:kern w:val="18"/>
                <w:sz w:val="24"/>
                <w:szCs w:val="24"/>
              </w:rPr>
            </w:pPr>
            <w:r>
              <w:rPr>
                <w:rFonts w:hint="default" w:ascii="Times New Roman" w:hAnsi="Times New Roman" w:cs="Times New Roman"/>
                <w:bCs/>
                <w:color w:val="000000" w:themeColor="text1"/>
                <w:kern w:val="18"/>
                <w:sz w:val="24"/>
                <w:szCs w:val="24"/>
              </w:rPr>
              <w:t>项</w:t>
            </w:r>
            <w:r>
              <w:rPr>
                <w:rFonts w:hint="default" w:ascii="Times New Roman" w:hAnsi="Times New Roman" w:cs="Times New Roman"/>
                <w:color w:val="000000" w:themeColor="text1"/>
                <w:kern w:val="18"/>
                <w:sz w:val="24"/>
                <w:szCs w:val="24"/>
              </w:rPr>
              <w:t>目水污染物实际处置及排放情况见表</w:t>
            </w:r>
            <w:r>
              <w:rPr>
                <w:rFonts w:hint="default" w:ascii="Times New Roman" w:hAnsi="Times New Roman" w:cs="Times New Roman"/>
                <w:bCs/>
                <w:color w:val="000000" w:themeColor="text1"/>
                <w:kern w:val="18"/>
                <w:sz w:val="24"/>
                <w:szCs w:val="24"/>
              </w:rPr>
              <w:t>3-1。</w:t>
            </w:r>
          </w:p>
          <w:p w14:paraId="52BB7E39">
            <w:pPr>
              <w:ind w:firstLine="482"/>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表3-1  项目污水来源及环保设施一览表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4"/>
              <w:gridCol w:w="449"/>
              <w:gridCol w:w="1270"/>
              <w:gridCol w:w="777"/>
              <w:gridCol w:w="2769"/>
              <w:gridCol w:w="2835"/>
            </w:tblGrid>
            <w:tr w14:paraId="13B0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0" w:type="auto"/>
                  <w:vMerge w:val="restart"/>
                  <w:vAlign w:val="center"/>
                </w:tcPr>
                <w:p w14:paraId="53B006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序号</w:t>
                  </w:r>
                </w:p>
              </w:tc>
              <w:tc>
                <w:tcPr>
                  <w:tcW w:w="0" w:type="auto"/>
                  <w:vMerge w:val="restart"/>
                  <w:vAlign w:val="center"/>
                </w:tcPr>
                <w:p w14:paraId="2B2AA2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污水</w:t>
                  </w:r>
                </w:p>
                <w:p w14:paraId="667326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类型</w:t>
                  </w:r>
                </w:p>
              </w:tc>
              <w:tc>
                <w:tcPr>
                  <w:tcW w:w="0" w:type="auto"/>
                  <w:vMerge w:val="restart"/>
                  <w:vAlign w:val="center"/>
                </w:tcPr>
                <w:p w14:paraId="028947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主要污染因子</w:t>
                  </w:r>
                </w:p>
              </w:tc>
              <w:tc>
                <w:tcPr>
                  <w:tcW w:w="0" w:type="auto"/>
                  <w:vMerge w:val="restart"/>
                  <w:vAlign w:val="center"/>
                </w:tcPr>
                <w:p w14:paraId="68AEE1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排放量</w:t>
                  </w:r>
                </w:p>
                <w:p w14:paraId="4D2A9A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(m</w:t>
                  </w:r>
                  <w:r>
                    <w:rPr>
                      <w:rFonts w:hint="default" w:ascii="Times New Roman" w:hAnsi="Times New Roman" w:cs="Times New Roman"/>
                      <w:b/>
                      <w:bCs/>
                      <w:color w:val="000000" w:themeColor="text1"/>
                      <w:kern w:val="0"/>
                      <w:sz w:val="21"/>
                      <w:szCs w:val="21"/>
                      <w:vertAlign w:val="superscript"/>
                    </w:rPr>
                    <w:t>3</w:t>
                  </w:r>
                  <w:r>
                    <w:rPr>
                      <w:rFonts w:hint="default" w:ascii="Times New Roman" w:hAnsi="Times New Roman" w:cs="Times New Roman"/>
                      <w:b/>
                      <w:bCs/>
                      <w:color w:val="000000" w:themeColor="text1"/>
                      <w:kern w:val="0"/>
                      <w:sz w:val="21"/>
                      <w:szCs w:val="21"/>
                    </w:rPr>
                    <w:t>/d)</w:t>
                  </w:r>
                </w:p>
              </w:tc>
              <w:tc>
                <w:tcPr>
                  <w:tcW w:w="0" w:type="auto"/>
                  <w:gridSpan w:val="2"/>
                  <w:vAlign w:val="center"/>
                </w:tcPr>
                <w:p w14:paraId="344476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处理措施及排放去向</w:t>
                  </w:r>
                </w:p>
              </w:tc>
            </w:tr>
            <w:tr w14:paraId="0E80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0" w:type="auto"/>
                  <w:vMerge w:val="continue"/>
                  <w:vAlign w:val="center"/>
                </w:tcPr>
                <w:p w14:paraId="17D30C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Merge w:val="continue"/>
                  <w:vAlign w:val="center"/>
                </w:tcPr>
                <w:p w14:paraId="178A95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Merge w:val="continue"/>
                  <w:vAlign w:val="center"/>
                </w:tcPr>
                <w:p w14:paraId="3199CB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Merge w:val="continue"/>
                  <w:vAlign w:val="center"/>
                </w:tcPr>
                <w:p w14:paraId="174012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Align w:val="center"/>
                </w:tcPr>
                <w:p w14:paraId="129623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环评要求</w:t>
                  </w:r>
                </w:p>
              </w:tc>
              <w:tc>
                <w:tcPr>
                  <w:tcW w:w="0" w:type="auto"/>
                  <w:vAlign w:val="center"/>
                </w:tcPr>
                <w:p w14:paraId="3D4EA6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实际建设</w:t>
                  </w:r>
                </w:p>
              </w:tc>
            </w:tr>
            <w:tr w14:paraId="65C8E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0" w:type="auto"/>
                  <w:vAlign w:val="center"/>
                </w:tcPr>
                <w:p w14:paraId="291911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w:t>
                  </w:r>
                </w:p>
              </w:tc>
              <w:tc>
                <w:tcPr>
                  <w:tcW w:w="0" w:type="auto"/>
                  <w:vAlign w:val="center"/>
                </w:tcPr>
                <w:p w14:paraId="13C9C3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综合废水</w:t>
                  </w:r>
                </w:p>
              </w:tc>
              <w:tc>
                <w:tcPr>
                  <w:tcW w:w="0" w:type="auto"/>
                  <w:vAlign w:val="center"/>
                </w:tcPr>
                <w:p w14:paraId="08BCC7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default" w:ascii="Times New Roman" w:hAnsi="Times New Roman" w:cs="Times New Roman"/>
                      <w:color w:val="000000" w:themeColor="text1"/>
                      <w:kern w:val="0"/>
                      <w:sz w:val="21"/>
                      <w:szCs w:val="21"/>
                    </w:rPr>
                    <w:t>pH、BOD</w:t>
                  </w:r>
                  <w:r>
                    <w:rPr>
                      <w:rFonts w:hint="default" w:ascii="Times New Roman" w:hAnsi="Times New Roman" w:cs="Times New Roman"/>
                      <w:color w:val="000000" w:themeColor="text1"/>
                      <w:kern w:val="0"/>
                      <w:sz w:val="21"/>
                      <w:szCs w:val="21"/>
                      <w:vertAlign w:val="subscript"/>
                    </w:rPr>
                    <w:t>5</w:t>
                  </w:r>
                  <w:r>
                    <w:rPr>
                      <w:rFonts w:hint="default" w:ascii="Times New Roman" w:hAnsi="Times New Roman" w:cs="Times New Roman"/>
                      <w:color w:val="000000" w:themeColor="text1"/>
                      <w:kern w:val="0"/>
                      <w:sz w:val="21"/>
                      <w:szCs w:val="21"/>
                    </w:rPr>
                    <w:t>、CODcr、悬浮物、</w:t>
                  </w:r>
                  <w:r>
                    <w:rPr>
                      <w:rFonts w:hint="eastAsia" w:ascii="Times New Roman" w:hAnsi="Times New Roman" w:cs="Times New Roman"/>
                      <w:color w:val="000000" w:themeColor="text1"/>
                      <w:kern w:val="0"/>
                      <w:sz w:val="21"/>
                      <w:szCs w:val="21"/>
                      <w:lang w:val="en-US" w:eastAsia="zh-CN"/>
                    </w:rPr>
                    <w:t>总氮、</w:t>
                  </w:r>
                  <w:r>
                    <w:rPr>
                      <w:rFonts w:hint="default" w:ascii="Times New Roman" w:hAnsi="Times New Roman" w:cs="Times New Roman"/>
                      <w:color w:val="000000" w:themeColor="text1"/>
                      <w:kern w:val="0"/>
                      <w:sz w:val="21"/>
                      <w:szCs w:val="21"/>
                    </w:rPr>
                    <w:t>总磷、氨氮、动植物油</w:t>
                  </w:r>
                  <w:r>
                    <w:rPr>
                      <w:rFonts w:hint="eastAsia" w:ascii="Times New Roman" w:hAnsi="Times New Roman" w:cs="Times New Roman"/>
                      <w:color w:val="000000" w:themeColor="text1"/>
                      <w:kern w:val="0"/>
                      <w:sz w:val="21"/>
                      <w:szCs w:val="21"/>
                      <w:lang w:eastAsia="zh-CN"/>
                    </w:rPr>
                    <w:t>、</w:t>
                  </w:r>
                  <w:r>
                    <w:rPr>
                      <w:rFonts w:hint="eastAsia" w:ascii="Times New Roman" w:hAnsi="Times New Roman" w:cs="Times New Roman"/>
                      <w:color w:val="000000" w:themeColor="text1"/>
                      <w:kern w:val="0"/>
                      <w:sz w:val="21"/>
                      <w:szCs w:val="21"/>
                      <w:lang w:val="en-US" w:eastAsia="zh-CN"/>
                    </w:rPr>
                    <w:t>石油类、粪大肠菌群</w:t>
                  </w:r>
                </w:p>
              </w:tc>
              <w:tc>
                <w:tcPr>
                  <w:tcW w:w="0" w:type="auto"/>
                  <w:vAlign w:val="center"/>
                </w:tcPr>
                <w:p w14:paraId="06FA36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highlight w:val="none"/>
                      <w:lang w:val="en-US" w:eastAsia="zh-CN"/>
                    </w:rPr>
                  </w:pPr>
                  <w:r>
                    <w:rPr>
                      <w:rFonts w:hint="eastAsia" w:ascii="Times New Roman" w:hAnsi="Times New Roman" w:cs="Times New Roman"/>
                      <w:color w:val="000000" w:themeColor="text1"/>
                      <w:kern w:val="18"/>
                      <w:sz w:val="21"/>
                      <w:szCs w:val="21"/>
                      <w:highlight w:val="none"/>
                      <w:lang w:val="en-US" w:eastAsia="zh-CN"/>
                    </w:rPr>
                    <w:t>8.5</w:t>
                  </w:r>
                </w:p>
              </w:tc>
              <w:tc>
                <w:tcPr>
                  <w:tcW w:w="0" w:type="auto"/>
                  <w:vAlign w:val="center"/>
                </w:tcPr>
                <w:p w14:paraId="736CD5E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000000" w:themeColor="text1"/>
                      <w:kern w:val="0"/>
                      <w:sz w:val="21"/>
                      <w:szCs w:val="21"/>
                      <w:highlight w:val="none"/>
                    </w:rPr>
                  </w:pPr>
                  <w:r>
                    <w:rPr>
                      <w:rFonts w:hint="default" w:ascii="Times New Roman" w:hAnsi="Times New Roman" w:cs="Times New Roman"/>
                      <w:color w:val="000000" w:themeColor="text1"/>
                      <w:kern w:val="0"/>
                      <w:sz w:val="21"/>
                      <w:szCs w:val="21"/>
                      <w:highlight w:val="none"/>
                    </w:rPr>
                    <w:t>经防渗化粪池处理后，再排入</w:t>
                  </w:r>
                  <w:r>
                    <w:rPr>
                      <w:rFonts w:hint="eastAsia" w:ascii="Times New Roman" w:hAnsi="Times New Roman" w:cs="Times New Roman"/>
                      <w:color w:val="000000" w:themeColor="text1"/>
                      <w:kern w:val="0"/>
                      <w:sz w:val="21"/>
                      <w:szCs w:val="21"/>
                      <w:highlight w:val="none"/>
                      <w:lang w:val="en-US" w:eastAsia="zh-CN"/>
                    </w:rPr>
                    <w:t>污</w:t>
                  </w:r>
                  <w:r>
                    <w:rPr>
                      <w:rFonts w:hint="default" w:ascii="Times New Roman" w:hAnsi="Times New Roman" w:cs="Times New Roman"/>
                      <w:color w:val="000000" w:themeColor="text1"/>
                      <w:kern w:val="0"/>
                      <w:sz w:val="21"/>
                      <w:szCs w:val="21"/>
                      <w:highlight w:val="none"/>
                    </w:rPr>
                    <w:t>水处理站处理达到《城市污水再生利用</w:t>
                  </w:r>
                  <w:r>
                    <w:rPr>
                      <w:rFonts w:hint="default" w:ascii="Times New Roman" w:hAnsi="Times New Roman" w:cs="Times New Roman"/>
                      <w:color w:val="000000" w:themeColor="text1"/>
                      <w:kern w:val="0"/>
                      <w:sz w:val="21"/>
                      <w:szCs w:val="21"/>
                      <w:highlight w:val="none"/>
                      <w:lang w:val="en-US" w:eastAsia="zh-CN"/>
                    </w:rPr>
                    <w:t xml:space="preserve"> </w:t>
                  </w:r>
                  <w:r>
                    <w:rPr>
                      <w:rFonts w:hint="default" w:ascii="Times New Roman" w:hAnsi="Times New Roman" w:cs="Times New Roman"/>
                      <w:color w:val="000000" w:themeColor="text1"/>
                      <w:kern w:val="0"/>
                      <w:sz w:val="21"/>
                      <w:szCs w:val="21"/>
                      <w:highlight w:val="none"/>
                    </w:rPr>
                    <w:t>城市杂用水水质》（GB/T18920-20</w:t>
                  </w:r>
                  <w:r>
                    <w:rPr>
                      <w:rFonts w:hint="default" w:ascii="Times New Roman" w:hAnsi="Times New Roman" w:cs="Times New Roman"/>
                      <w:color w:val="000000" w:themeColor="text1"/>
                      <w:kern w:val="0"/>
                      <w:sz w:val="21"/>
                      <w:szCs w:val="21"/>
                      <w:highlight w:val="none"/>
                      <w:lang w:val="en-US" w:eastAsia="zh-CN"/>
                    </w:rPr>
                    <w:t>02</w:t>
                  </w:r>
                  <w:r>
                    <w:rPr>
                      <w:rFonts w:hint="default" w:ascii="Times New Roman" w:hAnsi="Times New Roman" w:cs="Times New Roman"/>
                      <w:color w:val="000000" w:themeColor="text1"/>
                      <w:kern w:val="0"/>
                      <w:sz w:val="21"/>
                      <w:szCs w:val="21"/>
                      <w:highlight w:val="none"/>
                    </w:rPr>
                    <w:t>）城市绿化水质标准及《城镇污水处理厂污染物排放标准》（GB18918-2002）一级A标准），排入市政污水管网</w:t>
                  </w:r>
                </w:p>
              </w:tc>
              <w:tc>
                <w:tcPr>
                  <w:tcW w:w="0" w:type="auto"/>
                  <w:vAlign w:val="center"/>
                </w:tcPr>
                <w:p w14:paraId="5E88B73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本项目综合废水经防渗化粪池进行处理后，再排入</w:t>
                  </w:r>
                  <w:r>
                    <w:rPr>
                      <w:rFonts w:hint="eastAsia" w:ascii="Times New Roman" w:hAnsi="Times New Roman" w:cs="Times New Roman"/>
                      <w:color w:val="000000" w:themeColor="text1"/>
                      <w:kern w:val="0"/>
                      <w:sz w:val="21"/>
                      <w:szCs w:val="21"/>
                      <w:lang w:val="en-US" w:eastAsia="zh-CN"/>
                    </w:rPr>
                    <w:t>污</w:t>
                  </w:r>
                  <w:r>
                    <w:rPr>
                      <w:rFonts w:hint="default" w:ascii="Times New Roman" w:hAnsi="Times New Roman" w:cs="Times New Roman"/>
                      <w:color w:val="000000" w:themeColor="text1"/>
                      <w:kern w:val="0"/>
                      <w:sz w:val="21"/>
                      <w:szCs w:val="21"/>
                    </w:rPr>
                    <w:t>水处理站处理达到《城市污水再生利用</w:t>
                  </w:r>
                  <w:r>
                    <w:rPr>
                      <w:rFonts w:hint="default" w:ascii="Times New Roman" w:hAnsi="Times New Roman" w:cs="Times New Roman"/>
                      <w:color w:val="000000" w:themeColor="text1"/>
                      <w:kern w:val="0"/>
                      <w:sz w:val="21"/>
                      <w:szCs w:val="21"/>
                      <w:lang w:val="en-US" w:eastAsia="zh-CN"/>
                    </w:rPr>
                    <w:t xml:space="preserve"> </w:t>
                  </w:r>
                  <w:r>
                    <w:rPr>
                      <w:rFonts w:hint="default" w:ascii="Times New Roman" w:hAnsi="Times New Roman" w:cs="Times New Roman"/>
                      <w:color w:val="000000" w:themeColor="text1"/>
                      <w:kern w:val="0"/>
                      <w:sz w:val="21"/>
                      <w:szCs w:val="21"/>
                    </w:rPr>
                    <w:t>城市杂用水水质》（GB/T18920-20</w:t>
                  </w:r>
                  <w:r>
                    <w:rPr>
                      <w:rFonts w:hint="default" w:ascii="Times New Roman" w:hAnsi="Times New Roman" w:cs="Times New Roman"/>
                      <w:color w:val="000000" w:themeColor="text1"/>
                      <w:kern w:val="0"/>
                      <w:sz w:val="21"/>
                      <w:szCs w:val="21"/>
                      <w:lang w:val="en-US" w:eastAsia="zh-CN"/>
                    </w:rPr>
                    <w:t>20</w:t>
                  </w:r>
                  <w:r>
                    <w:rPr>
                      <w:rFonts w:hint="default" w:ascii="Times New Roman" w:hAnsi="Times New Roman" w:cs="Times New Roman"/>
                      <w:color w:val="000000" w:themeColor="text1"/>
                      <w:kern w:val="0"/>
                      <w:sz w:val="21"/>
                      <w:szCs w:val="21"/>
                    </w:rPr>
                    <w:t>）城市绿化水质标准及《城镇污水处理厂污染物排放标准》（GB18918-2002）一级A标准后，排入市政污水管网</w:t>
                  </w:r>
                </w:p>
              </w:tc>
            </w:tr>
          </w:tbl>
          <w:p w14:paraId="717CB4FF">
            <w:pPr>
              <w:spacing w:line="360" w:lineRule="auto"/>
              <w:ind w:firstLine="480" w:firstLineChars="200"/>
              <w:rPr>
                <w:rFonts w:hint="default" w:ascii="Times New Roman" w:hAnsi="Times New Roman" w:cs="Times New Roman"/>
                <w:color w:val="000000" w:themeColor="text1"/>
                <w:kern w:val="18"/>
                <w:sz w:val="24"/>
                <w:szCs w:val="24"/>
              </w:rPr>
            </w:pPr>
            <w:r>
              <w:rPr>
                <w:rFonts w:hint="default" w:ascii="Times New Roman" w:hAnsi="Times New Roman" w:cs="Times New Roman"/>
                <w:color w:val="000000" w:themeColor="text1"/>
                <w:kern w:val="18"/>
                <w:sz w:val="24"/>
                <w:szCs w:val="24"/>
              </w:rPr>
              <w:t>项目废水处理排放流程见图3-1。</w:t>
            </w:r>
          </w:p>
          <w:p w14:paraId="0E71D3E8">
            <w:pPr>
              <w:spacing w:line="360" w:lineRule="auto"/>
              <w:jc w:val="center"/>
              <w:rPr>
                <w:rFonts w:hint="default" w:ascii="Times New Roman" w:hAnsi="Times New Roman" w:cs="Times New Roman"/>
                <w:color w:val="000000" w:themeColor="text1"/>
              </w:rPr>
            </w:pPr>
            <w:r>
              <w:rPr>
                <w:rFonts w:hint="default" w:ascii="Times New Roman" w:hAnsi="Times New Roman" w:cs="Times New Roman"/>
                <w:color w:val="000000" w:themeColor="text1"/>
              </w:rPr>
              <w:pict>
                <v:shape id="_x0000_s2053" o:spid="_x0000_s2053" o:spt="12" type="#_x0000_t12" style="position:absolute;left:0pt;margin-left:286.4pt;margin-top:59.95pt;height:11.3pt;width:11.9pt;z-index:251660288;mso-width-relative:page;mso-height-relative:page;" fillcolor="#FF0000" filled="t" stroked="t" coordsize="21600,21600">
                  <v:path/>
                  <v:fill on="t" focussize="0,0"/>
                  <v:stroke weight="1.25pt" color="#FF0000" joinstyle="miter"/>
                  <v:imagedata o:title=""/>
                  <o:lock v:ext="edit"/>
                </v:shape>
              </w:pict>
            </w:r>
            <w:r>
              <w:rPr>
                <w:rFonts w:hint="default" w:ascii="Times New Roman" w:hAnsi="Times New Roman" w:cs="Times New Roman"/>
                <w:color w:val="000000" w:themeColor="text1"/>
                <w:sz w:val="21"/>
              </w:rPr>
              <w:pict>
                <v:line id="_x0000_s2050" o:spid="_x0000_s2050" o:spt="20" style="position:absolute;left:0pt;margin-left:41pt;margin-top:185.05pt;height:0.05pt;width:16.5pt;z-index:251663360;mso-width-relative:page;mso-height-relative:page;" fillcolor="#FFFFFF" filled="t" stroked="t" coordsize="21600,21600">
                  <v:path arrowok="t"/>
                  <v:fill on="t" color2="#FFFFFF" focussize="0,0"/>
                  <v:stroke weight="0.5pt" color="#000000" endarrow="block"/>
                  <v:imagedata o:title=""/>
                  <o:lock v:ext="edit" aspectratio="f"/>
                </v:line>
              </w:pict>
            </w:r>
            <w:r>
              <w:rPr>
                <w:rFonts w:hint="default" w:ascii="Times New Roman" w:hAnsi="Times New Roman" w:cs="Times New Roman"/>
                <w:color w:val="000000" w:themeColor="text1"/>
              </w:rPr>
              <w:pict>
                <v:shape id="_x0000_s2051" o:spid="_x0000_s2051" o:spt="202" type="#_x0000_t202" style="position:absolute;left:0pt;margin-left:34.55pt;margin-top:151pt;height:50.75pt;width:147.75pt;z-index:251662336;mso-width-relative:page;mso-height-relative:page;" filled="t" stroked="f" coordsize="21600,21600">
                  <v:path/>
                  <v:fill type="gradient" on="t" angle="90" focussize="0f,0f">
                    <o:fill type="gradientUnscaled" v:ext="backwardCompatible"/>
                  </v:fill>
                  <v:stroke on="f" weight="1.25pt" color="#739CC3" joinstyle="miter"/>
                  <v:imagedata o:title=""/>
                  <o:lock v:ext="edit"/>
                  <v:textbox>
                    <w:txbxContent>
                      <w:p w14:paraId="6D75E635">
                        <w:pPr>
                          <w:spacing w:line="360" w:lineRule="auto"/>
                        </w:pPr>
                        <w:r>
                          <w:drawing>
                            <wp:inline distT="0" distB="0" distL="0" distR="0">
                              <wp:extent cx="214630" cy="207010"/>
                              <wp:effectExtent l="0" t="0" r="0" b="254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15"/>
                                      <a:srcRect/>
                                      <a:stretch>
                                        <a:fillRect/>
                                      </a:stretch>
                                    </pic:blipFill>
                                    <pic:spPr>
                                      <a:xfrm>
                                        <a:off x="0" y="0"/>
                                        <a:ext cx="214630" cy="207010"/>
                                      </a:xfrm>
                                      <a:prstGeom prst="rect">
                                        <a:avLst/>
                                      </a:prstGeom>
                                      <a:noFill/>
                                      <a:ln w="9525">
                                        <a:noFill/>
                                        <a:miter lim="800000"/>
                                        <a:headEnd/>
                                        <a:tailEnd/>
                                      </a:ln>
                                    </pic:spPr>
                                  </pic:pic>
                                </a:graphicData>
                              </a:graphic>
                            </wp:inline>
                          </w:drawing>
                        </w:r>
                        <w:r>
                          <w:rPr>
                            <w:rFonts w:hint="eastAsia"/>
                          </w:rPr>
                          <w:t xml:space="preserve"> 废水采样点</w:t>
                        </w:r>
                      </w:p>
                      <w:p w14:paraId="496642FA">
                        <w:pPr>
                          <w:spacing w:line="360" w:lineRule="auto"/>
                        </w:pPr>
                        <w:r>
                          <w:rPr>
                            <w:rFonts w:hint="eastAsia"/>
                          </w:rPr>
                          <w:t xml:space="preserve">     废水走向</w:t>
                        </w:r>
                      </w:p>
                    </w:txbxContent>
                  </v:textbox>
                </v:shape>
              </w:pict>
            </w:r>
            <w:r>
              <w:rPr>
                <w:rFonts w:hint="default" w:ascii="Times New Roman" w:hAnsi="Times New Roman" w:cs="Times New Roman"/>
                <w:color w:val="000000" w:themeColor="text1"/>
              </w:rPr>
              <w:pict>
                <v:shape id="_x0000_s2052" o:spid="_x0000_s2052" o:spt="12" type="#_x0000_t12" style="position:absolute;left:0pt;margin-left:349.95pt;margin-top:98.7pt;height:11.3pt;width:11.9pt;z-index:251661312;mso-width-relative:page;mso-height-relative:page;" fillcolor="#FF0000" filled="t" stroked="t" coordsize="21600,21600">
                  <v:path/>
                  <v:fill on="t" focussize="0,0"/>
                  <v:stroke weight="1.25pt" color="#FF0000" joinstyle="miter"/>
                  <v:imagedata o:title=""/>
                  <o:lock v:ext="edit"/>
                </v:shape>
              </w:pict>
            </w:r>
            <w:r>
              <w:rPr>
                <w:rFonts w:hint="default" w:ascii="Times New Roman" w:hAnsi="Times New Roman" w:cs="Times New Roman"/>
                <w:color w:val="000000" w:themeColor="text1"/>
              </w:rPr>
              <w:object>
                <v:shape id="_x0000_i1027" o:spt="75" type="#_x0000_t75" style="height:209.1pt;width:375.05pt;" o:ole="t" filled="f" o:preferrelative="t" stroked="f" coordsize="21600,21600">
                  <v:path/>
                  <v:fill on="f" focussize="0,0"/>
                  <v:stroke on="f"/>
                  <v:imagedata r:id="rId17" o:title=""/>
                  <o:lock v:ext="edit" aspectratio="t"/>
                  <w10:wrap type="none"/>
                  <w10:anchorlock/>
                </v:shape>
                <o:OLEObject Type="Embed" ProgID="Visio.Drawing.11" ShapeID="_x0000_i1027" DrawAspect="Content" ObjectID="_1468075727" r:id="rId16">
                  <o:LockedField>false</o:LockedField>
                </o:OLEObject>
              </w:object>
            </w:r>
          </w:p>
          <w:p w14:paraId="06EB91A1">
            <w:pPr>
              <w:spacing w:line="360" w:lineRule="auto"/>
              <w:jc w:val="center"/>
              <w:rPr>
                <w:rFonts w:hint="default" w:ascii="Times New Roman" w:hAnsi="Times New Roman" w:cs="Times New Roman"/>
                <w:color w:val="000000" w:themeColor="text1"/>
                <w:kern w:val="18"/>
                <w:sz w:val="24"/>
                <w:szCs w:val="24"/>
              </w:rPr>
            </w:pPr>
            <w:r>
              <w:rPr>
                <w:rFonts w:hint="default" w:ascii="Times New Roman" w:hAnsi="Times New Roman" w:cs="Times New Roman"/>
                <w:b/>
                <w:color w:val="000000" w:themeColor="text1"/>
                <w:sz w:val="24"/>
                <w:szCs w:val="24"/>
              </w:rPr>
              <w:t>图3-1  项目废水处理排放流程图</w:t>
            </w:r>
          </w:p>
          <w:p w14:paraId="37D8C953">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val="en-US" w:eastAsia="zh-CN"/>
              </w:rPr>
              <w:t>2、</w:t>
            </w:r>
            <w:r>
              <w:rPr>
                <w:rFonts w:hint="default" w:ascii="Times New Roman" w:hAnsi="Times New Roman" w:cs="Times New Roman"/>
                <w:b/>
                <w:bCs/>
                <w:color w:val="000000" w:themeColor="text1"/>
                <w:sz w:val="24"/>
                <w:szCs w:val="24"/>
              </w:rPr>
              <w:t>废气</w:t>
            </w:r>
          </w:p>
          <w:p w14:paraId="7F5F14E4">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项目废气主要来源于</w:t>
            </w:r>
            <w:r>
              <w:rPr>
                <w:rFonts w:ascii="Times New Roman" w:hAnsiTheme="minorEastAsia" w:eastAsiaTheme="minorEastAsia"/>
                <w:color w:val="000000" w:themeColor="text1"/>
                <w:sz w:val="24"/>
                <w:szCs w:val="24"/>
              </w:rPr>
              <w:t>居民厨房产生的油烟；污水处理站、防渗化粪池和垃圾收集设施产生的恶臭；项目区进出车辆的汽车尾气、备用发电机废气等</w:t>
            </w:r>
            <w:r>
              <w:rPr>
                <w:rFonts w:hint="default" w:ascii="Times New Roman" w:hAnsi="Times New Roman" w:cs="Times New Roman"/>
                <w:color w:val="000000" w:themeColor="text1"/>
                <w:sz w:val="24"/>
                <w:szCs w:val="24"/>
              </w:rPr>
              <w:t>。</w:t>
            </w:r>
          </w:p>
          <w:p w14:paraId="3D106AC9">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w:t>
            </w:r>
            <w:r>
              <w:rPr>
                <w:rFonts w:ascii="Times New Roman" w:hAnsiTheme="minorEastAsia" w:eastAsiaTheme="minorEastAsia"/>
                <w:color w:val="000000" w:themeColor="text1"/>
                <w:sz w:val="24"/>
                <w:szCs w:val="24"/>
              </w:rPr>
              <w:t>住户厨房油烟</w:t>
            </w:r>
          </w:p>
          <w:p w14:paraId="623F75BD">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项目住宅区厨房主要使用电</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液化气</w:t>
            </w:r>
            <w:r>
              <w:rPr>
                <w:rFonts w:hint="default" w:ascii="Times New Roman" w:hAnsi="Times New Roman" w:cs="Times New Roman"/>
                <w:color w:val="000000" w:themeColor="text1"/>
                <w:sz w:val="24"/>
                <w:szCs w:val="24"/>
              </w:rPr>
              <w:t>等清洁能源，燃烧废气中污染物较少，厨房油烟主要来源于炒菜、油炸食品等烹饪活动。</w:t>
            </w:r>
            <w:r>
              <w:rPr>
                <w:rFonts w:ascii="Times New Roman" w:hAnsiTheme="minorEastAsia" w:eastAsiaTheme="minorEastAsia"/>
                <w:color w:val="000000" w:themeColor="text1"/>
                <w:sz w:val="24"/>
                <w:szCs w:val="24"/>
              </w:rPr>
              <w:t>项目区内的厨房为多点分布，炊事具有时段性，炊事废气的产生具有间断性、时间较短、产生量较小、产生点相对分散等特点，每户厨房所排放的油烟经过抽油烟机处理后从住宅内置排烟道收集由屋顶排出。项目住户厨房油烟通过排烟道从高空排放经过稀释扩散，油烟废气的排放对环境空气的影响轻微。</w:t>
            </w:r>
          </w:p>
          <w:p w14:paraId="74FFA47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lang w:eastAsia="zh-CN"/>
              </w:rPr>
              <w:t>）</w:t>
            </w:r>
            <w:r>
              <w:rPr>
                <w:rFonts w:ascii="Times New Roman" w:hAnsiTheme="minorEastAsia" w:eastAsiaTheme="minorEastAsia"/>
                <w:color w:val="000000" w:themeColor="text1"/>
                <w:sz w:val="24"/>
                <w:szCs w:val="24"/>
              </w:rPr>
              <w:t>污水处理站、防渗化粪池和垃圾收集设施产生的恶臭</w:t>
            </w:r>
          </w:p>
          <w:p w14:paraId="534ADB7E">
            <w:pPr>
              <w:spacing w:line="360" w:lineRule="auto"/>
              <w:ind w:firstLine="48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 w:val="24"/>
                <w:szCs w:val="24"/>
              </w:rPr>
              <w:t>项目</w:t>
            </w:r>
            <w:r>
              <w:rPr>
                <w:rFonts w:ascii="Times New Roman" w:hAnsiTheme="minorEastAsia" w:eastAsiaTheme="minorEastAsia"/>
                <w:color w:val="000000" w:themeColor="text1"/>
                <w:sz w:val="24"/>
                <w:szCs w:val="24"/>
              </w:rPr>
              <w:t>污水处理站、防渗化粪池</w:t>
            </w:r>
            <w:r>
              <w:rPr>
                <w:rFonts w:hint="eastAsia" w:ascii="Times New Roman" w:hAnsiTheme="minorEastAsia" w:eastAsiaTheme="minorEastAsia"/>
                <w:color w:val="000000" w:themeColor="text1"/>
                <w:sz w:val="24"/>
                <w:szCs w:val="24"/>
                <w:lang w:val="en-US" w:eastAsia="zh-CN"/>
              </w:rPr>
              <w:t>及</w:t>
            </w:r>
            <w:r>
              <w:rPr>
                <w:rFonts w:hint="default" w:ascii="Times New Roman" w:hAnsi="Times New Roman" w:cs="Times New Roman"/>
                <w:color w:val="000000" w:themeColor="text1"/>
                <w:kern w:val="0"/>
                <w:sz w:val="24"/>
                <w:szCs w:val="24"/>
              </w:rPr>
              <w:t>垃圾收集系统运行时会产生异味。</w:t>
            </w:r>
            <w:r>
              <w:rPr>
                <w:rFonts w:hint="default" w:ascii="Times New Roman" w:hAnsi="Times New Roman" w:cs="Times New Roman"/>
                <w:color w:val="000000" w:themeColor="text1"/>
                <w:sz w:val="24"/>
                <w:szCs w:val="24"/>
                <w:highlight w:val="none"/>
              </w:rPr>
              <w:t>于</w:t>
            </w:r>
            <w:r>
              <w:rPr>
                <w:rFonts w:hint="eastAsia" w:ascii="Times New Roman" w:hAnsi="Times New Roman" w:cs="Times New Roman"/>
                <w:color w:val="000000" w:themeColor="text1"/>
                <w:sz w:val="24"/>
                <w:szCs w:val="24"/>
                <w:highlight w:val="none"/>
                <w:lang w:val="en-US" w:eastAsia="zh-CN"/>
              </w:rPr>
              <w:t>项目</w:t>
            </w:r>
            <w:r>
              <w:rPr>
                <w:rFonts w:hint="default" w:ascii="Times New Roman" w:hAnsi="Times New Roman" w:cs="Times New Roman"/>
                <w:color w:val="000000" w:themeColor="text1"/>
                <w:sz w:val="24"/>
                <w:szCs w:val="24"/>
                <w:highlight w:val="none"/>
                <w:lang w:val="en-US" w:eastAsia="zh-CN"/>
              </w:rPr>
              <w:t>区</w:t>
            </w:r>
            <w:r>
              <w:rPr>
                <w:rFonts w:hint="default" w:ascii="Times New Roman" w:hAnsi="Times New Roman" w:cs="Times New Roman"/>
                <w:color w:val="000000" w:themeColor="text1"/>
                <w:sz w:val="24"/>
                <w:szCs w:val="24"/>
                <w:highlight w:val="none"/>
              </w:rPr>
              <w:t>合理设置垃圾箱</w:t>
            </w:r>
            <w:r>
              <w:rPr>
                <w:rFonts w:hint="default"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rPr>
              <w:t>垃圾收集桶应选用密闭式垃圾桶，并做到每日至少清理一次。经过空气过滤、绿化带阻隔及稀释、扩散后可有效减缓</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水处理站、化粪池对项目自身及外环境的影响，不会产生大的影响。</w:t>
            </w:r>
          </w:p>
          <w:p w14:paraId="27446343">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）汽车尾气</w:t>
            </w:r>
          </w:p>
          <w:p w14:paraId="49E4028E">
            <w:pPr>
              <w:autoSpaceDE w:val="0"/>
              <w:autoSpaceDN w:val="0"/>
              <w:adjustRightInd w:val="0"/>
              <w:spacing w:line="360" w:lineRule="auto"/>
              <w:ind w:firstLine="482"/>
              <w:rPr>
                <w:rFonts w:hint="default" w:ascii="Times New Roman" w:hAnsi="Times New Roman" w:cs="Times New Roman"/>
                <w:color w:val="000000" w:themeColor="text1"/>
                <w:sz w:val="24"/>
                <w:szCs w:val="24"/>
                <w:lang w:eastAsia="zh-CN"/>
              </w:rPr>
            </w:pPr>
            <w:r>
              <w:rPr>
                <w:rFonts w:ascii="Times New Roman" w:hAnsiTheme="minorEastAsia" w:eastAsiaTheme="minorEastAsia"/>
                <w:color w:val="000000" w:themeColor="text1"/>
                <w:sz w:val="24"/>
              </w:rPr>
              <w:t>本项目设置有一个地下停车库，共设置</w:t>
            </w:r>
            <w:r>
              <w:rPr>
                <w:rFonts w:ascii="Times New Roman" w:hAnsi="Times New Roman" w:eastAsiaTheme="minorEastAsia"/>
                <w:color w:val="000000" w:themeColor="text1"/>
                <w:sz w:val="24"/>
              </w:rPr>
              <w:t>260</w:t>
            </w:r>
            <w:r>
              <w:rPr>
                <w:rFonts w:ascii="Times New Roman" w:hAnsiTheme="minorEastAsia" w:eastAsiaTheme="minorEastAsia"/>
                <w:color w:val="000000" w:themeColor="text1"/>
                <w:sz w:val="24"/>
              </w:rPr>
              <w:t>个停车位。地下停车库汽车废气主要是汽车在进出地下停车场及运行过程中产生的汽车尾气。地下停车库汽车废气主要由风机抽送，另有部分废气经车库出入口向外扩散，属无组织排放</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汽车尾气经</w:t>
            </w:r>
            <w:r>
              <w:rPr>
                <w:rFonts w:hint="default" w:ascii="Times New Roman" w:hAnsi="Times New Roman" w:cs="Times New Roman"/>
                <w:color w:val="000000" w:themeColor="text1"/>
                <w:sz w:val="24"/>
                <w:szCs w:val="24"/>
                <w:lang w:eastAsia="zh-CN"/>
              </w:rPr>
              <w:t>自然扩散、稀释</w:t>
            </w:r>
            <w:r>
              <w:rPr>
                <w:rFonts w:hint="default" w:ascii="Times New Roman" w:hAnsi="Times New Roman" w:cs="Times New Roman"/>
                <w:color w:val="000000" w:themeColor="text1"/>
                <w:sz w:val="24"/>
                <w:szCs w:val="24"/>
              </w:rPr>
              <w:t>后，对环境影响较小</w:t>
            </w:r>
            <w:r>
              <w:rPr>
                <w:rFonts w:hint="default" w:ascii="Times New Roman" w:hAnsi="Times New Roman" w:cs="Times New Roman"/>
                <w:color w:val="000000" w:themeColor="text1"/>
                <w:sz w:val="24"/>
                <w:szCs w:val="24"/>
                <w:lang w:eastAsia="zh-CN"/>
              </w:rPr>
              <w:t>。</w:t>
            </w:r>
          </w:p>
          <w:p w14:paraId="7F0F2BBA">
            <w:pPr>
              <w:numPr>
                <w:ilvl w:val="0"/>
                <w:numId w:val="0"/>
              </w:numPr>
              <w:autoSpaceDE w:val="0"/>
              <w:autoSpaceDN w:val="0"/>
              <w:adjustRightInd w:val="0"/>
              <w:spacing w:line="360" w:lineRule="auto"/>
              <w:ind w:firstLine="482" w:firstLineChars="0"/>
              <w:rPr>
                <w:rFonts w:hint="eastAsia" w:ascii="Times New Roman" w:hAnsi="Times New Roman" w:cs="Times New Roman"/>
                <w:color w:val="000000" w:themeColor="text1"/>
                <w:sz w:val="24"/>
                <w:szCs w:val="24"/>
                <w:lang w:eastAsia="zh-CN"/>
              </w:rPr>
            </w:pPr>
            <w:r>
              <w:rPr>
                <w:rFonts w:hint="eastAsia" w:ascii="Times New Roman" w:hAnsi="Times New Roman" w:eastAsia="宋体" w:cs="Times New Roman"/>
                <w:color w:val="000000" w:themeColor="text1"/>
                <w:kern w:val="2"/>
                <w:sz w:val="24"/>
                <w:szCs w:val="24"/>
                <w:lang w:val="en-US" w:eastAsia="zh-CN" w:bidi="ar-SA"/>
              </w:rPr>
              <w:t>4）</w:t>
            </w:r>
            <w:r>
              <w:rPr>
                <w:rFonts w:hint="eastAsia" w:ascii="Times New Roman" w:hAnsi="Times New Roman" w:cs="Times New Roman"/>
                <w:color w:val="000000" w:themeColor="text1"/>
                <w:sz w:val="24"/>
                <w:szCs w:val="24"/>
                <w:lang w:eastAsia="zh-CN"/>
              </w:rPr>
              <w:t>备用发电机废气</w:t>
            </w:r>
          </w:p>
          <w:p w14:paraId="1D956D6B">
            <w:pPr>
              <w:numPr>
                <w:ilvl w:val="0"/>
                <w:numId w:val="0"/>
              </w:numPr>
              <w:autoSpaceDE w:val="0"/>
              <w:autoSpaceDN w:val="0"/>
              <w:adjustRightInd w:val="0"/>
              <w:spacing w:line="360" w:lineRule="auto"/>
              <w:ind w:firstLine="480" w:firstLineChars="200"/>
              <w:rPr>
                <w:rFonts w:hint="default" w:ascii="Times New Roman" w:hAnsi="Times New Roman" w:cs="Times New Roman"/>
                <w:color w:val="000000" w:themeColor="text1"/>
                <w:sz w:val="24"/>
                <w:szCs w:val="24"/>
                <w:lang w:eastAsia="zh-CN"/>
              </w:rPr>
            </w:pPr>
            <w:r>
              <w:rPr>
                <w:rFonts w:hint="default" w:ascii="Times New Roman" w:hAnsi="Times New Roman" w:cs="Times New Roman"/>
                <w:color w:val="000000" w:themeColor="text1"/>
                <w:sz w:val="24"/>
                <w:szCs w:val="24"/>
                <w:lang w:eastAsia="zh-CN"/>
              </w:rPr>
              <w:t>本项目备有一台发电机为第三电源，发电机以柴油作为燃料，使用时间较少，产生的污染物主要为总烃、CO、NOx等。项目选用达标排放的发电机，</w:t>
            </w:r>
            <w:r>
              <w:rPr>
                <w:rFonts w:ascii="Times New Roman" w:hAnsiTheme="minorEastAsia" w:eastAsiaTheme="minorEastAsia"/>
                <w:bCs/>
                <w:color w:val="000000" w:themeColor="text1"/>
                <w:sz w:val="24"/>
                <w:szCs w:val="28"/>
              </w:rPr>
              <w:t>发电机配有废气过滤棉，废气中污染物经过滤后由排气筒排出，发电机的排气筒连接到室外。</w:t>
            </w:r>
            <w:r>
              <w:rPr>
                <w:rFonts w:ascii="Times New Roman" w:hAnsiTheme="minorEastAsia" w:eastAsiaTheme="minorEastAsia"/>
                <w:color w:val="000000" w:themeColor="text1"/>
                <w:sz w:val="24"/>
              </w:rPr>
              <w:t>由于发电机使用时间短，发电机房排放废气中大气污染物浓度低，产生量较小，项目区通过设置绿化带，备用发电机产生的废气经空气稀释扩散后不会对周边环境产生影响。</w:t>
            </w:r>
          </w:p>
          <w:p w14:paraId="534EA50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项目大气污染物产生及排放情况见表3-2。</w:t>
            </w:r>
          </w:p>
          <w:p w14:paraId="3E96F0CA">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3-2  项目废气来源及环保设施一览表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102"/>
              <w:gridCol w:w="1124"/>
              <w:gridCol w:w="1125"/>
              <w:gridCol w:w="843"/>
              <w:gridCol w:w="1954"/>
              <w:gridCol w:w="1959"/>
            </w:tblGrid>
            <w:tr w14:paraId="0BFB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7" w:type="dxa"/>
                  <w:vMerge w:val="restart"/>
                  <w:vAlign w:val="center"/>
                </w:tcPr>
                <w:p w14:paraId="1E1098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序号</w:t>
                  </w:r>
                </w:p>
              </w:tc>
              <w:tc>
                <w:tcPr>
                  <w:tcW w:w="1102" w:type="dxa"/>
                  <w:vMerge w:val="restart"/>
                  <w:vAlign w:val="center"/>
                </w:tcPr>
                <w:p w14:paraId="03299A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废气名称</w:t>
                  </w:r>
                </w:p>
              </w:tc>
              <w:tc>
                <w:tcPr>
                  <w:tcW w:w="1124" w:type="dxa"/>
                  <w:vMerge w:val="restart"/>
                  <w:vAlign w:val="center"/>
                </w:tcPr>
                <w:p w14:paraId="0902B6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污染源</w:t>
                  </w:r>
                </w:p>
              </w:tc>
              <w:tc>
                <w:tcPr>
                  <w:tcW w:w="1125" w:type="dxa"/>
                  <w:vMerge w:val="restart"/>
                  <w:vAlign w:val="center"/>
                </w:tcPr>
                <w:p w14:paraId="161DA3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主要污</w:t>
                  </w:r>
                </w:p>
                <w:p w14:paraId="49EFC8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染物</w:t>
                  </w:r>
                </w:p>
              </w:tc>
              <w:tc>
                <w:tcPr>
                  <w:tcW w:w="843" w:type="dxa"/>
                  <w:vMerge w:val="restart"/>
                  <w:vAlign w:val="center"/>
                </w:tcPr>
                <w:p w14:paraId="38FBF8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排放</w:t>
                  </w:r>
                </w:p>
                <w:p w14:paraId="01DF14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规律</w:t>
                  </w:r>
                </w:p>
              </w:tc>
              <w:tc>
                <w:tcPr>
                  <w:tcW w:w="3913" w:type="dxa"/>
                  <w:gridSpan w:val="2"/>
                  <w:vAlign w:val="center"/>
                </w:tcPr>
                <w:p w14:paraId="31AD59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处理设施及排放去向</w:t>
                  </w:r>
                </w:p>
              </w:tc>
            </w:tr>
            <w:tr w14:paraId="612B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7" w:type="dxa"/>
                  <w:vMerge w:val="continue"/>
                  <w:vAlign w:val="center"/>
                </w:tcPr>
                <w:p w14:paraId="360851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102" w:type="dxa"/>
                  <w:vMerge w:val="continue"/>
                  <w:vAlign w:val="center"/>
                </w:tcPr>
                <w:p w14:paraId="105825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124" w:type="dxa"/>
                  <w:vMerge w:val="continue"/>
                  <w:vAlign w:val="center"/>
                </w:tcPr>
                <w:p w14:paraId="3EDC3C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125" w:type="dxa"/>
                  <w:vMerge w:val="continue"/>
                  <w:vAlign w:val="center"/>
                </w:tcPr>
                <w:p w14:paraId="73FBB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843" w:type="dxa"/>
                  <w:vMerge w:val="continue"/>
                  <w:vAlign w:val="center"/>
                </w:tcPr>
                <w:p w14:paraId="1D93C3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954" w:type="dxa"/>
                  <w:vAlign w:val="center"/>
                </w:tcPr>
                <w:p w14:paraId="4D6F36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环评要求</w:t>
                  </w:r>
                </w:p>
              </w:tc>
              <w:tc>
                <w:tcPr>
                  <w:tcW w:w="1959" w:type="dxa"/>
                  <w:vAlign w:val="center"/>
                </w:tcPr>
                <w:p w14:paraId="2D0385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实际建设</w:t>
                  </w:r>
                </w:p>
              </w:tc>
            </w:tr>
            <w:tr w14:paraId="5D23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7" w:type="dxa"/>
                  <w:vAlign w:val="center"/>
                </w:tcPr>
                <w:p w14:paraId="524198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1</w:t>
                  </w:r>
                </w:p>
              </w:tc>
              <w:tc>
                <w:tcPr>
                  <w:tcW w:w="1102" w:type="dxa"/>
                  <w:vAlign w:val="center"/>
                </w:tcPr>
                <w:p w14:paraId="467F25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油烟</w:t>
                  </w:r>
                </w:p>
              </w:tc>
              <w:tc>
                <w:tcPr>
                  <w:tcW w:w="1124" w:type="dxa"/>
                  <w:vAlign w:val="center"/>
                </w:tcPr>
                <w:p w14:paraId="7467E9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高</w:t>
                  </w:r>
                  <w:r>
                    <w:rPr>
                      <w:rFonts w:hint="default" w:ascii="Times New Roman" w:hAnsi="Times New Roman" w:cs="Times New Roman"/>
                      <w:color w:val="000000" w:themeColor="text1"/>
                      <w:sz w:val="21"/>
                      <w:szCs w:val="21"/>
                      <w:lang w:val="en-US" w:eastAsia="zh-CN"/>
                    </w:rPr>
                    <w:t>层住宅区厨房油烟</w:t>
                  </w:r>
                </w:p>
              </w:tc>
              <w:tc>
                <w:tcPr>
                  <w:tcW w:w="1125" w:type="dxa"/>
                  <w:vAlign w:val="center"/>
                </w:tcPr>
                <w:p w14:paraId="143370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w:t>
                  </w:r>
                </w:p>
              </w:tc>
              <w:tc>
                <w:tcPr>
                  <w:tcW w:w="843" w:type="dxa"/>
                  <w:vAlign w:val="center"/>
                </w:tcPr>
                <w:p w14:paraId="5D6E85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无组织排放</w:t>
                  </w:r>
                </w:p>
              </w:tc>
              <w:tc>
                <w:tcPr>
                  <w:tcW w:w="1954" w:type="dxa"/>
                  <w:vAlign w:val="center"/>
                </w:tcPr>
                <w:p w14:paraId="62DAB21F">
                  <w:pPr>
                    <w:spacing w:line="276" w:lineRule="auto"/>
                    <w:jc w:val="center"/>
                    <w:rPr>
                      <w:rFonts w:hint="default" w:ascii="Times New Roman" w:hAnsi="Times New Roman" w:eastAsia="宋体" w:cs="Times New Roman"/>
                      <w:b/>
                      <w:color w:val="000000" w:themeColor="text1"/>
                      <w:kern w:val="0"/>
                      <w:sz w:val="21"/>
                      <w:szCs w:val="21"/>
                      <w:lang w:val="en-US" w:eastAsia="zh-CN" w:bidi="ar-SA"/>
                    </w:rPr>
                  </w:pPr>
                  <w:r>
                    <w:rPr>
                      <w:rFonts w:hint="default" w:ascii="Times New Roman" w:hAnsi="Times New Roman" w:cs="Times New Roman"/>
                      <w:color w:val="000000" w:themeColor="text1"/>
                      <w:kern w:val="0"/>
                      <w:szCs w:val="21"/>
                    </w:rPr>
                    <w:t>住宅区厨房所排放的油烟经过抽油烟机净化处理后从住宅内排烟道收集后排放</w:t>
                  </w:r>
                  <w:r>
                    <w:rPr>
                      <w:rFonts w:hint="default" w:ascii="Times New Roman" w:hAnsi="Times New Roman" w:cs="Times New Roman"/>
                      <w:color w:val="000000" w:themeColor="text1"/>
                      <w:kern w:val="0"/>
                      <w:szCs w:val="21"/>
                      <w:lang w:eastAsia="zh-CN"/>
                    </w:rPr>
                    <w:t>。</w:t>
                  </w:r>
                </w:p>
              </w:tc>
              <w:tc>
                <w:tcPr>
                  <w:tcW w:w="1959" w:type="dxa"/>
                  <w:vAlign w:val="center"/>
                </w:tcPr>
                <w:p w14:paraId="4D018474">
                  <w:pPr>
                    <w:spacing w:line="276" w:lineRule="auto"/>
                    <w:jc w:val="center"/>
                    <w:rPr>
                      <w:rFonts w:hint="default" w:ascii="Times New Roman" w:hAnsi="Times New Roman" w:eastAsia="宋体" w:cs="Times New Roman"/>
                      <w:color w:val="000000" w:themeColor="text1"/>
                      <w:kern w:val="0"/>
                      <w:sz w:val="21"/>
                      <w:szCs w:val="21"/>
                      <w:lang w:val="en-US" w:eastAsia="zh-CN" w:bidi="ar-SA"/>
                    </w:rPr>
                  </w:pPr>
                  <w:r>
                    <w:rPr>
                      <w:rFonts w:hint="eastAsia" w:ascii="Times New Roman" w:hAnsi="Times New Roman" w:cs="Times New Roman"/>
                      <w:color w:val="000000" w:themeColor="text1"/>
                      <w:kern w:val="0"/>
                      <w:szCs w:val="21"/>
                      <w:lang w:val="en-US" w:eastAsia="zh-CN"/>
                    </w:rPr>
                    <w:t>高</w:t>
                  </w:r>
                  <w:r>
                    <w:rPr>
                      <w:rFonts w:hint="default" w:ascii="Times New Roman" w:hAnsi="Times New Roman" w:cs="Times New Roman"/>
                      <w:color w:val="000000" w:themeColor="text1"/>
                      <w:kern w:val="0"/>
                      <w:szCs w:val="21"/>
                      <w:lang w:val="en-US" w:eastAsia="zh-CN"/>
                    </w:rPr>
                    <w:t>层</w:t>
                  </w:r>
                  <w:r>
                    <w:rPr>
                      <w:rFonts w:hint="default" w:ascii="Times New Roman" w:hAnsi="Times New Roman" w:cs="Times New Roman"/>
                      <w:color w:val="000000" w:themeColor="text1"/>
                      <w:kern w:val="0"/>
                      <w:szCs w:val="21"/>
                    </w:rPr>
                    <w:t>住宅区厨房所排放的油烟经过抽油烟机净化处理后从住宅内排烟道收集后排放</w:t>
                  </w:r>
                  <w:r>
                    <w:rPr>
                      <w:rFonts w:hint="default" w:ascii="Times New Roman" w:hAnsi="Times New Roman" w:cs="Times New Roman"/>
                      <w:color w:val="000000" w:themeColor="text1"/>
                      <w:kern w:val="0"/>
                      <w:szCs w:val="21"/>
                      <w:lang w:eastAsia="zh-CN"/>
                    </w:rPr>
                    <w:t>。</w:t>
                  </w:r>
                </w:p>
              </w:tc>
            </w:tr>
            <w:tr w14:paraId="0E6B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27" w:type="dxa"/>
                  <w:vAlign w:val="center"/>
                </w:tcPr>
                <w:p w14:paraId="17CEA2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2</w:t>
                  </w:r>
                </w:p>
              </w:tc>
              <w:tc>
                <w:tcPr>
                  <w:tcW w:w="1102" w:type="dxa"/>
                  <w:vAlign w:val="center"/>
                </w:tcPr>
                <w:p w14:paraId="6F99EF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恶臭</w:t>
                  </w:r>
                </w:p>
              </w:tc>
              <w:tc>
                <w:tcPr>
                  <w:tcW w:w="1124" w:type="dxa"/>
                  <w:vAlign w:val="center"/>
                </w:tcPr>
                <w:p w14:paraId="53CBBE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污水处理站、防渗化粪池</w:t>
                  </w:r>
                  <w:r>
                    <w:rPr>
                      <w:rFonts w:hint="default" w:ascii="Times New Roman" w:hAnsi="Times New Roman" w:cs="Times New Roman"/>
                      <w:color w:val="000000" w:themeColor="text1"/>
                      <w:sz w:val="21"/>
                      <w:szCs w:val="21"/>
                      <w:lang w:val="en-US" w:eastAsia="zh-CN"/>
                    </w:rPr>
                    <w:t>及</w:t>
                  </w:r>
                  <w:r>
                    <w:rPr>
                      <w:rFonts w:hint="default" w:ascii="Times New Roman" w:hAnsi="Times New Roman" w:cs="Times New Roman"/>
                      <w:color w:val="000000" w:themeColor="text1"/>
                      <w:sz w:val="21"/>
                      <w:szCs w:val="21"/>
                    </w:rPr>
                    <w:t>垃圾收集设施</w:t>
                  </w:r>
                </w:p>
              </w:tc>
              <w:tc>
                <w:tcPr>
                  <w:tcW w:w="1125" w:type="dxa"/>
                  <w:vAlign w:val="center"/>
                </w:tcPr>
                <w:p w14:paraId="3CC849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氨、硫化氢、臭气</w:t>
                  </w:r>
                </w:p>
              </w:tc>
              <w:tc>
                <w:tcPr>
                  <w:tcW w:w="843" w:type="dxa"/>
                  <w:vAlign w:val="center"/>
                </w:tcPr>
                <w:p w14:paraId="19A73A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无组织排放</w:t>
                  </w:r>
                </w:p>
              </w:tc>
              <w:tc>
                <w:tcPr>
                  <w:tcW w:w="1954" w:type="dxa"/>
                  <w:vAlign w:val="center"/>
                </w:tcPr>
                <w:p w14:paraId="1B94D9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kern w:val="0"/>
                      <w:sz w:val="21"/>
                      <w:szCs w:val="21"/>
                    </w:rPr>
                    <w:t>选用密闭式垃圾桶，并做到日产日清，经过空气过滤、绿化带阻隔及稀释、扩散</w:t>
                  </w:r>
                  <w:r>
                    <w:rPr>
                      <w:rFonts w:hint="default" w:ascii="Times New Roman" w:hAnsi="Times New Roman" w:cs="Times New Roman"/>
                      <w:color w:val="000000" w:themeColor="text1"/>
                      <w:kern w:val="0"/>
                      <w:sz w:val="21"/>
                      <w:szCs w:val="21"/>
                      <w:lang w:eastAsia="zh-CN"/>
                    </w:rPr>
                    <w:t>。</w:t>
                  </w:r>
                </w:p>
              </w:tc>
              <w:tc>
                <w:tcPr>
                  <w:tcW w:w="1959" w:type="dxa"/>
                  <w:vAlign w:val="center"/>
                </w:tcPr>
                <w:p w14:paraId="627375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kern w:val="0"/>
                      <w:sz w:val="21"/>
                      <w:szCs w:val="21"/>
                    </w:rPr>
                    <w:t>合理设置垃圾桶，并做到日产日清，经过空气过滤、绿化带阻隔及稀释、扩散</w:t>
                  </w:r>
                  <w:r>
                    <w:rPr>
                      <w:rFonts w:hint="default" w:ascii="Times New Roman" w:hAnsi="Times New Roman" w:cs="Times New Roman"/>
                      <w:color w:val="000000" w:themeColor="text1"/>
                      <w:kern w:val="0"/>
                      <w:sz w:val="21"/>
                      <w:szCs w:val="21"/>
                      <w:lang w:eastAsia="zh-CN"/>
                    </w:rPr>
                    <w:t>。</w:t>
                  </w:r>
                </w:p>
              </w:tc>
            </w:tr>
            <w:tr w14:paraId="285E9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27" w:type="dxa"/>
                  <w:vAlign w:val="center"/>
                </w:tcPr>
                <w:p w14:paraId="43F6BB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3</w:t>
                  </w:r>
                </w:p>
              </w:tc>
              <w:tc>
                <w:tcPr>
                  <w:tcW w:w="1102" w:type="dxa"/>
                  <w:vAlign w:val="center"/>
                </w:tcPr>
                <w:p w14:paraId="28BBF1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汽车尾气</w:t>
                  </w:r>
                </w:p>
              </w:tc>
              <w:tc>
                <w:tcPr>
                  <w:tcW w:w="1124" w:type="dxa"/>
                  <w:vAlign w:val="center"/>
                </w:tcPr>
                <w:p w14:paraId="28EC5C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进出车辆</w:t>
                  </w:r>
                </w:p>
              </w:tc>
              <w:tc>
                <w:tcPr>
                  <w:tcW w:w="1125" w:type="dxa"/>
                  <w:vAlign w:val="center"/>
                </w:tcPr>
                <w:p w14:paraId="22F1A7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CO、HC、NO</w:t>
                  </w:r>
                  <w:r>
                    <w:rPr>
                      <w:rFonts w:hint="default" w:ascii="Times New Roman" w:hAnsi="Times New Roman" w:cs="Times New Roman"/>
                      <w:color w:val="000000" w:themeColor="text1"/>
                      <w:sz w:val="21"/>
                      <w:szCs w:val="21"/>
                      <w:vertAlign w:val="subscript"/>
                    </w:rPr>
                    <w:t>x</w:t>
                  </w:r>
                </w:p>
              </w:tc>
              <w:tc>
                <w:tcPr>
                  <w:tcW w:w="843" w:type="dxa"/>
                  <w:vAlign w:val="center"/>
                </w:tcPr>
                <w:p w14:paraId="67D68A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无组织排放</w:t>
                  </w:r>
                </w:p>
              </w:tc>
              <w:tc>
                <w:tcPr>
                  <w:tcW w:w="1954" w:type="dxa"/>
                  <w:vAlign w:val="center"/>
                </w:tcPr>
                <w:p w14:paraId="49FF04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由风机抽送，另有部分废气经车库出入口向外扩散；自然扩散、稀释</w:t>
                  </w:r>
                  <w:r>
                    <w:rPr>
                      <w:rFonts w:hint="default" w:ascii="Times New Roman" w:hAnsi="Times New Roman" w:cs="Times New Roman"/>
                      <w:color w:val="000000" w:themeColor="text1"/>
                      <w:sz w:val="21"/>
                      <w:szCs w:val="21"/>
                      <w:lang w:eastAsia="zh-CN"/>
                    </w:rPr>
                    <w:t>。</w:t>
                  </w:r>
                </w:p>
              </w:tc>
              <w:tc>
                <w:tcPr>
                  <w:tcW w:w="1959" w:type="dxa"/>
                  <w:vAlign w:val="center"/>
                </w:tcPr>
                <w:p w14:paraId="4429EC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由风机抽送，另有部分废气经车库出入口向外扩散；自然扩散、稀释</w:t>
                  </w:r>
                  <w:r>
                    <w:rPr>
                      <w:rFonts w:hint="default" w:ascii="Times New Roman" w:hAnsi="Times New Roman" w:cs="Times New Roman"/>
                      <w:color w:val="000000" w:themeColor="text1"/>
                      <w:sz w:val="21"/>
                      <w:szCs w:val="21"/>
                      <w:lang w:eastAsia="zh-CN"/>
                    </w:rPr>
                    <w:t>。</w:t>
                  </w:r>
                </w:p>
              </w:tc>
            </w:tr>
            <w:tr w14:paraId="35D2C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27" w:type="dxa"/>
                  <w:vAlign w:val="center"/>
                </w:tcPr>
                <w:p w14:paraId="3A984A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4</w:t>
                  </w:r>
                </w:p>
              </w:tc>
              <w:tc>
                <w:tcPr>
                  <w:tcW w:w="1102" w:type="dxa"/>
                  <w:vAlign w:val="center"/>
                </w:tcPr>
                <w:p w14:paraId="730814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备用发电机废气</w:t>
                  </w:r>
                </w:p>
              </w:tc>
              <w:tc>
                <w:tcPr>
                  <w:tcW w:w="1124" w:type="dxa"/>
                  <w:vAlign w:val="center"/>
                </w:tcPr>
                <w:p w14:paraId="053B2C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备用发电机</w:t>
                  </w:r>
                </w:p>
              </w:tc>
              <w:tc>
                <w:tcPr>
                  <w:tcW w:w="1125" w:type="dxa"/>
                  <w:vAlign w:val="center"/>
                </w:tcPr>
                <w:p w14:paraId="26CCC6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lang w:eastAsia="zh-CN"/>
                    </w:rPr>
                    <w:t>总烃、CO、NOx</w:t>
                  </w:r>
                </w:p>
              </w:tc>
              <w:tc>
                <w:tcPr>
                  <w:tcW w:w="843" w:type="dxa"/>
                  <w:vAlign w:val="center"/>
                </w:tcPr>
                <w:p w14:paraId="4560C7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无组织排放</w:t>
                  </w:r>
                </w:p>
              </w:tc>
              <w:tc>
                <w:tcPr>
                  <w:tcW w:w="1954" w:type="dxa"/>
                  <w:vAlign w:val="center"/>
                </w:tcPr>
                <w:p w14:paraId="24A6C8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rPr>
                    <w:t>发电机配有废气过滤棉，废气中污染物经过滤后由排气筒排出，发电机的排气筒连接到室外</w:t>
                  </w:r>
                  <w:r>
                    <w:rPr>
                      <w:rFonts w:hint="eastAsia" w:ascii="Times New Roman" w:hAnsi="Times New Roman" w:cs="Times New Roman"/>
                      <w:color w:val="000000" w:themeColor="text1"/>
                      <w:sz w:val="21"/>
                      <w:szCs w:val="21"/>
                      <w:lang w:eastAsia="zh-CN"/>
                    </w:rPr>
                    <w:t>。</w:t>
                  </w:r>
                </w:p>
              </w:tc>
              <w:tc>
                <w:tcPr>
                  <w:tcW w:w="1959" w:type="dxa"/>
                  <w:vAlign w:val="center"/>
                </w:tcPr>
                <w:p w14:paraId="272A39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rPr>
                    <w:t>发电机配有废气过滤棉，废气中污染物经过滤后由排气筒排出，发电机的排气筒连接到室外</w:t>
                  </w:r>
                  <w:r>
                    <w:rPr>
                      <w:rFonts w:hint="eastAsia" w:ascii="Times New Roman" w:hAnsi="Times New Roman" w:cs="Times New Roman"/>
                      <w:color w:val="000000" w:themeColor="text1"/>
                      <w:sz w:val="21"/>
                      <w:szCs w:val="21"/>
                      <w:lang w:eastAsia="zh-CN"/>
                    </w:rPr>
                    <w:t>。</w:t>
                  </w:r>
                </w:p>
              </w:tc>
            </w:tr>
          </w:tbl>
          <w:p w14:paraId="76DE191B">
            <w:pPr>
              <w:spacing w:beforeLines="50" w:line="360" w:lineRule="auto"/>
              <w:ind w:firstLine="482" w:firstLineChars="200"/>
              <w:jc w:val="left"/>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eastAsia="zh-CN"/>
              </w:rPr>
              <w:t>（</w:t>
            </w:r>
            <w:r>
              <w:rPr>
                <w:rFonts w:hint="eastAsia" w:ascii="Times New Roman" w:hAnsi="Times New Roman" w:cs="Times New Roman"/>
                <w:b/>
                <w:color w:val="000000" w:themeColor="text1"/>
                <w:sz w:val="24"/>
                <w:szCs w:val="24"/>
                <w:lang w:val="en-US" w:eastAsia="zh-CN"/>
              </w:rPr>
              <w:t>3</w:t>
            </w:r>
            <w:r>
              <w:rPr>
                <w:rFonts w:hint="eastAsia" w:ascii="Times New Roman" w:hAnsi="Times New Roman" w:cs="Times New Roman"/>
                <w:b/>
                <w:color w:val="000000" w:themeColor="text1"/>
                <w:sz w:val="24"/>
                <w:szCs w:val="24"/>
                <w:lang w:eastAsia="zh-CN"/>
              </w:rPr>
              <w:t>）</w:t>
            </w:r>
            <w:r>
              <w:rPr>
                <w:rFonts w:hint="default" w:ascii="Times New Roman" w:hAnsi="Times New Roman" w:cs="Times New Roman"/>
                <w:b/>
                <w:color w:val="000000" w:themeColor="text1"/>
                <w:sz w:val="24"/>
                <w:szCs w:val="24"/>
              </w:rPr>
              <w:t>噪声</w:t>
            </w:r>
          </w:p>
          <w:p w14:paraId="4E4659A9">
            <w:pPr>
              <w:spacing w:line="360" w:lineRule="auto"/>
              <w:ind w:firstLine="48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 w:val="24"/>
                <w:szCs w:val="24"/>
              </w:rPr>
              <w:t>项目营运期噪声主要为</w:t>
            </w:r>
            <w:r>
              <w:rPr>
                <w:rFonts w:ascii="Times New Roman" w:hAnsiTheme="minorEastAsia" w:eastAsiaTheme="minorEastAsia"/>
                <w:color w:val="000000" w:themeColor="text1"/>
                <w:sz w:val="24"/>
              </w:rPr>
              <w:t>社会生活噪声、设施设备运行噪声和交通噪声</w:t>
            </w:r>
            <w:r>
              <w:rPr>
                <w:rFonts w:hint="default" w:ascii="Times New Roman" w:hAnsi="Times New Roman" w:cs="Times New Roman"/>
                <w:color w:val="000000" w:themeColor="text1"/>
                <w:sz w:val="24"/>
                <w:szCs w:val="24"/>
              </w:rPr>
              <w:t>。社会生活噪声包括住户活动噪声；设备噪声主要为备用发电机、污水处理站噪声；交通噪声主要为出入项目内的车辆排放的噪声。</w:t>
            </w:r>
          </w:p>
          <w:p w14:paraId="35CADC7A">
            <w:pPr>
              <w:numPr>
                <w:ilvl w:val="0"/>
                <w:numId w:val="0"/>
              </w:numPr>
              <w:spacing w:line="360" w:lineRule="auto"/>
              <w:ind w:left="1200" w:leftChars="0" w:hanging="720" w:firstLineChars="0"/>
              <w:rPr>
                <w:rFonts w:hint="default" w:ascii="Times New Roman" w:hAnsi="Times New Roman" w:cs="Times New Roman"/>
                <w:color w:val="000000" w:themeColor="text1"/>
                <w:sz w:val="24"/>
              </w:rPr>
            </w:pPr>
            <w:r>
              <w:rPr>
                <w:rFonts w:hint="default" w:ascii="Times New Roman" w:hAnsi="Times New Roman" w:eastAsia="宋体" w:cs="Times New Roman"/>
                <w:color w:val="000000" w:themeColor="text1"/>
                <w:kern w:val="2"/>
                <w:sz w:val="24"/>
                <w:szCs w:val="22"/>
                <w:lang w:val="en-US" w:eastAsia="zh-CN" w:bidi="ar-SA"/>
              </w:rPr>
              <w:t>1）</w:t>
            </w:r>
            <w:r>
              <w:rPr>
                <w:rFonts w:hint="default" w:ascii="Times New Roman" w:hAnsi="Times New Roman" w:cs="Times New Roman"/>
                <w:color w:val="000000" w:themeColor="text1"/>
                <w:sz w:val="24"/>
              </w:rPr>
              <w:t>社会生活噪声</w:t>
            </w:r>
          </w:p>
          <w:p w14:paraId="34C3544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rPr>
              <w:t>住户生活产生的噪声源强在60~80dB（A）之间，声源呈不连续性，昼夜差别大。通过</w:t>
            </w:r>
            <w:r>
              <w:rPr>
                <w:rFonts w:hint="default" w:ascii="Times New Roman" w:hAnsi="Times New Roman" w:cs="Times New Roman"/>
                <w:iCs/>
                <w:color w:val="000000" w:themeColor="text1"/>
                <w:sz w:val="24"/>
              </w:rPr>
              <w:t>对住户加强管理，监督到位，</w:t>
            </w:r>
            <w:r>
              <w:rPr>
                <w:rFonts w:hint="default" w:ascii="Times New Roman" w:hAnsi="Times New Roman" w:cs="Times New Roman"/>
                <w:color w:val="000000" w:themeColor="text1"/>
                <w:sz w:val="24"/>
                <w:lang w:val="en-US" w:eastAsia="zh-CN"/>
              </w:rPr>
              <w:t>经</w:t>
            </w:r>
            <w:r>
              <w:rPr>
                <w:rFonts w:hint="default" w:ascii="Times New Roman" w:hAnsi="Times New Roman" w:cs="Times New Roman"/>
                <w:color w:val="000000" w:themeColor="text1"/>
                <w:sz w:val="24"/>
              </w:rPr>
              <w:t>墙体隔声以及距离衰减处理等处理之后对项目自身和外环境敏感点影响不大。</w:t>
            </w:r>
          </w:p>
          <w:p w14:paraId="2755D5E4">
            <w:pPr>
              <w:numPr>
                <w:ilvl w:val="0"/>
                <w:numId w:val="0"/>
              </w:numPr>
              <w:spacing w:line="360" w:lineRule="auto"/>
              <w:ind w:left="1200" w:leftChars="0" w:hanging="720" w:firstLineChars="0"/>
              <w:rPr>
                <w:rFonts w:ascii="Times New Roman" w:hAnsiTheme="minorEastAsia" w:eastAsiaTheme="minorEastAsia"/>
                <w:color w:val="000000" w:themeColor="text1"/>
                <w:sz w:val="24"/>
              </w:rPr>
            </w:pPr>
            <w:r>
              <w:rPr>
                <w:rFonts w:hint="default" w:ascii="Times New Roman" w:cs="Times New Roman" w:hAnsiTheme="minorEastAsia" w:eastAsiaTheme="minorEastAsia"/>
                <w:color w:val="000000" w:themeColor="text1"/>
                <w:kern w:val="2"/>
                <w:sz w:val="24"/>
                <w:szCs w:val="22"/>
                <w:lang w:val="en-US" w:eastAsia="zh-CN" w:bidi="ar-SA"/>
              </w:rPr>
              <w:t>2）</w:t>
            </w:r>
            <w:r>
              <w:rPr>
                <w:rFonts w:ascii="Times New Roman" w:hAnsiTheme="minorEastAsia" w:eastAsiaTheme="minorEastAsia"/>
                <w:color w:val="000000" w:themeColor="text1"/>
                <w:sz w:val="24"/>
              </w:rPr>
              <w:t>设施设备运行噪声</w:t>
            </w:r>
          </w:p>
          <w:p w14:paraId="19353A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eastAsia="宋体" w:hAnsiTheme="minorEastAsia"/>
                <w:color w:val="000000" w:themeColor="text1"/>
                <w:sz w:val="24"/>
                <w:lang w:val="en-US" w:eastAsia="zh-CN"/>
              </w:rPr>
            </w:pPr>
            <w:r>
              <w:rPr>
                <w:rFonts w:ascii="Times New Roman" w:hAnsiTheme="minorEastAsia" w:eastAsiaTheme="minorEastAsia"/>
                <w:color w:val="000000" w:themeColor="text1"/>
                <w:sz w:val="24"/>
              </w:rPr>
              <w:t>设施设备运行噪声</w:t>
            </w:r>
            <w:r>
              <w:rPr>
                <w:rFonts w:hint="eastAsia" w:ascii="Times New Roman" w:hAnsiTheme="minorEastAsia" w:eastAsiaTheme="minorEastAsia"/>
                <w:color w:val="000000" w:themeColor="text1"/>
                <w:sz w:val="24"/>
                <w:lang w:val="en-US" w:eastAsia="zh-CN"/>
              </w:rPr>
              <w:t>的噪声源强在75</w:t>
            </w:r>
            <w:r>
              <w:rPr>
                <w:rFonts w:hint="default" w:ascii="Times New Roman" w:hAnsi="Times New Roman" w:cs="Times New Roman"/>
                <w:color w:val="000000" w:themeColor="text1"/>
                <w:sz w:val="24"/>
              </w:rPr>
              <w:t>~</w:t>
            </w:r>
            <w:r>
              <w:rPr>
                <w:rFonts w:hint="eastAsia" w:ascii="Times New Roman" w:hAnsi="Times New Roman" w:cs="Times New Roman"/>
                <w:color w:val="000000" w:themeColor="text1"/>
                <w:sz w:val="24"/>
                <w:lang w:val="en-US" w:eastAsia="zh-CN"/>
              </w:rPr>
              <w:t>95</w:t>
            </w:r>
            <w:r>
              <w:rPr>
                <w:rFonts w:hint="default" w:ascii="Times New Roman" w:hAnsi="Times New Roman" w:cs="Times New Roman"/>
                <w:color w:val="000000" w:themeColor="text1"/>
                <w:sz w:val="24"/>
              </w:rPr>
              <w:t>dB（A）之间</w:t>
            </w:r>
            <w:r>
              <w:rPr>
                <w:rFonts w:hint="eastAsia" w:ascii="Times New Roman" w:hAnsi="Times New Roman" w:cs="Times New Roman"/>
                <w:color w:val="000000" w:themeColor="text1"/>
                <w:sz w:val="24"/>
                <w:lang w:eastAsia="zh-CN"/>
              </w:rPr>
              <w:t>。项目污水处理站设置于地下，不会对周围环境产生较大影响；备用发电机布置于地下层柴油发电机房，安装隔振基础，墙体和门安装吸声材料，柴油发电机运行噪声可得到有效控制，且发电机仅在停电时，作发电使用，不会产生大的影响。</w:t>
            </w:r>
          </w:p>
          <w:p w14:paraId="425B0433">
            <w:pPr>
              <w:spacing w:line="360" w:lineRule="auto"/>
              <w:ind w:firstLine="480" w:firstLineChars="200"/>
              <w:rPr>
                <w:rFonts w:hint="default" w:ascii="Times New Roman" w:hAnsi="Times New Roman" w:cs="Times New Roman"/>
                <w:color w:val="000000" w:themeColor="text1"/>
                <w:sz w:val="24"/>
              </w:rPr>
            </w:pPr>
            <w:r>
              <w:rPr>
                <w:rFonts w:hint="eastAsia" w:ascii="Times New Roman" w:hAnsi="Times New Roman" w:cs="Times New Roman"/>
                <w:color w:val="000000" w:themeColor="text1"/>
                <w:sz w:val="24"/>
                <w:lang w:val="en-US" w:eastAsia="zh-CN"/>
              </w:rPr>
              <w:t>3</w:t>
            </w:r>
            <w:r>
              <w:rPr>
                <w:rFonts w:hint="default" w:ascii="Times New Roman" w:hAnsi="Times New Roman" w:cs="Times New Roman"/>
                <w:color w:val="000000" w:themeColor="text1"/>
                <w:sz w:val="24"/>
              </w:rPr>
              <w:t>）交通噪声</w:t>
            </w:r>
          </w:p>
          <w:p w14:paraId="3F1E8668">
            <w:pPr>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rPr>
              <w:t>汽车进出小区时会产生交通噪声，噪声源强为70~80dB(A)，为瞬时性、间断性排放，为减少交通噪声影响，对于进入</w:t>
            </w:r>
            <w:r>
              <w:rPr>
                <w:rFonts w:hint="default" w:ascii="Times New Roman" w:hAnsi="Times New Roman" w:cs="Times New Roman"/>
                <w:color w:val="000000" w:themeColor="text1"/>
                <w:sz w:val="24"/>
                <w:lang w:val="en-US" w:eastAsia="zh-CN"/>
              </w:rPr>
              <w:t>小区</w:t>
            </w:r>
            <w:r>
              <w:rPr>
                <w:rFonts w:hint="default" w:ascii="Times New Roman" w:hAnsi="Times New Roman" w:cs="Times New Roman"/>
                <w:color w:val="000000" w:themeColor="text1"/>
                <w:sz w:val="24"/>
              </w:rPr>
              <w:t>的车辆，项目方应加强车辆停放管理，并设置禁鸣标志，避免随意鸣笛；汽车进出噪声在经采取上述措施后对项目自身和外环境的影响可接受。</w:t>
            </w:r>
          </w:p>
          <w:p w14:paraId="35BA50CF">
            <w:pPr>
              <w:spacing w:line="360" w:lineRule="auto"/>
              <w:ind w:firstLine="480" w:firstLineChars="200"/>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sz w:val="24"/>
              </w:rPr>
              <w:t>根据监测结果可知，</w:t>
            </w:r>
            <w:r>
              <w:rPr>
                <w:rFonts w:hint="default" w:ascii="Times New Roman" w:hAnsi="Times New Roman" w:cs="Times New Roman"/>
                <w:color w:val="000000" w:themeColor="text1"/>
                <w:sz w:val="24"/>
                <w:lang w:val="en-US" w:eastAsia="zh-CN"/>
              </w:rPr>
              <w:t>项目东南西北各</w:t>
            </w:r>
            <w:r>
              <w:rPr>
                <w:rFonts w:hint="default" w:ascii="Times New Roman" w:hAnsi="Times New Roman" w:cs="Times New Roman"/>
                <w:color w:val="000000" w:themeColor="text1"/>
                <w:sz w:val="24"/>
              </w:rPr>
              <w:t>厂界噪声均达到《社会生活环境噪声排放标准》（GB22337-2008）2类标准，即昼间60dB(A)、夜间50dB(A)，对周边环境影响较小。项目主要噪声源及治理措施见表3-3，具体噪声监测点位附图6。</w:t>
            </w:r>
          </w:p>
          <w:p w14:paraId="4A4B8267">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表3-3  噪声源及其控制措施表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1477"/>
              <w:gridCol w:w="1314"/>
              <w:gridCol w:w="1089"/>
              <w:gridCol w:w="4002"/>
            </w:tblGrid>
            <w:tr w14:paraId="0485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vAlign w:val="center"/>
                </w:tcPr>
                <w:p w14:paraId="089DA072">
                  <w:pP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序号</w:t>
                  </w:r>
                </w:p>
              </w:tc>
              <w:tc>
                <w:tcPr>
                  <w:tcW w:w="1477" w:type="dxa"/>
                  <w:vAlign w:val="center"/>
                </w:tcPr>
                <w:p w14:paraId="683D7550">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噪声源</w:t>
                  </w:r>
                </w:p>
              </w:tc>
              <w:tc>
                <w:tcPr>
                  <w:tcW w:w="1314" w:type="dxa"/>
                  <w:vAlign w:val="center"/>
                </w:tcPr>
                <w:p w14:paraId="02873ED1">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源强</w:t>
                  </w:r>
                </w:p>
                <w:p w14:paraId="3B032D0C">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（dB（A））</w:t>
                  </w:r>
                </w:p>
              </w:tc>
              <w:tc>
                <w:tcPr>
                  <w:tcW w:w="1089" w:type="dxa"/>
                  <w:vAlign w:val="center"/>
                </w:tcPr>
                <w:p w14:paraId="3048EFB5">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运行方式</w:t>
                  </w:r>
                </w:p>
              </w:tc>
              <w:tc>
                <w:tcPr>
                  <w:tcW w:w="4002" w:type="dxa"/>
                  <w:vAlign w:val="center"/>
                </w:tcPr>
                <w:p w14:paraId="33A0DF30">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降噪设施或措施</w:t>
                  </w:r>
                </w:p>
              </w:tc>
            </w:tr>
            <w:tr w14:paraId="03889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tcBorders>
                    <w:bottom w:val="single" w:color="auto" w:sz="4" w:space="0"/>
                  </w:tcBorders>
                  <w:vAlign w:val="center"/>
                </w:tcPr>
                <w:p w14:paraId="3D3C5668">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1</w:t>
                  </w:r>
                </w:p>
              </w:tc>
              <w:tc>
                <w:tcPr>
                  <w:tcW w:w="1477" w:type="dxa"/>
                  <w:tcBorders>
                    <w:bottom w:val="single" w:color="auto" w:sz="4" w:space="0"/>
                  </w:tcBorders>
                  <w:vAlign w:val="center"/>
                </w:tcPr>
                <w:p w14:paraId="71269056">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lang w:val="en-US" w:eastAsia="zh-CN"/>
                    </w:rPr>
                    <w:t>生活</w:t>
                  </w:r>
                  <w:r>
                    <w:rPr>
                      <w:rFonts w:hint="default" w:ascii="Times New Roman" w:hAnsi="Times New Roman" w:cs="Times New Roman"/>
                      <w:color w:val="000000" w:themeColor="text1"/>
                      <w:szCs w:val="21"/>
                    </w:rPr>
                    <w:t>噪声</w:t>
                  </w:r>
                </w:p>
              </w:tc>
              <w:tc>
                <w:tcPr>
                  <w:tcW w:w="1314" w:type="dxa"/>
                  <w:tcBorders>
                    <w:bottom w:val="single" w:color="auto" w:sz="4" w:space="0"/>
                  </w:tcBorders>
                  <w:vAlign w:val="center"/>
                </w:tcPr>
                <w:p w14:paraId="5DDDEA1C">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60~70</w:t>
                  </w:r>
                </w:p>
              </w:tc>
              <w:tc>
                <w:tcPr>
                  <w:tcW w:w="1089" w:type="dxa"/>
                  <w:tcBorders>
                    <w:bottom w:val="single" w:color="auto" w:sz="4" w:space="0"/>
                  </w:tcBorders>
                  <w:vAlign w:val="center"/>
                </w:tcPr>
                <w:p w14:paraId="628F5AAB">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间断</w:t>
                  </w:r>
                </w:p>
              </w:tc>
              <w:tc>
                <w:tcPr>
                  <w:tcW w:w="4002" w:type="dxa"/>
                  <w:vAlign w:val="center"/>
                </w:tcPr>
                <w:p w14:paraId="1C550E64">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建立健全的管理制度</w:t>
                  </w:r>
                </w:p>
              </w:tc>
            </w:tr>
            <w:tr w14:paraId="0F97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vAlign w:val="center"/>
                </w:tcPr>
                <w:p w14:paraId="62A72BE2">
                  <w:pPr>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2</w:t>
                  </w:r>
                </w:p>
              </w:tc>
              <w:tc>
                <w:tcPr>
                  <w:tcW w:w="1477" w:type="dxa"/>
                  <w:vAlign w:val="center"/>
                </w:tcPr>
                <w:p w14:paraId="0EE96601">
                  <w:pPr>
                    <w:jc w:val="center"/>
                    <w:rPr>
                      <w:rFonts w:hint="eastAsia"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设备噪声</w:t>
                  </w:r>
                </w:p>
              </w:tc>
              <w:tc>
                <w:tcPr>
                  <w:tcW w:w="1314" w:type="dxa"/>
                  <w:vAlign w:val="center"/>
                </w:tcPr>
                <w:p w14:paraId="29CB38DE">
                  <w:pPr>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75</w:t>
                  </w:r>
                  <w:r>
                    <w:rPr>
                      <w:rFonts w:hint="default" w:ascii="Times New Roman" w:hAnsi="Times New Roman" w:cs="Times New Roman"/>
                      <w:color w:val="000000" w:themeColor="text1"/>
                      <w:szCs w:val="21"/>
                    </w:rPr>
                    <w:t>~</w:t>
                  </w:r>
                  <w:r>
                    <w:rPr>
                      <w:rFonts w:hint="eastAsia" w:ascii="Times New Roman" w:hAnsi="Times New Roman" w:cs="Times New Roman"/>
                      <w:color w:val="000000" w:themeColor="text1"/>
                      <w:szCs w:val="21"/>
                      <w:lang w:val="en-US" w:eastAsia="zh-CN"/>
                    </w:rPr>
                    <w:t>95</w:t>
                  </w:r>
                </w:p>
              </w:tc>
              <w:tc>
                <w:tcPr>
                  <w:tcW w:w="1089" w:type="dxa"/>
                  <w:vAlign w:val="center"/>
                </w:tcPr>
                <w:p w14:paraId="108EB8E3">
                  <w:pPr>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间断</w:t>
                  </w:r>
                </w:p>
              </w:tc>
              <w:tc>
                <w:tcPr>
                  <w:tcW w:w="4002" w:type="dxa"/>
                  <w:vAlign w:val="center"/>
                </w:tcPr>
                <w:p w14:paraId="60C6D257">
                  <w:pPr>
                    <w:jc w:val="center"/>
                    <w:rPr>
                      <w:rFonts w:hint="default" w:ascii="Times New Roman" w:hAnsi="Times New Roman" w:cs="Times New Roman"/>
                      <w:color w:val="000000" w:themeColor="text1"/>
                      <w:szCs w:val="21"/>
                    </w:rPr>
                  </w:pPr>
                  <w:r>
                    <w:rPr>
                      <w:rFonts w:hint="eastAsia" w:ascii="Times New Roman" w:hAnsi="Times New Roman" w:cs="Times New Roman"/>
                      <w:color w:val="000000" w:themeColor="text1"/>
                      <w:sz w:val="21"/>
                      <w:szCs w:val="21"/>
                      <w:lang w:eastAsia="zh-CN"/>
                    </w:rPr>
                    <w:t>墙体隔声</w:t>
                  </w:r>
                </w:p>
              </w:tc>
            </w:tr>
            <w:tr w14:paraId="0B47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vAlign w:val="center"/>
                </w:tcPr>
                <w:p w14:paraId="484F539D">
                  <w:pPr>
                    <w:jc w:val="center"/>
                    <w:rPr>
                      <w:rFonts w:hint="default" w:ascii="Times New Roman" w:hAnsi="Times New Roman"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3</w:t>
                  </w:r>
                </w:p>
              </w:tc>
              <w:tc>
                <w:tcPr>
                  <w:tcW w:w="1477" w:type="dxa"/>
                  <w:vAlign w:val="center"/>
                </w:tcPr>
                <w:p w14:paraId="4D394040">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交通噪声</w:t>
                  </w:r>
                </w:p>
              </w:tc>
              <w:tc>
                <w:tcPr>
                  <w:tcW w:w="1314" w:type="dxa"/>
                  <w:vAlign w:val="center"/>
                </w:tcPr>
                <w:p w14:paraId="6612F335">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70~80</w:t>
                  </w:r>
                </w:p>
              </w:tc>
              <w:tc>
                <w:tcPr>
                  <w:tcW w:w="1089" w:type="dxa"/>
                  <w:vAlign w:val="center"/>
                </w:tcPr>
                <w:p w14:paraId="6BB2AB40">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间断</w:t>
                  </w:r>
                </w:p>
              </w:tc>
              <w:tc>
                <w:tcPr>
                  <w:tcW w:w="4002" w:type="dxa"/>
                  <w:vAlign w:val="center"/>
                </w:tcPr>
                <w:p w14:paraId="3392A8E7">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进出时减速、禁止鸣笛、绿化降噪</w:t>
                  </w:r>
                </w:p>
              </w:tc>
            </w:tr>
          </w:tbl>
          <w:p w14:paraId="5160AF55">
            <w:pPr>
              <w:pStyle w:val="16"/>
              <w:spacing w:beforeLines="50" w:line="360" w:lineRule="auto"/>
              <w:ind w:firstLine="482" w:firstLineChars="200"/>
              <w:rPr>
                <w:rFonts w:hint="default" w:ascii="Times New Roman" w:hAnsi="Times New Roman" w:cs="Times New Roman"/>
                <w:b/>
                <w:color w:val="000000" w:themeColor="text1"/>
                <w:szCs w:val="24"/>
              </w:rPr>
            </w:pPr>
            <w:r>
              <w:rPr>
                <w:rFonts w:hint="eastAsia" w:ascii="Times New Roman" w:hAnsi="Times New Roman" w:cs="Times New Roman"/>
                <w:b/>
                <w:color w:val="000000" w:themeColor="text1"/>
                <w:szCs w:val="24"/>
                <w:lang w:val="en-US" w:eastAsia="zh-CN"/>
              </w:rPr>
              <w:t>4、</w:t>
            </w:r>
            <w:r>
              <w:rPr>
                <w:rFonts w:hint="default" w:ascii="Times New Roman" w:hAnsi="Times New Roman" w:cs="Times New Roman"/>
                <w:b/>
                <w:color w:val="000000" w:themeColor="text1"/>
                <w:szCs w:val="24"/>
              </w:rPr>
              <w:t>固体废弃物</w:t>
            </w:r>
          </w:p>
          <w:p w14:paraId="5A0E590E">
            <w:pPr>
              <w:spacing w:line="360" w:lineRule="auto"/>
              <w:ind w:firstLine="480" w:firstLineChars="200"/>
              <w:rPr>
                <w:rFonts w:hint="default" w:ascii="Times New Roman" w:hAnsi="Times New Roman" w:cs="Times New Roman"/>
                <w:color w:val="000000" w:themeColor="text1"/>
                <w:sz w:val="24"/>
                <w:szCs w:val="24"/>
              </w:rPr>
            </w:pPr>
            <w:bookmarkStart w:id="21" w:name="OLE_LINK3"/>
            <w:r>
              <w:rPr>
                <w:rFonts w:hint="default" w:ascii="Times New Roman" w:hAnsi="Times New Roman" w:cs="Times New Roman"/>
                <w:color w:val="000000" w:themeColor="text1"/>
                <w:sz w:val="24"/>
                <w:szCs w:val="24"/>
              </w:rPr>
              <w:t>项目运营期产生的固体废弃物主要</w:t>
            </w:r>
            <w:bookmarkEnd w:id="21"/>
            <w:r>
              <w:rPr>
                <w:rFonts w:hint="eastAsia" w:ascii="Times New Roman" w:hAnsi="Times New Roman" w:cs="Times New Roman"/>
                <w:color w:val="000000" w:themeColor="text1"/>
                <w:sz w:val="24"/>
                <w:szCs w:val="24"/>
                <w:lang w:val="en-US" w:eastAsia="zh-CN"/>
              </w:rPr>
              <w:t>为</w:t>
            </w:r>
            <w:r>
              <w:rPr>
                <w:rFonts w:ascii="Times New Roman" w:hAnsiTheme="minorEastAsia" w:eastAsiaTheme="minorEastAsia"/>
                <w:color w:val="000000" w:themeColor="text1"/>
                <w:sz w:val="24"/>
                <w:szCs w:val="24"/>
              </w:rPr>
              <w:t>住户产生的生活垃圾、污水处理站以及防渗化粪池产生的污泥</w:t>
            </w:r>
            <w:r>
              <w:rPr>
                <w:rFonts w:hint="default" w:ascii="Times New Roman" w:hAnsi="Times New Roman" w:cs="Times New Roman"/>
                <w:color w:val="000000" w:themeColor="text1"/>
                <w:sz w:val="24"/>
                <w:szCs w:val="24"/>
              </w:rPr>
              <w:t>。</w:t>
            </w:r>
          </w:p>
          <w:p w14:paraId="4215A86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项目区生活垃圾设置垃圾桶进行分类收集，并定期委托腾冲市无害化垃圾处理有限责任公司给予清运处置</w:t>
            </w:r>
            <w:r>
              <w:rPr>
                <w:rFonts w:hint="eastAsia" w:ascii="Times New Roman" w:hAnsi="Times New Roman" w:cs="Times New Roman"/>
                <w:color w:val="000000" w:themeColor="text1"/>
                <w:sz w:val="24"/>
                <w:szCs w:val="24"/>
                <w:lang w:eastAsia="zh-CN"/>
              </w:rPr>
              <w:t>；</w:t>
            </w:r>
            <w:r>
              <w:rPr>
                <w:rFonts w:ascii="Times New Roman" w:hAnsiTheme="minorEastAsia" w:eastAsiaTheme="minorEastAsia"/>
                <w:color w:val="000000" w:themeColor="text1"/>
                <w:sz w:val="24"/>
                <w:szCs w:val="24"/>
              </w:rPr>
              <w:t>污水处理站以及防渗化粪池产生的</w:t>
            </w:r>
            <w:r>
              <w:rPr>
                <w:rFonts w:ascii="Times New Roman" w:hAnsiTheme="minorEastAsia" w:eastAsiaTheme="minorEastAsia"/>
                <w:color w:val="000000" w:themeColor="text1"/>
                <w:kern w:val="18"/>
                <w:sz w:val="24"/>
              </w:rPr>
              <w:t>污泥定期清掏，委托腾冲市无害化垃圾处理有限责任公司给予清运、处置。</w:t>
            </w:r>
            <w:r>
              <w:rPr>
                <w:rFonts w:hint="default" w:ascii="Times New Roman" w:hAnsi="Times New Roman" w:cs="Times New Roman"/>
                <w:color w:val="000000" w:themeColor="text1"/>
                <w:sz w:val="24"/>
                <w:szCs w:val="24"/>
              </w:rPr>
              <w:t>项目固体废弃物产生及处置情况见表3-4。</w:t>
            </w:r>
          </w:p>
          <w:p w14:paraId="22996273">
            <w:pPr>
              <w:jc w:val="both"/>
              <w:rPr>
                <w:rFonts w:hint="default" w:ascii="Times New Roman" w:hAnsi="Times New Roman" w:cs="Times New Roman"/>
                <w:b/>
                <w:color w:val="000000" w:themeColor="text1"/>
                <w:sz w:val="24"/>
                <w:szCs w:val="24"/>
              </w:rPr>
            </w:pPr>
          </w:p>
          <w:p w14:paraId="2D4B09EB">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表3-4  固体废物产生及处置情况</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
              <w:gridCol w:w="1077"/>
              <w:gridCol w:w="1003"/>
              <w:gridCol w:w="701"/>
              <w:gridCol w:w="2638"/>
              <w:gridCol w:w="2639"/>
            </w:tblGrid>
            <w:tr w14:paraId="041CC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76" w:type="dxa"/>
                  <w:vMerge w:val="restart"/>
                  <w:vAlign w:val="center"/>
                </w:tcPr>
                <w:p w14:paraId="418AB56F">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序号</w:t>
                  </w:r>
                </w:p>
              </w:tc>
              <w:tc>
                <w:tcPr>
                  <w:tcW w:w="1077" w:type="dxa"/>
                  <w:vMerge w:val="restart"/>
                  <w:vAlign w:val="center"/>
                </w:tcPr>
                <w:p w14:paraId="02D35C76">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名称</w:t>
                  </w:r>
                </w:p>
              </w:tc>
              <w:tc>
                <w:tcPr>
                  <w:tcW w:w="1704" w:type="dxa"/>
                  <w:gridSpan w:val="2"/>
                  <w:vAlign w:val="center"/>
                </w:tcPr>
                <w:p w14:paraId="6659E8A2">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排放量（吨/年）</w:t>
                  </w:r>
                </w:p>
              </w:tc>
              <w:tc>
                <w:tcPr>
                  <w:tcW w:w="5277" w:type="dxa"/>
                  <w:gridSpan w:val="2"/>
                  <w:vAlign w:val="center"/>
                </w:tcPr>
                <w:p w14:paraId="2A998A5E">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处理处置方式</w:t>
                  </w:r>
                </w:p>
              </w:tc>
            </w:tr>
            <w:tr w14:paraId="1FBA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76" w:type="dxa"/>
                  <w:vMerge w:val="continue"/>
                  <w:vAlign w:val="center"/>
                </w:tcPr>
                <w:p w14:paraId="3546975D">
                  <w:pPr>
                    <w:spacing w:line="276" w:lineRule="auto"/>
                    <w:jc w:val="center"/>
                    <w:rPr>
                      <w:rFonts w:hint="default" w:ascii="Times New Roman" w:hAnsi="Times New Roman" w:cs="Times New Roman"/>
                      <w:b/>
                      <w:bCs/>
                      <w:color w:val="000000" w:themeColor="text1"/>
                      <w:szCs w:val="21"/>
                    </w:rPr>
                  </w:pPr>
                </w:p>
              </w:tc>
              <w:tc>
                <w:tcPr>
                  <w:tcW w:w="1077" w:type="dxa"/>
                  <w:vMerge w:val="continue"/>
                  <w:vAlign w:val="center"/>
                </w:tcPr>
                <w:p w14:paraId="38C101E4">
                  <w:pPr>
                    <w:spacing w:line="276" w:lineRule="auto"/>
                    <w:jc w:val="center"/>
                    <w:rPr>
                      <w:rFonts w:hint="default" w:ascii="Times New Roman" w:hAnsi="Times New Roman" w:cs="Times New Roman"/>
                      <w:b/>
                      <w:bCs/>
                      <w:color w:val="000000" w:themeColor="text1"/>
                      <w:szCs w:val="21"/>
                    </w:rPr>
                  </w:pPr>
                </w:p>
              </w:tc>
              <w:tc>
                <w:tcPr>
                  <w:tcW w:w="1003" w:type="dxa"/>
                  <w:vAlign w:val="center"/>
                </w:tcPr>
                <w:p w14:paraId="2A289D3C">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环评</w:t>
                  </w:r>
                </w:p>
              </w:tc>
              <w:tc>
                <w:tcPr>
                  <w:tcW w:w="701" w:type="dxa"/>
                  <w:vAlign w:val="center"/>
                </w:tcPr>
                <w:p w14:paraId="09CA76EA">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实际</w:t>
                  </w:r>
                </w:p>
              </w:tc>
              <w:tc>
                <w:tcPr>
                  <w:tcW w:w="2638" w:type="dxa"/>
                  <w:vAlign w:val="center"/>
                </w:tcPr>
                <w:p w14:paraId="75B2CEE1">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环评要求</w:t>
                  </w:r>
                </w:p>
              </w:tc>
              <w:tc>
                <w:tcPr>
                  <w:tcW w:w="2639" w:type="dxa"/>
                  <w:vAlign w:val="center"/>
                </w:tcPr>
                <w:p w14:paraId="28180E02">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实际建设</w:t>
                  </w:r>
                </w:p>
              </w:tc>
            </w:tr>
            <w:tr w14:paraId="1D9D5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476" w:type="dxa"/>
                  <w:vAlign w:val="center"/>
                </w:tcPr>
                <w:p w14:paraId="009ACCE4">
                  <w:pPr>
                    <w:spacing w:line="276" w:lineRule="auto"/>
                    <w:jc w:val="center"/>
                    <w:rPr>
                      <w:rFonts w:hint="default"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szCs w:val="21"/>
                      <w:lang w:val="en-US" w:eastAsia="zh-CN"/>
                    </w:rPr>
                    <w:t>1</w:t>
                  </w:r>
                </w:p>
              </w:tc>
              <w:tc>
                <w:tcPr>
                  <w:tcW w:w="1077" w:type="dxa"/>
                  <w:vAlign w:val="center"/>
                </w:tcPr>
                <w:p w14:paraId="1177C254">
                  <w:pPr>
                    <w:spacing w:line="276"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生活垃圾</w:t>
                  </w:r>
                </w:p>
              </w:tc>
              <w:tc>
                <w:tcPr>
                  <w:tcW w:w="1003" w:type="dxa"/>
                  <w:vAlign w:val="center"/>
                </w:tcPr>
                <w:p w14:paraId="05E72B0C">
                  <w:pPr>
                    <w:pStyle w:val="63"/>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highlight w:val="none"/>
                      <w:lang w:val="en-US" w:eastAsia="zh-CN"/>
                    </w:rPr>
                    <w:t>142.26</w:t>
                  </w:r>
                </w:p>
              </w:tc>
              <w:tc>
                <w:tcPr>
                  <w:tcW w:w="701" w:type="dxa"/>
                  <w:vAlign w:val="center"/>
                </w:tcPr>
                <w:p w14:paraId="678195D8">
                  <w:pPr>
                    <w:pStyle w:val="63"/>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highlight w:val="none"/>
                      <w:lang w:val="en-US" w:eastAsia="zh-CN"/>
                    </w:rPr>
                    <w:t>43.8</w:t>
                  </w:r>
                </w:p>
              </w:tc>
              <w:tc>
                <w:tcPr>
                  <w:tcW w:w="2638" w:type="dxa"/>
                  <w:vAlign w:val="center"/>
                </w:tcPr>
                <w:p w14:paraId="0AA799D7">
                  <w:pPr>
                    <w:pStyle w:val="63"/>
                    <w:widowControl/>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项目生活垃圾设置垃圾桶进行分类收集，并定期委托腾冲市无害化垃圾处理有限责任公司给予清运处置</w:t>
                  </w:r>
                </w:p>
              </w:tc>
              <w:tc>
                <w:tcPr>
                  <w:tcW w:w="2639" w:type="dxa"/>
                  <w:vAlign w:val="center"/>
                </w:tcPr>
                <w:p w14:paraId="3DE31AAD">
                  <w:pPr>
                    <w:spacing w:line="276" w:lineRule="auto"/>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设置垃圾桶进行分类收集，并定期委托腾冲市无害化垃圾处理有限责任公司给予清运处置</w:t>
                  </w:r>
                </w:p>
              </w:tc>
            </w:tr>
            <w:tr w14:paraId="59D7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476" w:type="dxa"/>
                  <w:vAlign w:val="center"/>
                </w:tcPr>
                <w:p w14:paraId="200FB96E">
                  <w:pPr>
                    <w:spacing w:line="276" w:lineRule="auto"/>
                    <w:jc w:val="center"/>
                    <w:rPr>
                      <w:rFonts w:hint="default" w:ascii="Times New Roman" w:hAnsi="Times New Roman"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2</w:t>
                  </w:r>
                </w:p>
              </w:tc>
              <w:tc>
                <w:tcPr>
                  <w:tcW w:w="1077" w:type="dxa"/>
                  <w:vAlign w:val="center"/>
                </w:tcPr>
                <w:p w14:paraId="5FC7CB4A">
                  <w:pPr>
                    <w:spacing w:line="276" w:lineRule="auto"/>
                    <w:jc w:val="center"/>
                    <w:rPr>
                      <w:rFonts w:hint="eastAsia" w:ascii="Times New Roman" w:hAnsi="Times New Roman" w:eastAsia="宋体" w:cs="Times New Roman"/>
                      <w:color w:val="000000" w:themeColor="text1"/>
                      <w:szCs w:val="21"/>
                      <w:lang w:val="en-US" w:eastAsia="zh-CN"/>
                    </w:rPr>
                  </w:pPr>
                  <w:r>
                    <w:rPr>
                      <w:rFonts w:hint="default" w:ascii="Times New Roman" w:hAnsi="Times New Roman" w:cs="Times New Roman"/>
                      <w:color w:val="000000" w:themeColor="text1"/>
                      <w:szCs w:val="21"/>
                    </w:rPr>
                    <w:t>污水处理站以及防渗化粪池产生的</w:t>
                  </w:r>
                  <w:r>
                    <w:rPr>
                      <w:rFonts w:hint="eastAsia" w:ascii="Times New Roman" w:hAnsi="Times New Roman" w:cs="Times New Roman"/>
                      <w:color w:val="000000" w:themeColor="text1"/>
                      <w:szCs w:val="21"/>
                      <w:lang w:val="en-US" w:eastAsia="zh-CN"/>
                    </w:rPr>
                    <w:t>污泥</w:t>
                  </w:r>
                </w:p>
              </w:tc>
              <w:tc>
                <w:tcPr>
                  <w:tcW w:w="1003" w:type="dxa"/>
                  <w:vAlign w:val="center"/>
                </w:tcPr>
                <w:p w14:paraId="69C1DCAE">
                  <w:pPr>
                    <w:pStyle w:val="63"/>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39.67</w:t>
                  </w:r>
                </w:p>
              </w:tc>
              <w:tc>
                <w:tcPr>
                  <w:tcW w:w="701" w:type="dxa"/>
                  <w:vAlign w:val="center"/>
                </w:tcPr>
                <w:p w14:paraId="756DB225">
                  <w:pPr>
                    <w:pStyle w:val="63"/>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highlight w:val="none"/>
                      <w:lang w:val="en-US" w:eastAsia="zh-CN"/>
                    </w:rPr>
                    <w:t>2.079</w:t>
                  </w:r>
                </w:p>
              </w:tc>
              <w:tc>
                <w:tcPr>
                  <w:tcW w:w="2638" w:type="dxa"/>
                  <w:vAlign w:val="center"/>
                </w:tcPr>
                <w:p w14:paraId="4A0DE16B">
                  <w:pPr>
                    <w:pStyle w:val="63"/>
                    <w:widowControl/>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污泥定期清掏，委托腾冲市无害化垃圾处理有限责任公司给予清运、处置。</w:t>
                  </w:r>
                </w:p>
              </w:tc>
              <w:tc>
                <w:tcPr>
                  <w:tcW w:w="2639" w:type="dxa"/>
                  <w:vAlign w:val="center"/>
                </w:tcPr>
                <w:p w14:paraId="61E31B44">
                  <w:pPr>
                    <w:spacing w:line="276" w:lineRule="auto"/>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污泥定期清掏，委托腾冲市无害化垃圾处理有限责任公司给予清运、处置。</w:t>
                  </w:r>
                </w:p>
              </w:tc>
            </w:tr>
          </w:tbl>
          <w:p w14:paraId="0DEB7CDC">
            <w:pPr>
              <w:spacing w:line="360" w:lineRule="auto"/>
              <w:rPr>
                <w:rFonts w:hint="default" w:ascii="Times New Roman" w:hAnsi="Times New Roman" w:cs="Times New Roman"/>
                <w:color w:val="000000" w:themeColor="text1"/>
                <w:sz w:val="24"/>
              </w:rPr>
            </w:pPr>
          </w:p>
          <w:p w14:paraId="709787EA">
            <w:pPr>
              <w:spacing w:line="360" w:lineRule="auto"/>
              <w:rPr>
                <w:rFonts w:hint="default" w:ascii="Times New Roman" w:hAnsi="Times New Roman" w:cs="Times New Roman"/>
                <w:color w:val="000000" w:themeColor="text1"/>
                <w:sz w:val="24"/>
              </w:rPr>
            </w:pPr>
          </w:p>
          <w:p w14:paraId="0A416298">
            <w:pPr>
              <w:pStyle w:val="48"/>
              <w:rPr>
                <w:rFonts w:hint="default" w:ascii="Times New Roman" w:hAnsi="Times New Roman" w:cs="Times New Roman"/>
                <w:color w:val="000000" w:themeColor="text1"/>
                <w:sz w:val="24"/>
              </w:rPr>
            </w:pPr>
          </w:p>
          <w:p w14:paraId="7667987F">
            <w:pPr>
              <w:rPr>
                <w:rFonts w:hint="default" w:ascii="Times New Roman" w:hAnsi="Times New Roman" w:cs="Times New Roman"/>
                <w:color w:val="000000" w:themeColor="text1"/>
                <w:sz w:val="24"/>
              </w:rPr>
            </w:pPr>
          </w:p>
          <w:p w14:paraId="3A9FEA4E">
            <w:pPr>
              <w:pStyle w:val="48"/>
              <w:rPr>
                <w:rFonts w:hint="default" w:ascii="Times New Roman" w:hAnsi="Times New Roman" w:cs="Times New Roman"/>
                <w:color w:val="000000" w:themeColor="text1"/>
                <w:sz w:val="24"/>
              </w:rPr>
            </w:pPr>
          </w:p>
          <w:p w14:paraId="011CFE94">
            <w:pPr>
              <w:rPr>
                <w:rFonts w:hint="default" w:ascii="Times New Roman" w:hAnsi="Times New Roman" w:cs="Times New Roman"/>
                <w:color w:val="000000" w:themeColor="text1"/>
                <w:sz w:val="24"/>
              </w:rPr>
            </w:pPr>
          </w:p>
          <w:p w14:paraId="4112EB77">
            <w:pPr>
              <w:pStyle w:val="48"/>
              <w:rPr>
                <w:rFonts w:hint="default" w:ascii="Times New Roman" w:hAnsi="Times New Roman" w:cs="Times New Roman"/>
                <w:color w:val="000000" w:themeColor="text1"/>
                <w:sz w:val="24"/>
              </w:rPr>
            </w:pPr>
          </w:p>
          <w:p w14:paraId="08648A61">
            <w:pPr>
              <w:rPr>
                <w:rFonts w:hint="default" w:ascii="Times New Roman" w:hAnsi="Times New Roman" w:cs="Times New Roman"/>
                <w:color w:val="000000" w:themeColor="text1"/>
                <w:sz w:val="24"/>
              </w:rPr>
            </w:pPr>
          </w:p>
          <w:p w14:paraId="14AB7E0B">
            <w:pPr>
              <w:pStyle w:val="48"/>
              <w:rPr>
                <w:rFonts w:hint="default" w:ascii="Times New Roman" w:hAnsi="Times New Roman" w:cs="Times New Roman"/>
                <w:color w:val="000000" w:themeColor="text1"/>
                <w:sz w:val="24"/>
              </w:rPr>
            </w:pPr>
          </w:p>
          <w:p w14:paraId="546BFAA9">
            <w:pPr>
              <w:rPr>
                <w:rFonts w:hint="default" w:ascii="Times New Roman" w:hAnsi="Times New Roman" w:cs="Times New Roman"/>
                <w:color w:val="000000" w:themeColor="text1"/>
                <w:sz w:val="24"/>
              </w:rPr>
            </w:pPr>
          </w:p>
          <w:p w14:paraId="5E714474">
            <w:pPr>
              <w:pStyle w:val="48"/>
              <w:rPr>
                <w:rFonts w:hint="default" w:ascii="Times New Roman" w:hAnsi="Times New Roman" w:cs="Times New Roman"/>
                <w:color w:val="000000" w:themeColor="text1"/>
                <w:sz w:val="24"/>
              </w:rPr>
            </w:pPr>
          </w:p>
          <w:p w14:paraId="137B5FD0">
            <w:pPr>
              <w:rPr>
                <w:rFonts w:hint="default" w:ascii="Times New Roman" w:hAnsi="Times New Roman" w:cs="Times New Roman"/>
                <w:color w:val="000000" w:themeColor="text1"/>
                <w:sz w:val="24"/>
              </w:rPr>
            </w:pPr>
          </w:p>
          <w:p w14:paraId="53E24180">
            <w:pPr>
              <w:pStyle w:val="48"/>
              <w:rPr>
                <w:rFonts w:hint="default" w:ascii="Times New Roman" w:hAnsi="Times New Roman" w:cs="Times New Roman"/>
                <w:color w:val="000000" w:themeColor="text1"/>
                <w:sz w:val="24"/>
              </w:rPr>
            </w:pPr>
          </w:p>
          <w:p w14:paraId="5BCDB191">
            <w:pPr>
              <w:rPr>
                <w:rFonts w:hint="default" w:ascii="Times New Roman" w:hAnsi="Times New Roman" w:cs="Times New Roman"/>
                <w:color w:val="000000" w:themeColor="text1"/>
                <w:sz w:val="24"/>
              </w:rPr>
            </w:pPr>
          </w:p>
          <w:p w14:paraId="4588CC13">
            <w:pPr>
              <w:pStyle w:val="48"/>
              <w:rPr>
                <w:rFonts w:hint="default" w:ascii="Times New Roman" w:hAnsi="Times New Roman" w:cs="Times New Roman"/>
                <w:color w:val="000000" w:themeColor="text1"/>
                <w:sz w:val="24"/>
              </w:rPr>
            </w:pPr>
          </w:p>
          <w:p w14:paraId="3C7ABF2A">
            <w:pPr>
              <w:rPr>
                <w:rFonts w:hint="default" w:ascii="Times New Roman" w:hAnsi="Times New Roman" w:cs="Times New Roman"/>
                <w:color w:val="000000" w:themeColor="text1"/>
                <w:sz w:val="24"/>
              </w:rPr>
            </w:pPr>
          </w:p>
          <w:p w14:paraId="2D9838F5">
            <w:pPr>
              <w:pStyle w:val="48"/>
              <w:rPr>
                <w:rFonts w:hint="default" w:ascii="Times New Roman" w:hAnsi="Times New Roman" w:cs="Times New Roman"/>
                <w:color w:val="000000" w:themeColor="text1"/>
                <w:sz w:val="24"/>
              </w:rPr>
            </w:pPr>
          </w:p>
          <w:p w14:paraId="3311D745">
            <w:pPr>
              <w:rPr>
                <w:rFonts w:hint="default" w:ascii="Times New Roman" w:hAnsi="Times New Roman" w:cs="Times New Roman"/>
                <w:color w:val="000000" w:themeColor="text1"/>
                <w:sz w:val="24"/>
              </w:rPr>
            </w:pPr>
          </w:p>
          <w:p w14:paraId="5CC534DE">
            <w:pPr>
              <w:pStyle w:val="48"/>
              <w:rPr>
                <w:rFonts w:hint="default" w:ascii="Times New Roman" w:hAnsi="Times New Roman" w:cs="Times New Roman"/>
                <w:color w:val="000000" w:themeColor="text1"/>
                <w:sz w:val="24"/>
              </w:rPr>
            </w:pPr>
          </w:p>
          <w:p w14:paraId="436BF51B">
            <w:pPr>
              <w:rPr>
                <w:rFonts w:hint="default" w:ascii="Times New Roman" w:hAnsi="Times New Roman" w:cs="Times New Roman"/>
                <w:color w:val="000000" w:themeColor="text1"/>
                <w:sz w:val="24"/>
              </w:rPr>
            </w:pPr>
          </w:p>
          <w:p w14:paraId="5AD8B311">
            <w:pPr>
              <w:pStyle w:val="48"/>
              <w:rPr>
                <w:rFonts w:hint="default" w:ascii="Times New Roman" w:hAnsi="Times New Roman" w:cs="Times New Roman"/>
                <w:color w:val="000000" w:themeColor="text1"/>
                <w:sz w:val="24"/>
              </w:rPr>
            </w:pPr>
          </w:p>
          <w:p w14:paraId="4E90EB29">
            <w:pPr>
              <w:rPr>
                <w:rFonts w:hint="default" w:ascii="Times New Roman" w:hAnsi="Times New Roman" w:cs="Times New Roman"/>
                <w:color w:val="000000" w:themeColor="text1"/>
                <w:sz w:val="24"/>
              </w:rPr>
            </w:pPr>
          </w:p>
          <w:p w14:paraId="2AC48A08">
            <w:pPr>
              <w:pStyle w:val="48"/>
              <w:rPr>
                <w:rFonts w:hint="default" w:ascii="Times New Roman" w:hAnsi="Times New Roman" w:cs="Times New Roman"/>
                <w:color w:val="000000" w:themeColor="text1"/>
                <w:sz w:val="24"/>
              </w:rPr>
            </w:pPr>
          </w:p>
          <w:p w14:paraId="7B1D8E3A">
            <w:pPr>
              <w:rPr>
                <w:rFonts w:hint="default" w:ascii="Times New Roman" w:hAnsi="Times New Roman" w:cs="Times New Roman"/>
                <w:color w:val="000000" w:themeColor="text1"/>
                <w:sz w:val="24"/>
              </w:rPr>
            </w:pPr>
          </w:p>
          <w:p w14:paraId="48C5C535">
            <w:pPr>
              <w:pStyle w:val="48"/>
              <w:rPr>
                <w:rFonts w:hint="default" w:ascii="Times New Roman" w:hAnsi="Times New Roman" w:cs="Times New Roman"/>
                <w:color w:val="000000" w:themeColor="text1"/>
                <w:sz w:val="24"/>
              </w:rPr>
            </w:pPr>
          </w:p>
          <w:p w14:paraId="5543BA87">
            <w:pPr>
              <w:rPr>
                <w:rFonts w:hint="default" w:ascii="Times New Roman" w:hAnsi="Times New Roman" w:cs="Times New Roman"/>
                <w:color w:val="000000" w:themeColor="text1"/>
                <w:sz w:val="24"/>
              </w:rPr>
            </w:pPr>
          </w:p>
          <w:p w14:paraId="3249190D">
            <w:pPr>
              <w:pStyle w:val="48"/>
              <w:rPr>
                <w:rFonts w:hint="default" w:ascii="Times New Roman" w:hAnsi="Times New Roman" w:cs="Times New Roman"/>
                <w:color w:val="000000" w:themeColor="text1"/>
                <w:sz w:val="24"/>
              </w:rPr>
            </w:pPr>
          </w:p>
          <w:p w14:paraId="36267F5B">
            <w:pPr>
              <w:rPr>
                <w:rFonts w:hint="default" w:ascii="Times New Roman" w:hAnsi="Times New Roman" w:cs="Times New Roman"/>
                <w:color w:val="000000" w:themeColor="text1"/>
                <w:sz w:val="24"/>
              </w:rPr>
            </w:pPr>
          </w:p>
          <w:p w14:paraId="5F6F553D">
            <w:pPr>
              <w:pStyle w:val="48"/>
              <w:rPr>
                <w:rFonts w:hint="default" w:ascii="Times New Roman" w:hAnsi="Times New Roman" w:cs="Times New Roman"/>
                <w:color w:val="000000" w:themeColor="text1"/>
                <w:sz w:val="24"/>
              </w:rPr>
            </w:pPr>
          </w:p>
          <w:p w14:paraId="6AFFFA8C">
            <w:pPr>
              <w:rPr>
                <w:rFonts w:hint="default" w:ascii="Times New Roman" w:hAnsi="Times New Roman" w:cs="Times New Roman"/>
                <w:color w:val="000000" w:themeColor="text1"/>
                <w:sz w:val="24"/>
              </w:rPr>
            </w:pPr>
          </w:p>
          <w:p w14:paraId="5F60CCA8">
            <w:pPr>
              <w:pStyle w:val="48"/>
              <w:rPr>
                <w:rFonts w:hint="default"/>
                <w:color w:val="000000" w:themeColor="text1"/>
              </w:rPr>
            </w:pPr>
          </w:p>
        </w:tc>
      </w:tr>
    </w:tbl>
    <w:p w14:paraId="41882480">
      <w:pPr>
        <w:outlineLvl w:val="0"/>
        <w:rPr>
          <w:rFonts w:hint="default" w:ascii="Times New Roman" w:hAnsi="Times New Roman" w:cs="Times New Roman"/>
          <w:b/>
          <w:bCs/>
          <w:color w:val="000000" w:themeColor="text1"/>
          <w:sz w:val="30"/>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bookmarkStart w:id="22" w:name="_Toc527116044"/>
    </w:p>
    <w:p w14:paraId="617C95A2">
      <w:pPr>
        <w:outlineLvl w:val="0"/>
        <w:rPr>
          <w:rFonts w:hint="default" w:ascii="Times New Roman" w:hAnsi="Times New Roman" w:cs="Times New Roman"/>
          <w:b/>
          <w:bCs/>
          <w:color w:val="000000" w:themeColor="text1"/>
          <w:sz w:val="30"/>
        </w:rPr>
      </w:pPr>
      <w:r>
        <w:rPr>
          <w:rFonts w:hint="default" w:ascii="Times New Roman" w:hAnsi="Times New Roman" w:cs="Times New Roman"/>
          <w:b/>
          <w:bCs/>
          <w:color w:val="000000" w:themeColor="text1"/>
          <w:sz w:val="30"/>
        </w:rPr>
        <w:t>表四</w:t>
      </w:r>
      <w:bookmarkEnd w:id="18"/>
      <w:bookmarkEnd w:id="22"/>
    </w:p>
    <w:tbl>
      <w:tblPr>
        <w:tblStyle w:val="39"/>
        <w:tblW w:w="0" w:type="auto"/>
        <w:jc w:val="center"/>
        <w:tblLayout w:type="fixed"/>
        <w:tblCellMar>
          <w:top w:w="0" w:type="dxa"/>
          <w:left w:w="108" w:type="dxa"/>
          <w:bottom w:w="0" w:type="dxa"/>
          <w:right w:w="108" w:type="dxa"/>
        </w:tblCellMar>
      </w:tblPr>
      <w:tblGrid>
        <w:gridCol w:w="9146"/>
      </w:tblGrid>
      <w:tr w14:paraId="617F938D">
        <w:tblPrEx>
          <w:tblCellMar>
            <w:top w:w="0" w:type="dxa"/>
            <w:left w:w="108" w:type="dxa"/>
            <w:bottom w:w="0" w:type="dxa"/>
            <w:right w:w="108" w:type="dxa"/>
          </w:tblCellMar>
        </w:tblPrEx>
        <w:trPr>
          <w:trHeight w:val="64" w:hRule="atLeast"/>
          <w:jc w:val="center"/>
        </w:trPr>
        <w:tc>
          <w:tcPr>
            <w:tcW w:w="9146" w:type="dxa"/>
            <w:tcBorders>
              <w:top w:val="single" w:color="000000" w:sz="4" w:space="0"/>
              <w:left w:val="single" w:color="000000" w:sz="4" w:space="0"/>
              <w:bottom w:val="single" w:color="000000" w:sz="4" w:space="0"/>
              <w:right w:val="single" w:color="000000" w:sz="4" w:space="0"/>
            </w:tcBorders>
          </w:tcPr>
          <w:p w14:paraId="5ED7F7B3">
            <w:pPr>
              <w:spacing w:line="360" w:lineRule="auto"/>
              <w:jc w:val="left"/>
              <w:rPr>
                <w:rFonts w:hint="default" w:ascii="Times New Roman" w:hAnsi="Times New Roman" w:cs="Times New Roman"/>
                <w:b/>
                <w:color w:val="000000" w:themeColor="text1"/>
                <w:kern w:val="1"/>
                <w:sz w:val="28"/>
                <w:szCs w:val="28"/>
              </w:rPr>
            </w:pPr>
            <w:r>
              <w:rPr>
                <w:rFonts w:hint="default" w:ascii="Times New Roman" w:hAnsi="Times New Roman" w:cs="Times New Roman"/>
                <w:b/>
                <w:color w:val="000000" w:themeColor="text1"/>
                <w:kern w:val="1"/>
                <w:sz w:val="28"/>
                <w:szCs w:val="28"/>
              </w:rPr>
              <w:t>建设项目环境影响报告表主要结论及审批部门审批决定：</w:t>
            </w:r>
          </w:p>
          <w:p w14:paraId="58CDA923">
            <w:pPr>
              <w:numPr>
                <w:ilvl w:val="0"/>
                <w:numId w:val="4"/>
              </w:numPr>
              <w:spacing w:line="360" w:lineRule="auto"/>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建设项目环境影响报告表主要结论与建议</w:t>
            </w:r>
          </w:p>
          <w:p w14:paraId="0F36091F">
            <w:pPr>
              <w:spacing w:line="360" w:lineRule="auto"/>
              <w:ind w:firstLine="482"/>
              <w:rPr>
                <w:rFonts w:hint="default" w:ascii="Times New Roman" w:hAnsi="Times New Roman" w:cs="Times New Roman"/>
                <w:color w:val="000000" w:themeColor="text1"/>
                <w:sz w:val="24"/>
                <w:szCs w:val="24"/>
              </w:rPr>
            </w:pPr>
            <w:bookmarkStart w:id="23" w:name="_Toc522276683"/>
            <w:r>
              <w:rPr>
                <w:rFonts w:hint="default" w:ascii="Times New Roman" w:hAnsi="Times New Roman" w:cs="Times New Roman"/>
                <w:bCs/>
                <w:color w:val="000000" w:themeColor="text1"/>
                <w:sz w:val="24"/>
                <w:szCs w:val="24"/>
              </w:rPr>
              <w:t>项目于</w:t>
            </w:r>
            <w:r>
              <w:rPr>
                <w:rFonts w:hint="default" w:ascii="Times New Roman" w:hAnsi="Times New Roman" w:cs="Times New Roman"/>
                <w:color w:val="000000" w:themeColor="text1"/>
                <w:sz w:val="24"/>
                <w:szCs w:val="24"/>
              </w:rPr>
              <w:t>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w:t>
            </w:r>
            <w:r>
              <w:rPr>
                <w:rFonts w:hint="eastAsia" w:ascii="Times New Roman" w:hAnsi="Times New Roman" w:cs="Times New Roman"/>
                <w:color w:val="000000" w:themeColor="text1"/>
                <w:sz w:val="24"/>
                <w:szCs w:val="24"/>
                <w:lang w:val="en-US" w:eastAsia="zh-CN"/>
              </w:rPr>
              <w:t>7</w:t>
            </w:r>
            <w:r>
              <w:rPr>
                <w:rFonts w:hint="default" w:ascii="Times New Roman" w:hAnsi="Times New Roman" w:cs="Times New Roman"/>
                <w:color w:val="000000" w:themeColor="text1"/>
                <w:sz w:val="24"/>
                <w:szCs w:val="24"/>
              </w:rPr>
              <w:t>月委托昆明煤炭设计研究院</w:t>
            </w:r>
            <w:r>
              <w:rPr>
                <w:rFonts w:hint="default" w:ascii="Times New Roman" w:hAnsi="Times New Roman" w:cs="Times New Roman"/>
                <w:bCs/>
                <w:color w:val="000000" w:themeColor="text1"/>
                <w:sz w:val="24"/>
                <w:szCs w:val="24"/>
              </w:rPr>
              <w:t>编制了项目环境影响报告表，根据报告表内容，</w:t>
            </w:r>
            <w:bookmarkStart w:id="24" w:name="_Toc522276688"/>
            <w:r>
              <w:rPr>
                <w:rFonts w:hint="default" w:ascii="Times New Roman" w:hAnsi="Times New Roman" w:cs="Times New Roman"/>
                <w:color w:val="000000" w:themeColor="text1"/>
                <w:sz w:val="24"/>
                <w:szCs w:val="24"/>
              </w:rPr>
              <w:t>其主要结论与措施要求、建议如下：</w:t>
            </w:r>
          </w:p>
          <w:p w14:paraId="5C9317A5">
            <w:pPr>
              <w:spacing w:line="360" w:lineRule="auto"/>
              <w:ind w:firstLine="482"/>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（1）主要结论</w:t>
            </w:r>
          </w:p>
          <w:p w14:paraId="73DCE277">
            <w:pPr>
              <w:pStyle w:val="54"/>
              <w:spacing w:line="360" w:lineRule="auto"/>
              <w:ind w:firstLine="480" w:firstLineChars="200"/>
              <w:jc w:val="both"/>
              <w:rPr>
                <w:rFonts w:eastAsiaTheme="minorEastAsia"/>
                <w:color w:val="000000" w:themeColor="text1"/>
                <w:kern w:val="0"/>
                <w:sz w:val="24"/>
                <w:szCs w:val="24"/>
              </w:rPr>
            </w:pPr>
            <w:r>
              <w:rPr>
                <w:rFonts w:hAnsiTheme="minorEastAsia" w:eastAsiaTheme="minorEastAsia"/>
                <w:bCs/>
                <w:color w:val="000000" w:themeColor="text1"/>
                <w:sz w:val="24"/>
              </w:rPr>
              <w:t>腾冲市</w:t>
            </w:r>
            <w:r>
              <w:rPr>
                <w:rFonts w:eastAsiaTheme="minorEastAsia"/>
                <w:bCs/>
                <w:color w:val="000000" w:themeColor="text1"/>
                <w:sz w:val="24"/>
              </w:rPr>
              <w:t>“</w:t>
            </w:r>
            <w:r>
              <w:rPr>
                <w:rFonts w:hAnsiTheme="minorEastAsia" w:eastAsiaTheme="minorEastAsia"/>
                <w:bCs/>
                <w:color w:val="000000" w:themeColor="text1"/>
                <w:sz w:val="24"/>
              </w:rPr>
              <w:t>顺颐府</w:t>
            </w:r>
            <w:r>
              <w:rPr>
                <w:rFonts w:eastAsiaTheme="minorEastAsia"/>
                <w:bCs/>
                <w:color w:val="000000" w:themeColor="text1"/>
                <w:sz w:val="24"/>
              </w:rPr>
              <w:t>”</w:t>
            </w:r>
            <w:r>
              <w:rPr>
                <w:rFonts w:hAnsiTheme="minorEastAsia" w:eastAsiaTheme="minorEastAsia"/>
                <w:bCs/>
                <w:color w:val="000000" w:themeColor="text1"/>
                <w:sz w:val="24"/>
              </w:rPr>
              <w:t>住宅建设项目（一期）</w:t>
            </w:r>
            <w:r>
              <w:rPr>
                <w:rFonts w:hAnsiTheme="minorEastAsia" w:eastAsiaTheme="minorEastAsia"/>
                <w:color w:val="000000" w:themeColor="text1"/>
                <w:sz w:val="24"/>
              </w:rPr>
              <w:t>的建设，具有较好的社会－经济－环境综合效益。项目的建设对周围环境的影响范围小，影响程度低，污染物能够实现达标排放，不会降低当地环境功能；项目选址符合相关规划；项目的生活垃圾等固体废物可得到妥善处置；项目污水经处理后能够达标排放；项目废气经过采取相应措施后对周边环境影响较小；项目噪声按要求</w:t>
            </w:r>
            <w:r>
              <w:rPr>
                <w:rFonts w:hint="eastAsia" w:hAnsiTheme="minorEastAsia" w:eastAsiaTheme="minorEastAsia"/>
                <w:color w:val="000000" w:themeColor="text1"/>
                <w:sz w:val="24"/>
                <w:lang w:eastAsia="zh-CN"/>
              </w:rPr>
              <w:t>采取</w:t>
            </w:r>
            <w:r>
              <w:rPr>
                <w:rFonts w:hAnsiTheme="minorEastAsia" w:eastAsiaTheme="minorEastAsia"/>
                <w:color w:val="000000" w:themeColor="text1"/>
                <w:sz w:val="24"/>
              </w:rPr>
              <w:t>防治措施后，对项目自身和周围环境的影响不大。总之，</w:t>
            </w:r>
            <w:r>
              <w:rPr>
                <w:rFonts w:hAnsiTheme="minorEastAsia" w:eastAsiaTheme="minorEastAsia"/>
                <w:color w:val="000000" w:themeColor="text1"/>
                <w:sz w:val="24"/>
                <w:szCs w:val="24"/>
              </w:rPr>
              <w:t>项目的建设不会降低当地环境功能，项目所产生污染物的处置符合达标排放原则。</w:t>
            </w:r>
          </w:p>
          <w:p w14:paraId="5EC62A82">
            <w:pPr>
              <w:spacing w:line="360" w:lineRule="auto"/>
              <w:ind w:firstLine="456"/>
              <w:rPr>
                <w:rFonts w:ascii="Times New Roman" w:hAnsi="Times New Roman" w:eastAsiaTheme="minorEastAsia"/>
                <w:color w:val="000000" w:themeColor="text1"/>
                <w:sz w:val="24"/>
              </w:rPr>
            </w:pPr>
            <w:r>
              <w:rPr>
                <w:rFonts w:ascii="Times New Roman" w:hAnsiTheme="minorEastAsia" w:eastAsiaTheme="minorEastAsia"/>
                <w:color w:val="000000" w:themeColor="text1"/>
                <w:sz w:val="24"/>
              </w:rPr>
              <w:t>项目建成投入营运后，提高了土地的利用价值，推动了当地经济的发展及社会保障体系建设，具有良好的社会效益。</w:t>
            </w:r>
          </w:p>
          <w:p w14:paraId="25EF10F1">
            <w:pPr>
              <w:spacing w:line="360" w:lineRule="auto"/>
              <w:ind w:firstLine="482"/>
              <w:rPr>
                <w:rFonts w:hint="default" w:ascii="Times New Roman" w:hAnsi="Times New Roman" w:cs="Times New Roman"/>
                <w:color w:val="000000" w:themeColor="text1"/>
                <w:sz w:val="24"/>
                <w:szCs w:val="24"/>
              </w:rPr>
            </w:pPr>
            <w:r>
              <w:rPr>
                <w:rFonts w:ascii="Times New Roman" w:hAnsiTheme="minorEastAsia" w:eastAsiaTheme="minorEastAsia"/>
                <w:color w:val="000000" w:themeColor="text1"/>
                <w:sz w:val="24"/>
              </w:rPr>
              <w:t>本评价认为，只要建设单位在实施过程中，要严格认真按照</w:t>
            </w:r>
            <w:r>
              <w:rPr>
                <w:rFonts w:ascii="Times New Roman" w:hAnsi="Times New Roman" w:eastAsiaTheme="minorEastAsia"/>
                <w:color w:val="000000" w:themeColor="text1"/>
                <w:sz w:val="24"/>
              </w:rPr>
              <w:t>“</w:t>
            </w:r>
            <w:r>
              <w:rPr>
                <w:rFonts w:ascii="Times New Roman" w:hAnsiTheme="minorEastAsia" w:eastAsiaTheme="minorEastAsia"/>
                <w:color w:val="000000" w:themeColor="text1"/>
                <w:sz w:val="24"/>
              </w:rPr>
              <w:t>三同时</w:t>
            </w:r>
            <w:r>
              <w:rPr>
                <w:rFonts w:ascii="Times New Roman" w:hAnsi="Times New Roman" w:eastAsiaTheme="minorEastAsia"/>
                <w:color w:val="000000" w:themeColor="text1"/>
                <w:sz w:val="24"/>
              </w:rPr>
              <w:t>”</w:t>
            </w:r>
            <w:r>
              <w:rPr>
                <w:rFonts w:ascii="Times New Roman" w:hAnsiTheme="minorEastAsia" w:eastAsiaTheme="minorEastAsia"/>
                <w:color w:val="000000" w:themeColor="text1"/>
                <w:sz w:val="24"/>
              </w:rPr>
              <w:t>和达标排放的原则进行设计、施工和营运，落实报告表中各项污染防治措施，</w:t>
            </w:r>
            <w:r>
              <w:rPr>
                <w:rFonts w:ascii="Times New Roman" w:hAnsiTheme="minorEastAsia" w:eastAsiaTheme="minorEastAsia"/>
                <w:color w:val="000000" w:themeColor="text1"/>
                <w:spacing w:val="-6"/>
                <w:sz w:val="24"/>
                <w:szCs w:val="24"/>
              </w:rPr>
              <w:t>做到污染物达标排放，项目的实施可以做到社会效益、经济效益和环境效益三者的和谐统一、协调发展。</w:t>
            </w:r>
            <w:r>
              <w:rPr>
                <w:rFonts w:ascii="Times New Roman" w:hAnsiTheme="minorEastAsia" w:eastAsiaTheme="minorEastAsia"/>
                <w:color w:val="000000" w:themeColor="text1"/>
                <w:sz w:val="24"/>
              </w:rPr>
              <w:t>从环境保护的角度来看，该建设项目可行</w:t>
            </w:r>
            <w:r>
              <w:rPr>
                <w:rFonts w:ascii="Times New Roman" w:hAnsiTheme="minorEastAsia" w:eastAsiaTheme="minorEastAsia"/>
                <w:color w:val="000000" w:themeColor="text1"/>
                <w:sz w:val="24"/>
                <w:szCs w:val="24"/>
              </w:rPr>
              <w:t>。</w:t>
            </w:r>
          </w:p>
          <w:p w14:paraId="724BDABF">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（2）环评措施及建议</w:t>
            </w:r>
          </w:p>
          <w:p w14:paraId="526BBD67">
            <w:pPr>
              <w:spacing w:line="360" w:lineRule="auto"/>
              <w:ind w:firstLine="480" w:firstLineChars="200"/>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项目环评报告表中对废水、废气、固体废物及噪声污染提出了相应的处理措施及建议。根据</w:t>
            </w:r>
            <w:r>
              <w:rPr>
                <w:rFonts w:hint="eastAsia" w:ascii="Times New Roman" w:hAnsi="Times New Roman" w:cs="Times New Roman"/>
                <w:bCs/>
                <w:color w:val="000000" w:themeColor="text1"/>
                <w:sz w:val="24"/>
                <w:szCs w:val="24"/>
                <w:lang w:val="en-US" w:eastAsia="zh-CN"/>
              </w:rPr>
              <w:t>建设单位</w:t>
            </w:r>
            <w:r>
              <w:rPr>
                <w:rFonts w:hint="default" w:ascii="Times New Roman" w:hAnsi="Times New Roman" w:cs="Times New Roman"/>
                <w:bCs/>
                <w:color w:val="000000" w:themeColor="text1"/>
                <w:sz w:val="24"/>
                <w:szCs w:val="24"/>
              </w:rPr>
              <w:t>提供的有关工程资料、实地走访、现场勘查和核实，对照环评提出的要求，建设项目均满足。建设项目环保措施与建议的落实情况详见表4-1。</w:t>
            </w:r>
            <w:bookmarkEnd w:id="23"/>
            <w:bookmarkEnd w:id="24"/>
          </w:p>
          <w:p w14:paraId="76FABD9A">
            <w:pPr>
              <w:jc w:val="center"/>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表4-1  项目环保措施执行情况对照表</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7"/>
              <w:gridCol w:w="511"/>
              <w:gridCol w:w="3377"/>
              <w:gridCol w:w="3711"/>
              <w:gridCol w:w="753"/>
            </w:tblGrid>
            <w:tr w14:paraId="634D2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48" w:type="dxa"/>
                  <w:gridSpan w:val="2"/>
                  <w:tcBorders>
                    <w:top w:val="single" w:color="000000" w:sz="4" w:space="0"/>
                    <w:left w:val="single" w:color="000000" w:sz="4" w:space="0"/>
                    <w:bottom w:val="single" w:color="000000" w:sz="4" w:space="0"/>
                    <w:right w:val="single" w:color="000000" w:sz="4" w:space="0"/>
                  </w:tcBorders>
                  <w:vAlign w:val="center"/>
                </w:tcPr>
                <w:p w14:paraId="1D5CDBA6">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项目</w:t>
                  </w:r>
                </w:p>
              </w:tc>
              <w:tc>
                <w:tcPr>
                  <w:tcW w:w="3377" w:type="dxa"/>
                  <w:tcBorders>
                    <w:top w:val="single" w:color="000000" w:sz="4" w:space="0"/>
                    <w:left w:val="single" w:color="000000" w:sz="4" w:space="0"/>
                    <w:bottom w:val="single" w:color="000000" w:sz="4" w:space="0"/>
                    <w:right w:val="single" w:color="000000" w:sz="4" w:space="0"/>
                  </w:tcBorders>
                  <w:vAlign w:val="center"/>
                </w:tcPr>
                <w:p w14:paraId="147FC2A7">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项目环评措施要求</w:t>
                  </w:r>
                </w:p>
              </w:tc>
              <w:tc>
                <w:tcPr>
                  <w:tcW w:w="3711" w:type="dxa"/>
                  <w:tcBorders>
                    <w:top w:val="single" w:color="000000" w:sz="4" w:space="0"/>
                    <w:left w:val="single" w:color="000000" w:sz="4" w:space="0"/>
                    <w:bottom w:val="single" w:color="000000" w:sz="4" w:space="0"/>
                    <w:right w:val="single" w:color="000000" w:sz="4" w:space="0"/>
                  </w:tcBorders>
                  <w:vAlign w:val="center"/>
                </w:tcPr>
                <w:p w14:paraId="1954F2C9">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实际执行情况</w:t>
                  </w:r>
                </w:p>
              </w:tc>
              <w:tc>
                <w:tcPr>
                  <w:tcW w:w="753" w:type="dxa"/>
                  <w:tcBorders>
                    <w:top w:val="single" w:color="000000" w:sz="4" w:space="0"/>
                    <w:left w:val="single" w:color="000000" w:sz="4" w:space="0"/>
                    <w:bottom w:val="single" w:color="000000" w:sz="4" w:space="0"/>
                    <w:right w:val="single" w:color="000000" w:sz="4" w:space="0"/>
                  </w:tcBorders>
                  <w:vAlign w:val="center"/>
                </w:tcPr>
                <w:p w14:paraId="3433DB58">
                  <w:pPr>
                    <w:widowControl/>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对比</w:t>
                  </w:r>
                </w:p>
                <w:p w14:paraId="118E5CEC">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要求</w:t>
                  </w:r>
                </w:p>
              </w:tc>
            </w:tr>
            <w:tr w14:paraId="4EB88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restart"/>
                  <w:tcBorders>
                    <w:top w:val="single" w:color="000000" w:sz="4" w:space="0"/>
                    <w:left w:val="single" w:color="000000" w:sz="4" w:space="0"/>
                    <w:bottom w:val="single" w:color="000000" w:sz="4" w:space="0"/>
                    <w:right w:val="single" w:color="000000" w:sz="4" w:space="0"/>
                  </w:tcBorders>
                  <w:vAlign w:val="center"/>
                </w:tcPr>
                <w:p w14:paraId="6047DB80">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施工期</w:t>
                  </w:r>
                </w:p>
              </w:tc>
              <w:tc>
                <w:tcPr>
                  <w:tcW w:w="511" w:type="dxa"/>
                  <w:tcBorders>
                    <w:top w:val="single" w:color="000000" w:sz="4" w:space="0"/>
                    <w:left w:val="single" w:color="000000" w:sz="4" w:space="0"/>
                    <w:bottom w:val="single" w:color="000000" w:sz="4" w:space="0"/>
                    <w:right w:val="single" w:color="000000" w:sz="4" w:space="0"/>
                  </w:tcBorders>
                  <w:vAlign w:val="center"/>
                </w:tcPr>
                <w:p w14:paraId="5FD72351">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废</w:t>
                  </w:r>
                </w:p>
                <w:p w14:paraId="0505A804">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气</w:t>
                  </w:r>
                </w:p>
              </w:tc>
              <w:tc>
                <w:tcPr>
                  <w:tcW w:w="3377" w:type="dxa"/>
                  <w:tcBorders>
                    <w:top w:val="single" w:color="000000" w:sz="4" w:space="0"/>
                    <w:left w:val="single" w:color="000000" w:sz="4" w:space="0"/>
                    <w:bottom w:val="single" w:color="000000" w:sz="4" w:space="0"/>
                    <w:right w:val="single" w:color="000000" w:sz="4" w:space="0"/>
                  </w:tcBorders>
                  <w:vAlign w:val="center"/>
                </w:tcPr>
                <w:p w14:paraId="0147461C">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对施工场地定期进行洒水降尘；</w:t>
                  </w:r>
                </w:p>
                <w:p w14:paraId="096DF15E">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②在项目区厂界设置挡墙；</w:t>
                  </w:r>
                </w:p>
                <w:p w14:paraId="27CD6FA1">
                  <w:pPr>
                    <w:keepNext w:val="0"/>
                    <w:keepLines w:val="0"/>
                    <w:pageBreakBefore w:val="0"/>
                    <w:widowControl/>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③避免大风天气条件下进行扬尘较多的施工作业；</w:t>
                  </w:r>
                </w:p>
                <w:p w14:paraId="077B3A1E">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④施工材料遮盖运输。</w:t>
                  </w:r>
                </w:p>
                <w:p w14:paraId="5F5D2C12">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5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⑤</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对进出车辆进行清洗。</w:t>
                  </w:r>
                </w:p>
                <w:p w14:paraId="166DC1E6">
                  <w:pPr>
                    <w:keepNext w:val="0"/>
                    <w:keepLines w:val="0"/>
                    <w:pageBreakBefore w:val="0"/>
                    <w:widowControl/>
                    <w:kinsoku/>
                    <w:wordWrap/>
                    <w:overflowPunct/>
                    <w:topLinePunct w:val="0"/>
                    <w:autoSpaceDE/>
                    <w:autoSpaceDN/>
                    <w:bidi w:val="0"/>
                    <w:spacing w:line="360" w:lineRule="auto"/>
                    <w:ind w:firstLine="420" w:firstLineChars="200"/>
                    <w:textAlignment w:val="auto"/>
                    <w:rPr>
                      <w:rFonts w:hint="eastAsia"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szCs w:val="21"/>
                    </w:rPr>
                    <w:t>⑥对运输线路进行清扫、冲洗及洒水作业</w:t>
                  </w:r>
                  <w:r>
                    <w:rPr>
                      <w:rFonts w:hint="eastAsia" w:ascii="Times New Roman" w:hAnsi="Times New Roman" w:cs="Times New Roman"/>
                      <w:color w:val="000000" w:themeColor="text1"/>
                      <w:szCs w:val="21"/>
                      <w:lang w:eastAsia="zh-CN"/>
                    </w:rPr>
                    <w:t>。</w:t>
                  </w:r>
                </w:p>
              </w:tc>
              <w:tc>
                <w:tcPr>
                  <w:tcW w:w="3711" w:type="dxa"/>
                  <w:tcBorders>
                    <w:top w:val="single" w:color="000000" w:sz="4" w:space="0"/>
                    <w:left w:val="single" w:color="000000" w:sz="4" w:space="0"/>
                    <w:bottom w:val="single" w:color="000000" w:sz="4" w:space="0"/>
                    <w:right w:val="single" w:color="000000" w:sz="4" w:space="0"/>
                  </w:tcBorders>
                  <w:vAlign w:val="center"/>
                </w:tcPr>
                <w:p w14:paraId="30634D78">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3F777B29">
                  <w:pPr>
                    <w:widowControl/>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施工期间已对施工场地进行了定期进行洒水降尘；</w:t>
                  </w:r>
                </w:p>
                <w:p w14:paraId="4172D154">
                  <w:pPr>
                    <w:widowControl/>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②施工期间</w:t>
                  </w:r>
                  <w:r>
                    <w:rPr>
                      <w:rFonts w:hint="eastAsia" w:ascii="Times New Roman" w:hAnsi="Times New Roman" w:cs="Times New Roman"/>
                      <w:color w:val="000000" w:themeColor="text1"/>
                      <w:szCs w:val="21"/>
                      <w:lang w:eastAsia="zh-CN"/>
                    </w:rPr>
                    <w:t>已在</w:t>
                  </w:r>
                  <w:r>
                    <w:rPr>
                      <w:rFonts w:hint="default" w:ascii="Times New Roman" w:hAnsi="Times New Roman" w:cs="Times New Roman"/>
                      <w:color w:val="000000" w:themeColor="text1"/>
                      <w:szCs w:val="21"/>
                    </w:rPr>
                    <w:t>项目区厂界设置挡墙；</w:t>
                  </w:r>
                </w:p>
                <w:p w14:paraId="39856684">
                  <w:pPr>
                    <w:adjustRightInd w:val="0"/>
                    <w:snapToGrid w:val="0"/>
                    <w:spacing w:line="360" w:lineRule="auto"/>
                    <w:ind w:firstLine="420" w:firstLineChars="200"/>
                    <w:rPr>
                      <w:rFonts w:hint="default" w:ascii="Times New Roman" w:hAnsi="Times New Roman" w:cs="Times New Roman"/>
                      <w:color w:val="000000" w:themeColor="text1"/>
                      <w:szCs w:val="21"/>
                      <w:lang w:val="zh-CN"/>
                    </w:rPr>
                  </w:pPr>
                  <w:r>
                    <w:rPr>
                      <w:rFonts w:hint="default" w:ascii="Times New Roman" w:hAnsi="Times New Roman" w:cs="Times New Roman"/>
                      <w:color w:val="000000" w:themeColor="text1"/>
                      <w:szCs w:val="21"/>
                    </w:rPr>
                    <w:t>③施工中土方挖掘及堆放、施工垃圾的清理等扬尘较多的工序已尽量选择在无大风的天气进行。</w:t>
                  </w:r>
                </w:p>
                <w:p w14:paraId="2491083F">
                  <w:pPr>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④</w:t>
                  </w:r>
                  <w:r>
                    <w:rPr>
                      <w:rFonts w:hint="default" w:ascii="Times New Roman" w:hAnsi="Times New Roman" w:cs="Times New Roman"/>
                      <w:color w:val="000000" w:themeColor="text1"/>
                      <w:szCs w:val="21"/>
                      <w:lang w:val="zh-CN"/>
                    </w:rPr>
                    <w:t>施工材料在</w:t>
                  </w:r>
                  <w:r>
                    <w:rPr>
                      <w:rFonts w:hint="default" w:ascii="Times New Roman" w:hAnsi="Times New Roman" w:cs="Times New Roman"/>
                      <w:color w:val="000000" w:themeColor="text1"/>
                      <w:szCs w:val="21"/>
                    </w:rPr>
                    <w:t>装运的过程中已采取有效的遮盖，减缓了扬尘对运输道路两侧的影响。</w:t>
                  </w:r>
                </w:p>
                <w:p w14:paraId="5B11C282">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5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⑤</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施工期间已对运输线路进行清扫、冲洗及洒水作业。</w:t>
                  </w:r>
                </w:p>
                <w:p w14:paraId="707970E5">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6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⑥</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施工期间已对进出车辆进行清洗。</w:t>
                  </w:r>
                </w:p>
                <w:p w14:paraId="15FD0F09">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项目</w:t>
                  </w:r>
                  <w:r>
                    <w:rPr>
                      <w:rFonts w:hint="default" w:ascii="Times New Roman" w:hAnsi="Times New Roman" w:cs="Times New Roman"/>
                      <w:color w:val="000000" w:themeColor="text1"/>
                      <w:szCs w:val="21"/>
                    </w:rPr>
                    <w:t>施工期废气经采取上述措施后对周边环境影响较小，本项目在施工过程中，未发生过环境污染事件，未</w:t>
                  </w:r>
                  <w:r>
                    <w:rPr>
                      <w:rFonts w:hint="eastAsia" w:ascii="Times New Roman" w:hAnsi="Times New Roman" w:cs="Times New Roman"/>
                      <w:color w:val="000000" w:themeColor="text1"/>
                      <w:szCs w:val="21"/>
                      <w:lang w:eastAsia="zh-CN"/>
                    </w:rPr>
                    <w:t>收到</w:t>
                  </w:r>
                  <w:r>
                    <w:rPr>
                      <w:rFonts w:hint="default" w:ascii="Times New Roman" w:hAnsi="Times New Roman" w:cs="Times New Roman"/>
                      <w:color w:val="000000" w:themeColor="text1"/>
                      <w:szCs w:val="21"/>
                    </w:rPr>
                    <w:t>相关环境影响投诉。</w:t>
                  </w:r>
                </w:p>
              </w:tc>
              <w:tc>
                <w:tcPr>
                  <w:tcW w:w="753" w:type="dxa"/>
                  <w:tcBorders>
                    <w:top w:val="single" w:color="000000" w:sz="4" w:space="0"/>
                    <w:left w:val="single" w:color="000000" w:sz="4" w:space="0"/>
                    <w:bottom w:val="single" w:color="000000" w:sz="4" w:space="0"/>
                    <w:right w:val="single" w:color="000000" w:sz="4" w:space="0"/>
                  </w:tcBorders>
                  <w:vAlign w:val="center"/>
                </w:tcPr>
                <w:p w14:paraId="75218D6C">
                  <w:pPr>
                    <w:adjustRightInd w:val="0"/>
                    <w:snapToGrid w:val="0"/>
                    <w:spacing w:line="360" w:lineRule="auto"/>
                    <w:jc w:val="center"/>
                    <w:rPr>
                      <w:rFonts w:hint="default" w:ascii="Times New Roman" w:hAnsi="Times New Roman" w:cs="Times New Roman"/>
                      <w:b/>
                      <w:color w:val="000000" w:themeColor="text1"/>
                      <w:szCs w:val="21"/>
                    </w:rPr>
                  </w:pPr>
                  <w:r>
                    <w:rPr>
                      <w:rFonts w:hint="default" w:ascii="Times New Roman" w:hAnsi="Times New Roman" w:cs="Times New Roman"/>
                      <w:color w:val="000000" w:themeColor="text1"/>
                      <w:szCs w:val="21"/>
                    </w:rPr>
                    <w:t>满足</w:t>
                  </w:r>
                </w:p>
              </w:tc>
            </w:tr>
            <w:tr w14:paraId="25CE3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2196B16F">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4C6465CE">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废</w:t>
                  </w:r>
                </w:p>
                <w:p w14:paraId="019246E7">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水</w:t>
                  </w:r>
                </w:p>
              </w:tc>
              <w:tc>
                <w:tcPr>
                  <w:tcW w:w="3377" w:type="dxa"/>
                  <w:tcBorders>
                    <w:top w:val="single" w:color="000000" w:sz="4" w:space="0"/>
                    <w:left w:val="single" w:color="000000" w:sz="4" w:space="0"/>
                    <w:bottom w:val="single" w:color="000000" w:sz="4" w:space="0"/>
                    <w:right w:val="single" w:color="000000" w:sz="4" w:space="0"/>
                  </w:tcBorders>
                  <w:vAlign w:val="center"/>
                </w:tcPr>
                <w:p w14:paraId="1CB9812C">
                  <w:pPr>
                    <w:spacing w:line="360" w:lineRule="auto"/>
                    <w:ind w:firstLine="420" w:firstLineChars="200"/>
                    <w:rPr>
                      <w:rFonts w:hint="default" w:ascii="Times New Roman" w:hAnsi="Times New Roman" w:cs="Times New Roman"/>
                      <w:color w:val="000000" w:themeColor="text1"/>
                      <w:kern w:val="18"/>
                      <w:szCs w:val="21"/>
                      <w:lang w:val="zh-CN"/>
                    </w:rPr>
                  </w:pPr>
                  <w:r>
                    <w:rPr>
                      <w:rFonts w:hint="default" w:ascii="Times New Roman" w:hAnsi="Times New Roman" w:cs="Times New Roman"/>
                      <w:color w:val="000000" w:themeColor="text1"/>
                      <w:kern w:val="18"/>
                      <w:szCs w:val="21"/>
                      <w:lang w:val="zh-CN"/>
                    </w:rPr>
                    <w:fldChar w:fldCharType="begin"/>
                  </w:r>
                  <w:r>
                    <w:rPr>
                      <w:rFonts w:hint="default" w:ascii="Times New Roman" w:hAnsi="Times New Roman" w:cs="Times New Roman"/>
                      <w:color w:val="000000" w:themeColor="text1"/>
                      <w:kern w:val="18"/>
                      <w:szCs w:val="21"/>
                      <w:lang w:val="zh-CN"/>
                    </w:rPr>
                    <w:instrText xml:space="preserve"> = 1 \* GB3 </w:instrText>
                  </w:r>
                  <w:r>
                    <w:rPr>
                      <w:rFonts w:hint="default" w:ascii="Times New Roman" w:hAnsi="Times New Roman" w:cs="Times New Roman"/>
                      <w:color w:val="000000" w:themeColor="text1"/>
                      <w:kern w:val="18"/>
                      <w:szCs w:val="21"/>
                      <w:lang w:val="zh-CN"/>
                    </w:rPr>
                    <w:fldChar w:fldCharType="separate"/>
                  </w:r>
                  <w:r>
                    <w:rPr>
                      <w:rFonts w:hint="default" w:ascii="Times New Roman" w:hAnsi="Times New Roman" w:cs="Times New Roman"/>
                      <w:color w:val="000000" w:themeColor="text1"/>
                      <w:kern w:val="18"/>
                      <w:szCs w:val="21"/>
                      <w:lang w:val="zh-CN"/>
                    </w:rPr>
                    <w:t>①</w:t>
                  </w:r>
                  <w:r>
                    <w:rPr>
                      <w:rFonts w:hint="default" w:ascii="Times New Roman" w:hAnsi="Times New Roman" w:cs="Times New Roman"/>
                      <w:color w:val="000000" w:themeColor="text1"/>
                      <w:kern w:val="18"/>
                      <w:szCs w:val="21"/>
                      <w:lang w:val="zh-CN"/>
                    </w:rPr>
                    <w:fldChar w:fldCharType="end"/>
                  </w:r>
                  <w:r>
                    <w:rPr>
                      <w:rFonts w:hint="default" w:ascii="Times New Roman" w:hAnsi="Times New Roman" w:cs="Times New Roman"/>
                      <w:color w:val="000000" w:themeColor="text1"/>
                      <w:kern w:val="18"/>
                      <w:szCs w:val="21"/>
                      <w:lang w:val="zh-CN"/>
                    </w:rPr>
                    <w:t>建筑施工废水经收集、沉淀处理，回用于混凝土养护和施工场地洒水降尘，不外排。</w:t>
                  </w:r>
                </w:p>
                <w:p w14:paraId="5EA6EB5F">
                  <w:pPr>
                    <w:spacing w:line="360" w:lineRule="auto"/>
                    <w:ind w:firstLine="420" w:firstLineChars="200"/>
                    <w:rPr>
                      <w:rFonts w:hint="default" w:ascii="Times New Roman" w:hAnsi="Times New Roman" w:cs="Times New Roman"/>
                      <w:color w:val="000000" w:themeColor="text1"/>
                      <w:szCs w:val="21"/>
                    </w:rPr>
                  </w:pPr>
                  <w:r>
                    <w:rPr>
                      <w:rFonts w:hint="eastAsia" w:ascii="Times New Roman" w:hAnsi="Times New Roman" w:cs="Times New Roman"/>
                      <w:color w:val="000000" w:themeColor="text1"/>
                      <w:kern w:val="18"/>
                      <w:szCs w:val="21"/>
                      <w:lang w:val="en-US" w:eastAsia="zh-CN"/>
                    </w:rPr>
                    <w:t>②</w:t>
                  </w:r>
                  <w:r>
                    <w:rPr>
                      <w:rFonts w:hint="default" w:ascii="Times New Roman" w:hAnsi="Times New Roman" w:cs="Times New Roman"/>
                      <w:color w:val="000000" w:themeColor="text1"/>
                      <w:kern w:val="18"/>
                      <w:szCs w:val="21"/>
                      <w:lang w:val="zh-CN"/>
                    </w:rPr>
                    <w:t>进出车辆清洗废水通过设置一个车辆清洗池，车辆清洗废水经沉淀后循环使用。</w:t>
                  </w:r>
                </w:p>
              </w:tc>
              <w:tc>
                <w:tcPr>
                  <w:tcW w:w="3711" w:type="dxa"/>
                  <w:tcBorders>
                    <w:top w:val="single" w:color="000000" w:sz="4" w:space="0"/>
                    <w:left w:val="single" w:color="000000" w:sz="4" w:space="0"/>
                    <w:bottom w:val="single" w:color="000000" w:sz="4" w:space="0"/>
                    <w:right w:val="single" w:color="000000" w:sz="4" w:space="0"/>
                  </w:tcBorders>
                  <w:vAlign w:val="center"/>
                </w:tcPr>
                <w:p w14:paraId="051C6242">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4A3B60E7">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建筑施工废水已通过沉淀后用于施工场地的洒水降尘和混凝土养护，不外排。</w:t>
                  </w:r>
                </w:p>
                <w:p w14:paraId="0133E78F">
                  <w:pPr>
                    <w:widowControl/>
                    <w:adjustRightInd w:val="0"/>
                    <w:snapToGrid w:val="0"/>
                    <w:spacing w:line="360" w:lineRule="auto"/>
                    <w:ind w:firstLine="420"/>
                    <w:rPr>
                      <w:rFonts w:hint="default" w:ascii="Times New Roman" w:hAnsi="Times New Roman" w:cs="Times New Roman"/>
                      <w:color w:val="000000" w:themeColor="text1"/>
                    </w:rPr>
                  </w:pPr>
                  <w:r>
                    <w:rPr>
                      <w:rFonts w:hint="eastAsia" w:ascii="Times New Roman" w:hAnsi="Times New Roman" w:cs="Times New Roman"/>
                      <w:color w:val="000000" w:themeColor="text1"/>
                      <w:szCs w:val="21"/>
                      <w:lang w:val="en-US" w:eastAsia="zh-CN"/>
                    </w:rPr>
                    <w:t>②</w:t>
                  </w:r>
                  <w:r>
                    <w:rPr>
                      <w:rFonts w:hint="default" w:ascii="Times New Roman" w:hAnsi="Times New Roman" w:cs="Times New Roman"/>
                      <w:color w:val="000000" w:themeColor="text1"/>
                      <w:szCs w:val="21"/>
                    </w:rPr>
                    <w:t>车辆清洗废水已经收集、沉淀处理后，回用于混凝土养护和施工场地洒水降尘</w:t>
                  </w:r>
                  <w:r>
                    <w:rPr>
                      <w:rFonts w:hint="default" w:ascii="Times New Roman" w:hAnsi="Times New Roman" w:cs="Times New Roman"/>
                      <w:color w:val="000000" w:themeColor="text1"/>
                    </w:rPr>
                    <w:t>。</w:t>
                  </w:r>
                </w:p>
                <w:p w14:paraId="1C4DF0E3">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经采取以上措施后，项目施工期废水</w:t>
                  </w:r>
                  <w:r>
                    <w:rPr>
                      <w:rFonts w:hint="default" w:ascii="Times New Roman" w:hAnsi="Times New Roman" w:cs="Times New Roman"/>
                      <w:color w:val="000000" w:themeColor="text1"/>
                      <w:szCs w:val="21"/>
                    </w:rPr>
                    <w:t>对地表水环境影响较小，本项目在施工过程中，未发生过环境污染事件，未</w:t>
                  </w:r>
                  <w:r>
                    <w:rPr>
                      <w:rFonts w:hint="eastAsia" w:ascii="Times New Roman" w:hAnsi="Times New Roman" w:cs="Times New Roman"/>
                      <w:color w:val="000000" w:themeColor="text1"/>
                      <w:szCs w:val="21"/>
                      <w:lang w:eastAsia="zh-CN"/>
                    </w:rPr>
                    <w:t>收到</w:t>
                  </w:r>
                  <w:r>
                    <w:rPr>
                      <w:rFonts w:hint="default" w:ascii="Times New Roman" w:hAnsi="Times New Roman" w:cs="Times New Roman"/>
                      <w:color w:val="000000" w:themeColor="text1"/>
                      <w:szCs w:val="21"/>
                    </w:rPr>
                    <w:t>相关环境影响投诉。</w:t>
                  </w:r>
                </w:p>
              </w:tc>
              <w:tc>
                <w:tcPr>
                  <w:tcW w:w="753" w:type="dxa"/>
                  <w:tcBorders>
                    <w:top w:val="single" w:color="000000" w:sz="4" w:space="0"/>
                    <w:left w:val="single" w:color="000000" w:sz="4" w:space="0"/>
                    <w:bottom w:val="single" w:color="000000" w:sz="4" w:space="0"/>
                    <w:right w:val="single" w:color="000000" w:sz="4" w:space="0"/>
                  </w:tcBorders>
                  <w:vAlign w:val="center"/>
                </w:tcPr>
                <w:p w14:paraId="4FE480EA">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4237A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69B06940">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46D84CCC">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噪</w:t>
                  </w:r>
                </w:p>
                <w:p w14:paraId="12502E9E">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声</w:t>
                  </w:r>
                </w:p>
              </w:tc>
              <w:tc>
                <w:tcPr>
                  <w:tcW w:w="3377" w:type="dxa"/>
                  <w:tcBorders>
                    <w:top w:val="single" w:color="000000" w:sz="4" w:space="0"/>
                    <w:left w:val="single" w:color="000000" w:sz="4" w:space="0"/>
                    <w:bottom w:val="single" w:color="000000" w:sz="4" w:space="0"/>
                    <w:right w:val="single" w:color="000000" w:sz="4" w:space="0"/>
                  </w:tcBorders>
                  <w:vAlign w:val="center"/>
                </w:tcPr>
                <w:p w14:paraId="1DDA78E2">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①建筑施工过程中使用机械设备，若需在夜间施工的，施工单位应当在工程开工前十五日向工程所在地的县（市）区环境保护行政主管部门申报该工程的项目名称、施工场所和期限、可能产生的环境噪声值以及所采取的环境噪声污染防治措施的情况。</w:t>
                  </w:r>
                </w:p>
                <w:p w14:paraId="5CAA542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禁止在12时至14时、22时至次日6时进行建筑施工作业，但抢修、抢险作业和因混凝土浇灌、桩基冲孔、钻孔桩成型等生产工艺需要连续作业的除外。若要进行连续施工作业，施工单位按照相关环保部门要求进行，应提前3天进行公告。</w:t>
                  </w:r>
                </w:p>
                <w:p w14:paraId="309C918B">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③施工单位应选用噪音低、振动小的设备。确保施工噪声达到《建筑施工场界环境噪声排放标准》（GB12523-2011）规定的限值。同时在施工单位应设专人对设备进行定期保养和维护，并负责对现场工作人员进行培训，严格按操作规范使用各种机械。</w:t>
                  </w:r>
                </w:p>
                <w:p w14:paraId="4937C397">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④对于噪声较大设备应尽量不同时开启。</w:t>
                  </w:r>
                </w:p>
                <w:p w14:paraId="5D6D7306">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⑤装修期间，块材等建筑材料尽量采用定尺定料，减少现场切割。施工人员在施工作业时不得敲打钢管、钢模板，尽量减少噪音；早晚施工不大声喧哗，建筑物资轻拿轻放，不从上往下扔东西，并做好施工中的计划调控。</w:t>
                  </w:r>
                </w:p>
                <w:p w14:paraId="244D0D00">
                  <w:pPr>
                    <w:spacing w:line="360" w:lineRule="auto"/>
                    <w:ind w:firstLine="420" w:firstLineChars="20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⑥建设管理部门应加强对施工场地的噪声管理，施工企业也应对施工噪声进行自律，文明施工，施工期间组织好区内交通，施工场地的施工车辆出入现场时应低速、禁鸣，设立专职人员负责该工作，封闭施工。</w:t>
                  </w:r>
                </w:p>
              </w:tc>
              <w:tc>
                <w:tcPr>
                  <w:tcW w:w="3711" w:type="dxa"/>
                  <w:tcBorders>
                    <w:top w:val="single" w:color="000000" w:sz="4" w:space="0"/>
                    <w:left w:val="single" w:color="000000" w:sz="4" w:space="0"/>
                    <w:bottom w:val="single" w:color="000000" w:sz="4" w:space="0"/>
                    <w:right w:val="single" w:color="000000" w:sz="4" w:space="0"/>
                  </w:tcBorders>
                  <w:vAlign w:val="center"/>
                </w:tcPr>
                <w:p w14:paraId="16F0D1D1">
                  <w:pPr>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3F1DB524">
                  <w:pPr>
                    <w:widowControl/>
                    <w:adjustRightInd w:val="0"/>
                    <w:snapToGrid w:val="0"/>
                    <w:spacing w:line="360" w:lineRule="auto"/>
                    <w:ind w:firstLine="420"/>
                    <w:rPr>
                      <w:rFonts w:hint="eastAsia" w:ascii="Times New Roman" w:hAnsi="Times New Roman" w:eastAsia="宋体" w:cs="Times New Roman"/>
                      <w:color w:val="000000" w:themeColor="text1"/>
                      <w:kern w:val="0"/>
                      <w:szCs w:val="21"/>
                      <w:lang w:eastAsia="zh-CN"/>
                    </w:rPr>
                  </w:pPr>
                  <w:r>
                    <w:rPr>
                      <w:rFonts w:hint="eastAsia" w:ascii="Times New Roman" w:hAnsi="Times New Roman" w:cs="Times New Roman"/>
                      <w:color w:val="000000" w:themeColor="text1"/>
                      <w:kern w:val="0"/>
                      <w:szCs w:val="21"/>
                      <w:lang w:val="en-US" w:eastAsia="zh-CN"/>
                    </w:rPr>
                    <w:t>①</w:t>
                  </w:r>
                  <w:r>
                    <w:rPr>
                      <w:rFonts w:hint="default" w:ascii="Times New Roman" w:hAnsi="Times New Roman" w:cs="Times New Roman"/>
                      <w:color w:val="000000" w:themeColor="text1"/>
                      <w:kern w:val="0"/>
                      <w:szCs w:val="21"/>
                    </w:rPr>
                    <w:t>施工单位已在工程开工前十五日向行政主管部门申报了该工程的项目名称、施工场所和期限、可能产生的环境噪声值以及所采取的环境噪声污染防治措施的情况</w:t>
                  </w:r>
                  <w:r>
                    <w:rPr>
                      <w:rFonts w:hint="eastAsia" w:ascii="Times New Roman" w:hAnsi="Times New Roman" w:cs="Times New Roman"/>
                      <w:color w:val="000000" w:themeColor="text1"/>
                      <w:kern w:val="0"/>
                      <w:szCs w:val="21"/>
                      <w:lang w:eastAsia="zh-CN"/>
                    </w:rPr>
                    <w:t>。</w:t>
                  </w:r>
                </w:p>
                <w:p w14:paraId="67EF13B8">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kern w:val="0"/>
                      <w:szCs w:val="21"/>
                      <w:lang w:val="en-US" w:eastAsia="zh-CN"/>
                    </w:rPr>
                    <w:t>②</w:t>
                  </w:r>
                  <w:r>
                    <w:rPr>
                      <w:rFonts w:hint="default" w:ascii="Times New Roman" w:hAnsi="Times New Roman" w:cs="Times New Roman"/>
                      <w:color w:val="000000" w:themeColor="text1"/>
                      <w:kern w:val="0"/>
                      <w:szCs w:val="21"/>
                    </w:rPr>
                    <w:t>未</w:t>
                  </w:r>
                  <w:r>
                    <w:rPr>
                      <w:rFonts w:hint="default" w:ascii="Times New Roman" w:hAnsi="Times New Roman" w:cs="Times New Roman"/>
                      <w:color w:val="000000" w:themeColor="text1"/>
                      <w:szCs w:val="21"/>
                    </w:rPr>
                    <w:t>在12时至14时、22时至次日6时进行建筑施工作业</w:t>
                  </w:r>
                  <w:r>
                    <w:rPr>
                      <w:rFonts w:hint="eastAsia" w:ascii="Times New Roman" w:hAnsi="Times New Roman" w:cs="Times New Roman"/>
                      <w:color w:val="000000" w:themeColor="text1"/>
                      <w:szCs w:val="21"/>
                      <w:lang w:eastAsia="zh-CN"/>
                    </w:rPr>
                    <w:t>。</w:t>
                  </w:r>
                </w:p>
                <w:p w14:paraId="6F94DB9A">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szCs w:val="21"/>
                      <w:lang w:val="en-US" w:eastAsia="zh-CN"/>
                    </w:rPr>
                    <w:t>③</w:t>
                  </w:r>
                  <w:r>
                    <w:rPr>
                      <w:rFonts w:hint="default" w:ascii="Times New Roman" w:hAnsi="Times New Roman" w:cs="Times New Roman"/>
                      <w:color w:val="000000" w:themeColor="text1"/>
                      <w:szCs w:val="21"/>
                    </w:rPr>
                    <w:t>已选用噪音低、振动小的设备，并设专人对设备进行定期保养和维护，对现场工作人员进行培训，严格按操作规范使用各种机械</w:t>
                  </w:r>
                  <w:r>
                    <w:rPr>
                      <w:rFonts w:hint="eastAsia" w:ascii="Times New Roman" w:hAnsi="Times New Roman" w:cs="Times New Roman"/>
                      <w:color w:val="000000" w:themeColor="text1"/>
                      <w:szCs w:val="21"/>
                      <w:lang w:eastAsia="zh-CN"/>
                    </w:rPr>
                    <w:t>。</w:t>
                  </w:r>
                </w:p>
                <w:p w14:paraId="54B739CC">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szCs w:val="21"/>
                      <w:lang w:val="en-US" w:eastAsia="zh-CN"/>
                    </w:rPr>
                    <w:t>④</w:t>
                  </w:r>
                  <w:r>
                    <w:rPr>
                      <w:rFonts w:hint="default" w:ascii="Times New Roman" w:hAnsi="Times New Roman" w:cs="Times New Roman"/>
                      <w:color w:val="000000" w:themeColor="text1"/>
                      <w:szCs w:val="21"/>
                    </w:rPr>
                    <w:t>噪声较大设备已尽量不同时开启</w:t>
                  </w:r>
                  <w:r>
                    <w:rPr>
                      <w:rFonts w:hint="eastAsia" w:ascii="Times New Roman" w:hAnsi="Times New Roman" w:cs="Times New Roman"/>
                      <w:color w:val="000000" w:themeColor="text1"/>
                      <w:szCs w:val="21"/>
                      <w:lang w:eastAsia="zh-CN"/>
                    </w:rPr>
                    <w:t>。</w:t>
                  </w:r>
                </w:p>
                <w:p w14:paraId="035DF475">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szCs w:val="21"/>
                      <w:lang w:val="en-US" w:eastAsia="zh-CN"/>
                    </w:rPr>
                    <w:t>⑤</w:t>
                  </w:r>
                  <w:r>
                    <w:rPr>
                      <w:rFonts w:hint="default" w:ascii="Times New Roman" w:hAnsi="Times New Roman" w:cs="Times New Roman"/>
                      <w:color w:val="000000" w:themeColor="text1"/>
                      <w:szCs w:val="21"/>
                    </w:rPr>
                    <w:t>装修期间，块材等建筑材料已尽量采用定尺定料，减少现场切割。早晚施工不大声喧哗，建筑物资轻拿轻放，不从上往下扔东西</w:t>
                  </w:r>
                  <w:r>
                    <w:rPr>
                      <w:rFonts w:hint="eastAsia" w:ascii="Times New Roman" w:hAnsi="Times New Roman" w:cs="Times New Roman"/>
                      <w:color w:val="000000" w:themeColor="text1"/>
                      <w:szCs w:val="21"/>
                      <w:lang w:eastAsia="zh-CN"/>
                    </w:rPr>
                    <w:t>。</w:t>
                  </w:r>
                </w:p>
                <w:p w14:paraId="1756B9E6">
                  <w:pPr>
                    <w:widowControl/>
                    <w:adjustRightInd w:val="0"/>
                    <w:snapToGrid w:val="0"/>
                    <w:spacing w:line="360" w:lineRule="auto"/>
                    <w:ind w:firstLine="420"/>
                    <w:rPr>
                      <w:rFonts w:hint="default" w:ascii="Times New Roman" w:hAnsi="Times New Roman" w:cs="Times New Roman"/>
                      <w:color w:val="000000" w:themeColor="text1"/>
                      <w:szCs w:val="21"/>
                    </w:rPr>
                  </w:pPr>
                  <w:r>
                    <w:rPr>
                      <w:rFonts w:hint="eastAsia" w:ascii="Times New Roman" w:hAnsi="Times New Roman" w:cs="Times New Roman"/>
                      <w:color w:val="000000" w:themeColor="text1"/>
                      <w:szCs w:val="21"/>
                      <w:lang w:val="en-US" w:eastAsia="zh-CN"/>
                    </w:rPr>
                    <w:t>⑥</w:t>
                  </w:r>
                  <w:r>
                    <w:rPr>
                      <w:rFonts w:hint="default" w:ascii="Times New Roman" w:hAnsi="Times New Roman" w:cs="Times New Roman"/>
                      <w:color w:val="000000" w:themeColor="text1"/>
                      <w:szCs w:val="21"/>
                    </w:rPr>
                    <w:t>建设管理部门已加强对施工场地的噪声管理，施工企业也应对施工噪声进行自律，文明施工，施工期间组织好区内交通，施工场地的施工车辆出入现场时已低速、禁鸣，设立专职人员负责该工作，封闭施工。项目施工期产生的噪声对周围环境影响较小。</w:t>
                  </w:r>
                </w:p>
                <w:p w14:paraId="21995BEC">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经走访调查，本项目在施工过程中，未发生过环境污染事件，未</w:t>
                  </w:r>
                  <w:r>
                    <w:rPr>
                      <w:rFonts w:hint="eastAsia" w:ascii="Times New Roman" w:hAnsi="Times New Roman" w:cs="Times New Roman"/>
                      <w:color w:val="000000" w:themeColor="text1"/>
                      <w:szCs w:val="21"/>
                      <w:lang w:eastAsia="zh-CN"/>
                    </w:rPr>
                    <w:t>收到</w:t>
                  </w:r>
                  <w:r>
                    <w:rPr>
                      <w:rFonts w:hint="default" w:ascii="Times New Roman" w:hAnsi="Times New Roman" w:cs="Times New Roman"/>
                      <w:color w:val="000000" w:themeColor="text1"/>
                      <w:szCs w:val="21"/>
                    </w:rPr>
                    <w:t>相关环境影响投诉。项目施工期间对项目周边未造成不利影响。</w:t>
                  </w:r>
                </w:p>
              </w:tc>
              <w:tc>
                <w:tcPr>
                  <w:tcW w:w="753" w:type="dxa"/>
                  <w:tcBorders>
                    <w:top w:val="single" w:color="000000" w:sz="4" w:space="0"/>
                    <w:left w:val="single" w:color="000000" w:sz="4" w:space="0"/>
                    <w:bottom w:val="single" w:color="000000" w:sz="4" w:space="0"/>
                    <w:right w:val="single" w:color="000000" w:sz="4" w:space="0"/>
                  </w:tcBorders>
                  <w:vAlign w:val="center"/>
                </w:tcPr>
                <w:p w14:paraId="015555B1">
                  <w:pPr>
                    <w:adjustRightInd w:val="0"/>
                    <w:snapToGrid w:val="0"/>
                    <w:spacing w:line="360" w:lineRule="auto"/>
                    <w:jc w:val="center"/>
                    <w:rPr>
                      <w:rFonts w:hint="default" w:ascii="Times New Roman" w:hAnsi="Times New Roman" w:cs="Times New Roman"/>
                      <w:b/>
                      <w:color w:val="000000" w:themeColor="text1"/>
                      <w:szCs w:val="21"/>
                    </w:rPr>
                  </w:pPr>
                  <w:r>
                    <w:rPr>
                      <w:rFonts w:hint="default" w:ascii="Times New Roman" w:hAnsi="Times New Roman" w:cs="Times New Roman"/>
                      <w:color w:val="000000" w:themeColor="text1"/>
                      <w:szCs w:val="21"/>
                    </w:rPr>
                    <w:t>满足</w:t>
                  </w:r>
                </w:p>
              </w:tc>
            </w:tr>
            <w:tr w14:paraId="2028C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3746EB5E">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62D62660">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固</w:t>
                  </w:r>
                </w:p>
                <w:p w14:paraId="60278B09">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体</w:t>
                  </w:r>
                </w:p>
                <w:p w14:paraId="7F6B0EEB">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废</w:t>
                  </w:r>
                </w:p>
                <w:p w14:paraId="12EA002D">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弃</w:t>
                  </w:r>
                </w:p>
                <w:p w14:paraId="2F9C644D">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物</w:t>
                  </w:r>
                </w:p>
              </w:tc>
              <w:tc>
                <w:tcPr>
                  <w:tcW w:w="3377" w:type="dxa"/>
                  <w:tcBorders>
                    <w:top w:val="single" w:color="000000" w:sz="4" w:space="0"/>
                    <w:left w:val="single" w:color="000000" w:sz="4" w:space="0"/>
                    <w:bottom w:val="single" w:color="000000" w:sz="4" w:space="0"/>
                    <w:right w:val="single" w:color="000000" w:sz="4" w:space="0"/>
                  </w:tcBorders>
                  <w:vAlign w:val="center"/>
                </w:tcPr>
                <w:p w14:paraId="34D723CE">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①本项目</w:t>
                  </w:r>
                  <w:r>
                    <w:rPr>
                      <w:rFonts w:hint="default" w:ascii="Times New Roman" w:hAnsi="Times New Roman" w:cs="Times New Roman"/>
                      <w:color w:val="000000" w:themeColor="text1"/>
                    </w:rPr>
                    <w:t>区开挖的土石方总量为</w:t>
                  </w:r>
                  <w:r>
                    <w:rPr>
                      <w:rFonts w:hint="eastAsia" w:ascii="Times New Roman" w:hAnsi="Times New Roman" w:cs="Times New Roman"/>
                      <w:color w:val="000000" w:themeColor="text1"/>
                      <w:lang w:val="en-US" w:eastAsia="zh-CN"/>
                    </w:rPr>
                    <w:t>3.74</w:t>
                  </w:r>
                  <w:r>
                    <w:rPr>
                      <w:rFonts w:hint="default" w:ascii="Times New Roman" w:hAnsi="Times New Roman" w:cs="Times New Roman"/>
                      <w:color w:val="000000" w:themeColor="text1"/>
                    </w:rPr>
                    <w:t>万m</w:t>
                  </w:r>
                  <w:r>
                    <w:rPr>
                      <w:rFonts w:hint="default" w:ascii="Times New Roman" w:hAnsi="Times New Roman" w:cs="Times New Roman"/>
                      <w:color w:val="000000" w:themeColor="text1"/>
                      <w:vertAlign w:val="superscript"/>
                    </w:rPr>
                    <w:t>3</w:t>
                  </w:r>
                  <w:r>
                    <w:rPr>
                      <w:rFonts w:hint="default" w:ascii="Times New Roman" w:hAnsi="Times New Roman" w:cs="Times New Roman"/>
                      <w:color w:val="000000" w:themeColor="text1"/>
                    </w:rPr>
                    <w:t>，0.18万m</w:t>
                  </w:r>
                  <w:r>
                    <w:rPr>
                      <w:rFonts w:hint="default" w:ascii="Times New Roman" w:hAnsi="Times New Roman" w:cs="Times New Roman"/>
                      <w:color w:val="000000" w:themeColor="text1"/>
                      <w:vertAlign w:val="superscript"/>
                    </w:rPr>
                    <w:t>3</w:t>
                  </w:r>
                  <w:r>
                    <w:rPr>
                      <w:rFonts w:hint="default" w:ascii="Times New Roman" w:hAnsi="Times New Roman" w:cs="Times New Roman"/>
                      <w:color w:val="000000" w:themeColor="text1"/>
                    </w:rPr>
                    <w:t>外运至晋颐庄园建设项目回填，其余全部回用于一期、二期项目区回填、道路铺设以及绿化覆土等，无弃土弃渣产生</w:t>
                  </w:r>
                  <w:r>
                    <w:rPr>
                      <w:rFonts w:hint="default" w:ascii="Times New Roman" w:hAnsi="Times New Roman" w:cs="Times New Roman"/>
                      <w:color w:val="000000" w:themeColor="text1"/>
                      <w:kern w:val="0"/>
                      <w:szCs w:val="21"/>
                    </w:rPr>
                    <w:t>。</w:t>
                  </w:r>
                </w:p>
                <w:p w14:paraId="564236D5">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kern w:val="0"/>
                      <w:szCs w:val="21"/>
                    </w:rPr>
                    <w:t>项目产生的建筑废料应进行充分回收利用，不能回收利用的部分应给予统一收集，不能随意丢弃，由施工单位运往政府指定地点进行处置，不得随意堆放。</w:t>
                  </w:r>
                </w:p>
              </w:tc>
              <w:tc>
                <w:tcPr>
                  <w:tcW w:w="3711" w:type="dxa"/>
                  <w:tcBorders>
                    <w:top w:val="single" w:color="000000" w:sz="4" w:space="0"/>
                    <w:left w:val="single" w:color="000000" w:sz="4" w:space="0"/>
                    <w:bottom w:val="single" w:color="000000" w:sz="4" w:space="0"/>
                    <w:right w:val="single" w:color="000000" w:sz="4" w:space="0"/>
                  </w:tcBorders>
                  <w:vAlign w:val="center"/>
                </w:tcPr>
                <w:p w14:paraId="528894F7">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5C8969E6">
                  <w:pPr>
                    <w:widowControl/>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①本项目土石方已全部回用，在建设过程中不产生废弃土石方。</w:t>
                  </w:r>
                </w:p>
                <w:p w14:paraId="38468E11">
                  <w:pPr>
                    <w:widowControl/>
                    <w:adjustRightInd w:val="0"/>
                    <w:snapToGrid w:val="0"/>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kern w:val="0"/>
                      <w:szCs w:val="21"/>
                    </w:rPr>
                    <w:t>项目产生的建筑废料已进行充分回收利用，不能回收利用的部分已给予统一收集，未随意丢弃，由施工单位运往政府指定地点进行处置，未随意堆放。</w:t>
                  </w:r>
                </w:p>
                <w:p w14:paraId="6DF1E628">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项目施工期产生的固体废弃物均得到妥善处置，处置率可达100%。</w:t>
                  </w:r>
                </w:p>
              </w:tc>
              <w:tc>
                <w:tcPr>
                  <w:tcW w:w="753" w:type="dxa"/>
                  <w:tcBorders>
                    <w:top w:val="single" w:color="000000" w:sz="4" w:space="0"/>
                    <w:left w:val="single" w:color="000000" w:sz="4" w:space="0"/>
                    <w:bottom w:val="single" w:color="000000" w:sz="4" w:space="0"/>
                    <w:right w:val="single" w:color="000000" w:sz="4" w:space="0"/>
                  </w:tcBorders>
                  <w:vAlign w:val="center"/>
                </w:tcPr>
                <w:p w14:paraId="0833EE4F">
                  <w:pPr>
                    <w:adjustRightInd w:val="0"/>
                    <w:snapToGrid w:val="0"/>
                    <w:spacing w:line="360" w:lineRule="auto"/>
                    <w:jc w:val="center"/>
                    <w:rPr>
                      <w:rFonts w:hint="default" w:ascii="Times New Roman" w:hAnsi="Times New Roman" w:cs="Times New Roman"/>
                      <w:b/>
                      <w:color w:val="000000" w:themeColor="text1"/>
                      <w:szCs w:val="21"/>
                    </w:rPr>
                  </w:pPr>
                  <w:r>
                    <w:rPr>
                      <w:rFonts w:hint="default" w:ascii="Times New Roman" w:hAnsi="Times New Roman" w:cs="Times New Roman"/>
                      <w:color w:val="000000" w:themeColor="text1"/>
                      <w:szCs w:val="21"/>
                    </w:rPr>
                    <w:t>满足</w:t>
                  </w:r>
                </w:p>
              </w:tc>
            </w:tr>
            <w:tr w14:paraId="4FC62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restart"/>
                  <w:tcBorders>
                    <w:top w:val="single" w:color="000000" w:sz="4" w:space="0"/>
                    <w:left w:val="single" w:color="000000" w:sz="4" w:space="0"/>
                    <w:bottom w:val="single" w:color="000000" w:sz="4" w:space="0"/>
                    <w:right w:val="single" w:color="000000" w:sz="4" w:space="0"/>
                  </w:tcBorders>
                  <w:vAlign w:val="center"/>
                </w:tcPr>
                <w:p w14:paraId="05668288">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运营期</w:t>
                  </w:r>
                </w:p>
              </w:tc>
              <w:tc>
                <w:tcPr>
                  <w:tcW w:w="511" w:type="dxa"/>
                  <w:tcBorders>
                    <w:top w:val="single" w:color="000000" w:sz="4" w:space="0"/>
                    <w:left w:val="single" w:color="000000" w:sz="4" w:space="0"/>
                    <w:bottom w:val="single" w:color="000000" w:sz="4" w:space="0"/>
                    <w:right w:val="single" w:color="000000" w:sz="4" w:space="0"/>
                  </w:tcBorders>
                  <w:vAlign w:val="center"/>
                </w:tcPr>
                <w:p w14:paraId="3C3F3112">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废</w:t>
                  </w:r>
                </w:p>
                <w:p w14:paraId="788BA061">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水</w:t>
                  </w:r>
                </w:p>
              </w:tc>
              <w:tc>
                <w:tcPr>
                  <w:tcW w:w="3377" w:type="dxa"/>
                  <w:tcBorders>
                    <w:top w:val="single" w:color="000000" w:sz="4" w:space="0"/>
                    <w:left w:val="single" w:color="000000" w:sz="4" w:space="0"/>
                    <w:bottom w:val="single" w:color="000000" w:sz="4" w:space="0"/>
                    <w:right w:val="single" w:color="000000" w:sz="4" w:space="0"/>
                  </w:tcBorders>
                  <w:vAlign w:val="center"/>
                </w:tcPr>
                <w:p w14:paraId="6D7CD1B2">
                  <w:pPr>
                    <w:widowControl/>
                    <w:spacing w:line="360" w:lineRule="auto"/>
                    <w:ind w:firstLine="420" w:firstLineChars="200"/>
                    <w:rPr>
                      <w:rFonts w:hint="eastAsia"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kern w:val="0"/>
                      <w:szCs w:val="21"/>
                    </w:rPr>
                    <w:t>①本项目采用“雨污分流”排水系统。雨水经收集后外排至室外雨水管</w:t>
                  </w:r>
                  <w:r>
                    <w:rPr>
                      <w:rFonts w:hint="eastAsia" w:ascii="Times New Roman" w:hAnsi="Times New Roman" w:cs="Times New Roman"/>
                      <w:color w:val="000000" w:themeColor="text1"/>
                      <w:kern w:val="0"/>
                      <w:szCs w:val="21"/>
                      <w:lang w:val="en-US" w:eastAsia="zh-CN"/>
                    </w:rPr>
                    <w:t>网</w:t>
                  </w:r>
                  <w:r>
                    <w:rPr>
                      <w:rFonts w:hint="eastAsia" w:ascii="Times New Roman" w:hAnsi="Times New Roman" w:cs="Times New Roman"/>
                      <w:color w:val="000000" w:themeColor="text1"/>
                      <w:kern w:val="0"/>
                      <w:szCs w:val="21"/>
                      <w:lang w:eastAsia="zh-CN"/>
                    </w:rPr>
                    <w:t>。</w:t>
                  </w:r>
                </w:p>
                <w:p w14:paraId="7326C486">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w:t>
                  </w:r>
                  <w:r>
                    <w:rPr>
                      <w:rFonts w:hint="default" w:ascii="Times New Roman" w:hAnsi="Times New Roman" w:cs="Times New Roman"/>
                      <w:bCs/>
                      <w:color w:val="000000" w:themeColor="text1"/>
                      <w:kern w:val="0"/>
                      <w:szCs w:val="21"/>
                    </w:rPr>
                    <w:t>本项目运营期产生的生活污水先经防渗化粪池处理后，排入项目内的污水处理站进行处理达到《城市污水再生利用 城市杂用水水质》（GB/T18920-2002）城市绿化水质标准及《城镇污水处理厂污染物排放标准》（GB18918-2002）一级A标准后，排入市政污水管网，最终进入腾冲市污水处理厂。</w:t>
                  </w:r>
                </w:p>
              </w:tc>
              <w:tc>
                <w:tcPr>
                  <w:tcW w:w="3711" w:type="dxa"/>
                  <w:tcBorders>
                    <w:top w:val="single" w:color="000000" w:sz="4" w:space="0"/>
                    <w:left w:val="single" w:color="000000" w:sz="4" w:space="0"/>
                    <w:bottom w:val="single" w:color="000000" w:sz="4" w:space="0"/>
                    <w:right w:val="single" w:color="000000" w:sz="4" w:space="0"/>
                  </w:tcBorders>
                  <w:vAlign w:val="center"/>
                </w:tcPr>
                <w:p w14:paraId="2877CCB7">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5805F8A3">
                  <w:pPr>
                    <w:widowControl/>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①雨水由雨水口收集至雨水管网，通过明沟、水泥预制管直接排入雨水管网</w:t>
                  </w:r>
                  <w:r>
                    <w:rPr>
                      <w:rFonts w:hint="default" w:ascii="Times New Roman" w:hAnsi="Times New Roman" w:cs="Times New Roman"/>
                      <w:color w:val="000000" w:themeColor="text1"/>
                      <w:szCs w:val="21"/>
                    </w:rPr>
                    <w:t>。</w:t>
                  </w:r>
                </w:p>
                <w:p w14:paraId="0B077778">
                  <w:pPr>
                    <w:widowControl/>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②项目废水排入化粪池</w:t>
                  </w:r>
                  <w:r>
                    <w:rPr>
                      <w:rFonts w:hint="default" w:ascii="Times New Roman" w:hAnsi="Times New Roman" w:cs="Times New Roman"/>
                      <w:color w:val="000000" w:themeColor="text1"/>
                      <w:kern w:val="0"/>
                      <w:szCs w:val="21"/>
                    </w:rPr>
                    <w:t>，</w:t>
                  </w:r>
                  <w:r>
                    <w:rPr>
                      <w:rFonts w:hint="default" w:ascii="Times New Roman" w:hAnsi="Times New Roman" w:cs="Times New Roman"/>
                      <w:color w:val="000000" w:themeColor="text1"/>
                    </w:rPr>
                    <w:t>再排入</w:t>
                  </w:r>
                  <w:r>
                    <w:rPr>
                      <w:rFonts w:hint="eastAsia" w:ascii="Times New Roman" w:hAnsi="Times New Roman" w:cs="Times New Roman"/>
                      <w:color w:val="000000" w:themeColor="text1"/>
                      <w:lang w:val="en-US" w:eastAsia="zh-CN"/>
                    </w:rPr>
                    <w:t>污</w:t>
                  </w:r>
                  <w:r>
                    <w:rPr>
                      <w:rFonts w:hint="default" w:ascii="Times New Roman" w:hAnsi="Times New Roman" w:cs="Times New Roman"/>
                      <w:color w:val="000000" w:themeColor="text1"/>
                    </w:rPr>
                    <w:t>水处理站处理</w:t>
                  </w:r>
                  <w:r>
                    <w:rPr>
                      <w:rFonts w:hint="default" w:ascii="Times New Roman" w:hAnsi="Times New Roman" w:cs="Times New Roman"/>
                      <w:color w:val="000000" w:themeColor="text1"/>
                      <w:kern w:val="0"/>
                      <w:szCs w:val="21"/>
                    </w:rPr>
                    <w:t>达到</w:t>
                  </w:r>
                  <w:r>
                    <w:rPr>
                      <w:rFonts w:hint="default" w:ascii="Times New Roman" w:hAnsi="Times New Roman" w:cs="Times New Roman"/>
                      <w:color w:val="000000" w:themeColor="text1"/>
                    </w:rPr>
                    <w:t>《城市污水再生利用 城市杂用水水质》（GB/T18920-20</w:t>
                  </w:r>
                  <w:r>
                    <w:rPr>
                      <w:rFonts w:hint="default" w:ascii="Times New Roman" w:hAnsi="Times New Roman" w:cs="Times New Roman"/>
                      <w:color w:val="000000" w:themeColor="text1"/>
                      <w:lang w:val="en-US" w:eastAsia="zh-CN"/>
                    </w:rPr>
                    <w:t>20</w:t>
                  </w:r>
                  <w:r>
                    <w:rPr>
                      <w:rFonts w:hint="default" w:ascii="Times New Roman" w:hAnsi="Times New Roman" w:cs="Times New Roman"/>
                      <w:color w:val="000000" w:themeColor="text1"/>
                    </w:rPr>
                    <w:t>）城市绿化水质标准及《城镇污水处理厂污染物排放标准》（GB18918-2002）一级A</w:t>
                  </w:r>
                  <w:r>
                    <w:rPr>
                      <w:rFonts w:hint="default" w:ascii="Times New Roman" w:hAnsi="Times New Roman" w:cs="Times New Roman"/>
                      <w:color w:val="000000" w:themeColor="text1"/>
                      <w:kern w:val="0"/>
                      <w:szCs w:val="21"/>
                    </w:rPr>
                    <w:t>标准要求后，排入</w:t>
                  </w:r>
                  <w:r>
                    <w:rPr>
                      <w:rFonts w:hint="eastAsia" w:ascii="Times New Roman" w:hAnsi="Times New Roman" w:cs="Times New Roman"/>
                      <w:color w:val="000000" w:themeColor="text1"/>
                      <w:kern w:val="0"/>
                      <w:szCs w:val="21"/>
                      <w:lang w:val="en-US" w:eastAsia="zh-CN"/>
                    </w:rPr>
                    <w:t>污</w:t>
                  </w:r>
                  <w:r>
                    <w:rPr>
                      <w:rFonts w:hint="default" w:ascii="Times New Roman" w:hAnsi="Times New Roman" w:cs="Times New Roman"/>
                      <w:color w:val="000000" w:themeColor="text1"/>
                    </w:rPr>
                    <w:t>水处理站处理达标后，排入市政污水管网，最终排入腾冲市污水处理厂。</w:t>
                  </w:r>
                </w:p>
                <w:p w14:paraId="4F02DBCE">
                  <w:pPr>
                    <w:widowControl/>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监测结果表明，项目</w:t>
                  </w:r>
                  <w:r>
                    <w:rPr>
                      <w:rFonts w:hint="default" w:ascii="Times New Roman" w:hAnsi="Times New Roman" w:cs="Times New Roman"/>
                      <w:color w:val="000000" w:themeColor="text1"/>
                      <w:szCs w:val="21"/>
                    </w:rPr>
                    <w:t>经化粪池及</w:t>
                  </w:r>
                  <w:r>
                    <w:rPr>
                      <w:rFonts w:hint="eastAsia" w:ascii="Times New Roman" w:hAnsi="Times New Roman" w:cs="Times New Roman"/>
                      <w:color w:val="000000" w:themeColor="text1"/>
                      <w:szCs w:val="21"/>
                      <w:lang w:val="en-US" w:eastAsia="zh-CN"/>
                    </w:rPr>
                    <w:t>污</w:t>
                  </w:r>
                  <w:r>
                    <w:rPr>
                      <w:rFonts w:hint="default" w:ascii="Times New Roman" w:hAnsi="Times New Roman" w:cs="Times New Roman"/>
                      <w:color w:val="000000" w:themeColor="text1"/>
                      <w:szCs w:val="21"/>
                    </w:rPr>
                    <w:t>水处理站处理后的污水满足</w:t>
                  </w:r>
                  <w:r>
                    <w:rPr>
                      <w:rFonts w:hint="default" w:ascii="Times New Roman" w:hAnsi="Times New Roman" w:cs="Times New Roman"/>
                      <w:color w:val="000000" w:themeColor="text1"/>
                    </w:rPr>
                    <w:t>《城市污水再生利用 城市杂用水水质》（GB/T18920-20</w:t>
                  </w:r>
                  <w:r>
                    <w:rPr>
                      <w:rFonts w:hint="default" w:ascii="Times New Roman" w:hAnsi="Times New Roman" w:cs="Times New Roman"/>
                      <w:color w:val="000000" w:themeColor="text1"/>
                      <w:lang w:val="en-US" w:eastAsia="zh-CN"/>
                    </w:rPr>
                    <w:t>20</w:t>
                  </w:r>
                  <w:r>
                    <w:rPr>
                      <w:rFonts w:hint="default" w:ascii="Times New Roman" w:hAnsi="Times New Roman" w:cs="Times New Roman"/>
                      <w:color w:val="000000" w:themeColor="text1"/>
                    </w:rPr>
                    <w:t>）城市绿化水质标准及《城镇污水处理厂污染物排放标准》（GB18918-2002）一级A</w:t>
                  </w:r>
                  <w:r>
                    <w:rPr>
                      <w:rFonts w:hint="default" w:ascii="Times New Roman" w:hAnsi="Times New Roman" w:cs="Times New Roman"/>
                      <w:color w:val="000000" w:themeColor="text1"/>
                      <w:kern w:val="0"/>
                      <w:szCs w:val="21"/>
                    </w:rPr>
                    <w:t>标准。</w:t>
                  </w:r>
                </w:p>
              </w:tc>
              <w:tc>
                <w:tcPr>
                  <w:tcW w:w="753" w:type="dxa"/>
                  <w:tcBorders>
                    <w:top w:val="single" w:color="000000" w:sz="4" w:space="0"/>
                    <w:left w:val="single" w:color="000000" w:sz="4" w:space="0"/>
                    <w:bottom w:val="single" w:color="000000" w:sz="4" w:space="0"/>
                    <w:right w:val="single" w:color="000000" w:sz="4" w:space="0"/>
                  </w:tcBorders>
                  <w:vAlign w:val="center"/>
                </w:tcPr>
                <w:p w14:paraId="5FE66D97">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722F7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3F85385B">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3EFF60C1">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废</w:t>
                  </w:r>
                </w:p>
                <w:p w14:paraId="1E55EE3E">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气</w:t>
                  </w:r>
                </w:p>
              </w:tc>
              <w:tc>
                <w:tcPr>
                  <w:tcW w:w="3377" w:type="dxa"/>
                  <w:tcBorders>
                    <w:top w:val="single" w:color="000000" w:sz="4" w:space="0"/>
                    <w:left w:val="single" w:color="000000" w:sz="4" w:space="0"/>
                    <w:bottom w:val="single" w:color="000000" w:sz="4" w:space="0"/>
                    <w:right w:val="single" w:color="000000" w:sz="4" w:space="0"/>
                  </w:tcBorders>
                  <w:vAlign w:val="center"/>
                </w:tcPr>
                <w:p w14:paraId="0D02D1C3">
                  <w:pPr>
                    <w:spacing w:line="360" w:lineRule="auto"/>
                    <w:ind w:firstLine="42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1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①</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住宅厨房油烟经过安装抽油烟机净化处理后从住宅内置排烟道收集由屋顶排出</w:t>
                  </w:r>
                  <w:r>
                    <w:rPr>
                      <w:rFonts w:hint="default" w:ascii="Times New Roman" w:hAnsi="Times New Roman" w:cs="Times New Roman"/>
                      <w:color w:val="000000" w:themeColor="text1"/>
                    </w:rPr>
                    <w:t>。</w:t>
                  </w:r>
                </w:p>
                <w:p w14:paraId="72869920">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2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②</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地下车库设置机械排放系统，车库按每小时换气6次进行设计，此外车库共设置有1个排风口，排风口距离地面高度大于2.5m，并且采用90度弯管排气筒，废气经机械通风系统捕集后，经排气筒排出</w:t>
                  </w:r>
                  <w:r>
                    <w:rPr>
                      <w:rFonts w:hint="default" w:ascii="Times New Roman" w:hAnsi="Times New Roman" w:cs="Times New Roman"/>
                      <w:color w:val="000000" w:themeColor="text1"/>
                    </w:rPr>
                    <w:t>。</w:t>
                  </w:r>
                </w:p>
                <w:p w14:paraId="4A1E3FC8">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3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③</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车辆尾气通过自然扩散、空气稀释处理</w:t>
                  </w:r>
                  <w:r>
                    <w:rPr>
                      <w:rFonts w:hint="default" w:ascii="Times New Roman" w:hAnsi="Times New Roman" w:cs="Times New Roman"/>
                      <w:color w:val="000000" w:themeColor="text1"/>
                      <w:szCs w:val="21"/>
                      <w:lang w:val="zh-CN"/>
                    </w:rPr>
                    <w:t>。</w:t>
                  </w:r>
                </w:p>
                <w:p w14:paraId="4A541737">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4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④</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备用发电机废气空气过滤、绿化带阻隔及稀释、扩散后对项目自身及外环境的影响较小</w:t>
                  </w:r>
                  <w:r>
                    <w:rPr>
                      <w:rFonts w:hint="default" w:ascii="Times New Roman" w:hAnsi="Times New Roman" w:cs="Times New Roman"/>
                      <w:color w:val="000000" w:themeColor="text1"/>
                      <w:szCs w:val="21"/>
                    </w:rPr>
                    <w:t>。</w:t>
                  </w:r>
                </w:p>
                <w:p w14:paraId="18D1C3F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⑤</w:t>
                  </w:r>
                  <w:r>
                    <w:rPr>
                      <w:rFonts w:hint="default" w:ascii="Times New Roman" w:hAnsi="Times New Roman" w:cs="Times New Roman"/>
                      <w:color w:val="000000" w:themeColor="text1"/>
                      <w:kern w:val="0"/>
                      <w:szCs w:val="21"/>
                    </w:rPr>
                    <w:t>恶臭通过在其周边进行立体式植物绿化。</w:t>
                  </w:r>
                </w:p>
              </w:tc>
              <w:tc>
                <w:tcPr>
                  <w:tcW w:w="3711" w:type="dxa"/>
                  <w:tcBorders>
                    <w:top w:val="single" w:color="000000" w:sz="4" w:space="0"/>
                    <w:left w:val="single" w:color="000000" w:sz="4" w:space="0"/>
                    <w:bottom w:val="single" w:color="000000" w:sz="4" w:space="0"/>
                    <w:right w:val="single" w:color="000000" w:sz="4" w:space="0"/>
                  </w:tcBorders>
                  <w:vAlign w:val="center"/>
                </w:tcPr>
                <w:p w14:paraId="4C1BD48D">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17809720">
                  <w:pPr>
                    <w:spacing w:line="360" w:lineRule="auto"/>
                    <w:ind w:firstLine="42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1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①</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本项目已要求住户在厨房安装抽油烟机处理后排放。</w:t>
                  </w:r>
                </w:p>
                <w:p w14:paraId="16D91281">
                  <w:pPr>
                    <w:spacing w:line="360" w:lineRule="auto"/>
                    <w:ind w:firstLine="42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2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②</w:t>
                  </w:r>
                  <w:r>
                    <w:rPr>
                      <w:rFonts w:hint="default" w:ascii="Times New Roman" w:hAnsi="Times New Roman" w:cs="Times New Roman"/>
                      <w:color w:val="000000" w:themeColor="text1"/>
                      <w:kern w:val="0"/>
                      <w:szCs w:val="21"/>
                    </w:rPr>
                    <w:fldChar w:fldCharType="end"/>
                  </w:r>
                  <w:r>
                    <w:rPr>
                      <w:rFonts w:hint="eastAsia" w:ascii="Times New Roman" w:hAnsi="Times New Roman" w:cs="Times New Roman"/>
                      <w:color w:val="000000" w:themeColor="text1"/>
                      <w:kern w:val="0"/>
                      <w:szCs w:val="21"/>
                      <w:lang w:val="en-US" w:eastAsia="zh-CN"/>
                    </w:rPr>
                    <w:t>本项目地</w:t>
                  </w:r>
                  <w:r>
                    <w:rPr>
                      <w:rFonts w:hint="default" w:ascii="Times New Roman" w:hAnsi="Times New Roman" w:cs="Times New Roman"/>
                      <w:color w:val="000000" w:themeColor="text1"/>
                      <w:kern w:val="0"/>
                      <w:szCs w:val="21"/>
                    </w:rPr>
                    <w:t>下车库</w:t>
                  </w:r>
                  <w:r>
                    <w:rPr>
                      <w:rFonts w:hint="eastAsia" w:ascii="Times New Roman" w:hAnsi="Times New Roman" w:cs="Times New Roman"/>
                      <w:color w:val="000000" w:themeColor="text1"/>
                      <w:kern w:val="0"/>
                      <w:szCs w:val="21"/>
                      <w:lang w:val="en-US" w:eastAsia="zh-CN"/>
                    </w:rPr>
                    <w:t>已</w:t>
                  </w:r>
                  <w:r>
                    <w:rPr>
                      <w:rFonts w:hint="default" w:ascii="Times New Roman" w:hAnsi="Times New Roman" w:cs="Times New Roman"/>
                      <w:color w:val="000000" w:themeColor="text1"/>
                      <w:kern w:val="0"/>
                      <w:szCs w:val="21"/>
                    </w:rPr>
                    <w:t>设置机械排放系统，车库按每小时换气6次进行设计，此外车库共设置有1个排风口，排风口距离地面高度大于2.5m，并且采用90度弯管排气筒，废气经机械通风系统捕集后，经排气筒排出</w:t>
                  </w:r>
                  <w:r>
                    <w:rPr>
                      <w:rFonts w:hint="default" w:ascii="Times New Roman" w:hAnsi="Times New Roman" w:cs="Times New Roman"/>
                      <w:color w:val="000000" w:themeColor="text1"/>
                    </w:rPr>
                    <w:t>。</w:t>
                  </w:r>
                </w:p>
                <w:p w14:paraId="651ED95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3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③</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汽车</w:t>
                  </w:r>
                  <w:r>
                    <w:rPr>
                      <w:rFonts w:hint="default" w:ascii="Times New Roman" w:hAnsi="Times New Roman" w:cs="Times New Roman"/>
                      <w:color w:val="000000" w:themeColor="text1"/>
                      <w:szCs w:val="21"/>
                    </w:rPr>
                    <w:t>即停即走不</w:t>
                  </w:r>
                  <w:r>
                    <w:rPr>
                      <w:rFonts w:hint="eastAsia" w:ascii="Times New Roman" w:hAnsi="Times New Roman" w:cs="Times New Roman"/>
                      <w:color w:val="000000" w:themeColor="text1"/>
                      <w:szCs w:val="21"/>
                      <w:lang w:eastAsia="zh-CN"/>
                    </w:rPr>
                    <w:t>作</w:t>
                  </w:r>
                  <w:r>
                    <w:rPr>
                      <w:rFonts w:hint="default" w:ascii="Times New Roman" w:hAnsi="Times New Roman" w:cs="Times New Roman"/>
                      <w:color w:val="000000" w:themeColor="text1"/>
                      <w:szCs w:val="21"/>
                    </w:rPr>
                    <w:t>长时间停留；汽车尾气自然扩散、稀释。</w:t>
                  </w:r>
                </w:p>
                <w:p w14:paraId="1AAE637F">
                  <w:pPr>
                    <w:adjustRightInd w:val="0"/>
                    <w:snapToGrid w:val="0"/>
                    <w:spacing w:line="360" w:lineRule="auto"/>
                    <w:ind w:firstLine="420"/>
                    <w:jc w:val="left"/>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4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④</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在试运行期间未使用过备用发电机</w:t>
                  </w:r>
                  <w:r>
                    <w:rPr>
                      <w:rFonts w:hint="default" w:ascii="Times New Roman" w:hAnsi="Times New Roman" w:cs="Times New Roman"/>
                      <w:color w:val="000000" w:themeColor="text1"/>
                      <w:szCs w:val="21"/>
                    </w:rPr>
                    <w:t>。</w:t>
                  </w:r>
                </w:p>
                <w:p w14:paraId="0BDB3FE0">
                  <w:pPr>
                    <w:adjustRightInd w:val="0"/>
                    <w:snapToGrid w:val="0"/>
                    <w:spacing w:line="360" w:lineRule="auto"/>
                    <w:ind w:firstLine="420"/>
                    <w:jc w:val="left"/>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⑤项目区内合理布置垃圾收集设施、绿化等，通过绿化吸收、自然扩散、空气稀释，对周围环境的影响较小。</w:t>
                  </w:r>
                </w:p>
              </w:tc>
              <w:tc>
                <w:tcPr>
                  <w:tcW w:w="753" w:type="dxa"/>
                  <w:tcBorders>
                    <w:top w:val="single" w:color="000000" w:sz="4" w:space="0"/>
                    <w:left w:val="single" w:color="000000" w:sz="4" w:space="0"/>
                    <w:bottom w:val="single" w:color="000000" w:sz="4" w:space="0"/>
                    <w:right w:val="single" w:color="000000" w:sz="4" w:space="0"/>
                  </w:tcBorders>
                  <w:vAlign w:val="center"/>
                </w:tcPr>
                <w:p w14:paraId="4B399BF8">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0076D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0E54F835">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7DE11A68">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噪</w:t>
                  </w:r>
                </w:p>
                <w:p w14:paraId="0A6BF997">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声</w:t>
                  </w:r>
                </w:p>
              </w:tc>
              <w:tc>
                <w:tcPr>
                  <w:tcW w:w="3377" w:type="dxa"/>
                  <w:tcBorders>
                    <w:top w:val="single" w:color="000000" w:sz="4" w:space="0"/>
                    <w:left w:val="single" w:color="000000" w:sz="4" w:space="0"/>
                    <w:bottom w:val="single" w:color="000000" w:sz="4" w:space="0"/>
                    <w:right w:val="single" w:color="000000" w:sz="4" w:space="0"/>
                  </w:tcBorders>
                  <w:vAlign w:val="center"/>
                </w:tcPr>
                <w:p w14:paraId="5E814BED">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项目住户生活噪声经加强管理，强化居民意识，墙体隔声以及建筑物吸声、距离衰减处理等处理之后有效降低了噪声对周围环境的影响。</w:t>
                  </w:r>
                </w:p>
                <w:p w14:paraId="7506AB5E">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2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项目备用发电机均布置于室内，通过安装隔振基础，墙体和门安装吸声材料，柴油发电机运行噪声可得到有效控制，且运行频率低，不会产生大的影响。</w:t>
                  </w:r>
                </w:p>
                <w:p w14:paraId="49B4113A">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3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③</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车辆产生的噪声是短暂的，通过加强管理，采取车辆进出时减速、禁止鸣笛等措施，使区域内的汽车噪声降低到最低值。</w:t>
                  </w:r>
                </w:p>
              </w:tc>
              <w:tc>
                <w:tcPr>
                  <w:tcW w:w="3711" w:type="dxa"/>
                  <w:tcBorders>
                    <w:top w:val="single" w:color="000000" w:sz="4" w:space="0"/>
                    <w:left w:val="single" w:color="000000" w:sz="4" w:space="0"/>
                    <w:bottom w:val="single" w:color="000000" w:sz="4" w:space="0"/>
                    <w:right w:val="single" w:color="000000" w:sz="4" w:space="0"/>
                  </w:tcBorders>
                  <w:vAlign w:val="center"/>
                </w:tcPr>
                <w:p w14:paraId="3F370B26">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58A3A46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根据项目实际情况，本项目住宅楼已采取合理布局，同时经构筑物阻隔、距离衰减等措施已有效降低了噪声对周围环境的影响。</w:t>
                  </w:r>
                </w:p>
                <w:p w14:paraId="65892F98">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2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项目备用发电机布置于室内，</w:t>
                  </w:r>
                  <w:r>
                    <w:rPr>
                      <w:rFonts w:hint="eastAsia" w:ascii="Times New Roman" w:hAnsi="Times New Roman" w:cs="Times New Roman"/>
                      <w:color w:val="000000" w:themeColor="text1"/>
                      <w:szCs w:val="21"/>
                      <w:lang w:val="en-US" w:eastAsia="zh-CN"/>
                    </w:rPr>
                    <w:t>已</w:t>
                  </w:r>
                  <w:r>
                    <w:rPr>
                      <w:rFonts w:hint="default" w:ascii="Times New Roman" w:hAnsi="Times New Roman" w:cs="Times New Roman"/>
                      <w:color w:val="000000" w:themeColor="text1"/>
                      <w:szCs w:val="21"/>
                    </w:rPr>
                    <w:t>安装隔振基础，墙体和门安装吸声材料。</w:t>
                  </w:r>
                </w:p>
                <w:p w14:paraId="4E62AC4F">
                  <w:pPr>
                    <w:widowControl/>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3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③</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车辆产生的噪声是短暂的，已加强管理，采取车辆进出时减速、禁止鸣笛等措施，使区域内的汽车噪声降低到最低值。</w:t>
                  </w:r>
                </w:p>
                <w:p w14:paraId="01CAC225">
                  <w:pPr>
                    <w:widowControl/>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经监测结果分析，</w:t>
                  </w:r>
                  <w:r>
                    <w:rPr>
                      <w:rFonts w:hint="default" w:ascii="Times New Roman" w:hAnsi="Times New Roman" w:cs="Times New Roman"/>
                      <w:color w:val="000000" w:themeColor="text1"/>
                      <w:szCs w:val="21"/>
                      <w:lang w:val="en-US" w:eastAsia="zh-CN"/>
                    </w:rPr>
                    <w:t>项目东南西北</w:t>
                  </w:r>
                  <w:r>
                    <w:rPr>
                      <w:rFonts w:hint="default" w:ascii="Times New Roman" w:hAnsi="Times New Roman" w:cs="Times New Roman"/>
                      <w:color w:val="000000" w:themeColor="text1"/>
                      <w:szCs w:val="21"/>
                    </w:rPr>
                    <w:t>厂界噪声均达到《社会生活环境噪声排放标准》（GB22337-2008）2类标准，对项目周边未造成不利影响。</w:t>
                  </w:r>
                </w:p>
              </w:tc>
              <w:tc>
                <w:tcPr>
                  <w:tcW w:w="753" w:type="dxa"/>
                  <w:tcBorders>
                    <w:top w:val="single" w:color="000000" w:sz="4" w:space="0"/>
                    <w:left w:val="single" w:color="000000" w:sz="4" w:space="0"/>
                    <w:bottom w:val="single" w:color="000000" w:sz="4" w:space="0"/>
                    <w:right w:val="single" w:color="000000" w:sz="4" w:space="0"/>
                  </w:tcBorders>
                  <w:vAlign w:val="center"/>
                </w:tcPr>
                <w:p w14:paraId="7085BA0D">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0A284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07681304">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6F733537">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固</w:t>
                  </w:r>
                </w:p>
                <w:p w14:paraId="72D82FDC">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体</w:t>
                  </w:r>
                </w:p>
                <w:p w14:paraId="40E545C3">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废</w:t>
                  </w:r>
                </w:p>
                <w:p w14:paraId="33E439B9">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物</w:t>
                  </w:r>
                </w:p>
              </w:tc>
              <w:tc>
                <w:tcPr>
                  <w:tcW w:w="3377" w:type="dxa"/>
                  <w:tcBorders>
                    <w:top w:val="single" w:color="000000" w:sz="4" w:space="0"/>
                    <w:left w:val="single" w:color="000000" w:sz="4" w:space="0"/>
                    <w:bottom w:val="single" w:color="000000" w:sz="4" w:space="0"/>
                    <w:right w:val="single" w:color="000000" w:sz="4" w:space="0"/>
                  </w:tcBorders>
                  <w:vAlign w:val="center"/>
                </w:tcPr>
                <w:p w14:paraId="697D19DC">
                  <w:pPr>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生活垃圾应统一收集后，</w:t>
                  </w:r>
                  <w:r>
                    <w:rPr>
                      <w:rFonts w:hint="default" w:ascii="Times New Roman" w:hAnsi="Times New Roman" w:cs="Times New Roman"/>
                      <w:bCs/>
                      <w:color w:val="000000" w:themeColor="text1"/>
                      <w:szCs w:val="21"/>
                    </w:rPr>
                    <w:t>委托</w:t>
                  </w:r>
                  <w:r>
                    <w:rPr>
                      <w:rFonts w:hint="default" w:ascii="Times New Roman" w:hAnsi="Times New Roman" w:cs="Times New Roman"/>
                      <w:color w:val="000000" w:themeColor="text1"/>
                      <w:szCs w:val="21"/>
                    </w:rPr>
                    <w:t>腾冲市无害化垃圾处理有限责任公司给予清运、处置。</w:t>
                  </w:r>
                </w:p>
                <w:p w14:paraId="4ABA78F3">
                  <w:pPr>
                    <w:spacing w:line="360" w:lineRule="auto"/>
                    <w:ind w:firstLine="420"/>
                    <w:rPr>
                      <w:rFonts w:hint="default" w:ascii="Times New Roman" w:hAnsi="Times New Roman" w:cs="Times New Roman"/>
                      <w:color w:val="000000" w:themeColor="text1"/>
                      <w:szCs w:val="21"/>
                    </w:rPr>
                  </w:pPr>
                  <w:r>
                    <w:rPr>
                      <w:rFonts w:hint="eastAsia" w:ascii="Times New Roman" w:hAnsi="Times New Roman" w:cs="Times New Roman"/>
                      <w:color w:val="000000" w:themeColor="text1"/>
                      <w:szCs w:val="21"/>
                      <w:lang w:val="en-US" w:eastAsia="zh-CN"/>
                    </w:rPr>
                    <w:t>②化粪池及污水处理站</w:t>
                  </w:r>
                  <w:r>
                    <w:rPr>
                      <w:rFonts w:hint="default" w:ascii="Times New Roman" w:hAnsi="Times New Roman" w:cs="Times New Roman"/>
                      <w:color w:val="000000" w:themeColor="text1"/>
                      <w:szCs w:val="21"/>
                    </w:rPr>
                    <w:t>污泥定期委托腾冲市无害化垃圾处理有限责任公司用专用车抽吸清运，统一处置。</w:t>
                  </w:r>
                </w:p>
              </w:tc>
              <w:tc>
                <w:tcPr>
                  <w:tcW w:w="3711" w:type="dxa"/>
                  <w:tcBorders>
                    <w:top w:val="single" w:color="000000" w:sz="4" w:space="0"/>
                    <w:left w:val="single" w:color="000000" w:sz="4" w:space="0"/>
                    <w:bottom w:val="single" w:color="000000" w:sz="4" w:space="0"/>
                    <w:right w:val="single" w:color="000000" w:sz="4" w:space="0"/>
                  </w:tcBorders>
                  <w:vAlign w:val="center"/>
                </w:tcPr>
                <w:p w14:paraId="7F92C285">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30288F60">
                  <w:pPr>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已</w:t>
                  </w:r>
                  <w:r>
                    <w:rPr>
                      <w:rFonts w:hint="default" w:ascii="Times New Roman" w:hAnsi="Times New Roman" w:cs="Times New Roman"/>
                      <w:color w:val="000000" w:themeColor="text1"/>
                      <w:szCs w:val="21"/>
                      <w:lang w:val="zh-CN"/>
                    </w:rPr>
                    <w:t>设置垃圾收集点，生活垃圾统一收集，</w:t>
                  </w:r>
                  <w:r>
                    <w:rPr>
                      <w:rFonts w:hint="default" w:ascii="Times New Roman" w:hAnsi="Times New Roman" w:cs="Times New Roman"/>
                      <w:color w:val="000000" w:themeColor="text1"/>
                      <w:szCs w:val="21"/>
                    </w:rPr>
                    <w:t>委托腾冲市无害化垃圾处理</w:t>
                  </w:r>
                  <w:r>
                    <w:rPr>
                      <w:rFonts w:hint="eastAsia" w:ascii="Times New Roman" w:hAnsi="Times New Roman" w:cs="Times New Roman"/>
                      <w:color w:val="000000" w:themeColor="text1"/>
                      <w:szCs w:val="21"/>
                      <w:lang w:eastAsia="zh-CN"/>
                    </w:rPr>
                    <w:t>有限责任公司</w:t>
                  </w:r>
                  <w:r>
                    <w:rPr>
                      <w:rFonts w:hint="default" w:ascii="Times New Roman" w:hAnsi="Times New Roman" w:cs="Times New Roman"/>
                      <w:color w:val="000000" w:themeColor="text1"/>
                      <w:szCs w:val="21"/>
                    </w:rPr>
                    <w:t>定期清运、处置。</w:t>
                  </w:r>
                </w:p>
                <w:p w14:paraId="701BAA5F">
                  <w:pPr>
                    <w:widowControl/>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2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szCs w:val="21"/>
                    </w:rPr>
                    <w:fldChar w:fldCharType="end"/>
                  </w:r>
                  <w:r>
                    <w:rPr>
                      <w:rFonts w:hint="eastAsia" w:ascii="Times New Roman" w:hAnsi="Times New Roman" w:cs="Times New Roman"/>
                      <w:color w:val="000000" w:themeColor="text1"/>
                      <w:szCs w:val="21"/>
                      <w:lang w:val="en-US" w:eastAsia="zh-CN"/>
                    </w:rPr>
                    <w:t>污水处理站及化粪池污泥已</w:t>
                  </w:r>
                  <w:r>
                    <w:rPr>
                      <w:rFonts w:hint="default" w:ascii="Times New Roman" w:hAnsi="Times New Roman" w:cs="Times New Roman"/>
                      <w:color w:val="000000" w:themeColor="text1"/>
                      <w:szCs w:val="21"/>
                    </w:rPr>
                    <w:t>定期委托腾冲市无害化垃圾处理有限责任公司用专用车抽吸清运，统一处置</w:t>
                  </w:r>
                  <w:r>
                    <w:rPr>
                      <w:rFonts w:hint="default" w:ascii="Times New Roman" w:hAnsi="Times New Roman" w:cs="Times New Roman"/>
                      <w:color w:val="000000" w:themeColor="text1"/>
                      <w:kern w:val="0"/>
                      <w:szCs w:val="21"/>
                    </w:rPr>
                    <w:t>。</w:t>
                  </w:r>
                </w:p>
                <w:p w14:paraId="086B50BB">
                  <w:pPr>
                    <w:widowControl/>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项目运营期产生的固体废弃物均得到妥善处置，处置率可达100%。</w:t>
                  </w:r>
                </w:p>
              </w:tc>
              <w:tc>
                <w:tcPr>
                  <w:tcW w:w="753" w:type="dxa"/>
                  <w:tcBorders>
                    <w:top w:val="single" w:color="000000" w:sz="4" w:space="0"/>
                    <w:left w:val="single" w:color="000000" w:sz="4" w:space="0"/>
                    <w:bottom w:val="single" w:color="000000" w:sz="4" w:space="0"/>
                    <w:right w:val="single" w:color="000000" w:sz="4" w:space="0"/>
                  </w:tcBorders>
                  <w:vAlign w:val="center"/>
                </w:tcPr>
                <w:p w14:paraId="1755FBBE">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bl>
          <w:p w14:paraId="6FCFB39A">
            <w:pPr>
              <w:spacing w:line="360" w:lineRule="auto"/>
              <w:ind w:firstLine="600" w:firstLineChars="25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8"/>
              </w:rPr>
              <w:t>项目建设过程中，</w:t>
            </w:r>
            <w:r>
              <w:rPr>
                <w:rFonts w:hint="eastAsia" w:ascii="Times New Roman" w:hAnsi="Times New Roman" w:cs="Times New Roman"/>
                <w:bCs/>
                <w:color w:val="000000" w:themeColor="text1"/>
                <w:sz w:val="24"/>
                <w:szCs w:val="24"/>
                <w:lang w:val="en-US" w:eastAsia="zh-CN"/>
              </w:rPr>
              <w:t>我公司</w:t>
            </w:r>
            <w:r>
              <w:rPr>
                <w:rFonts w:hint="default" w:ascii="Times New Roman" w:hAnsi="Times New Roman" w:cs="Times New Roman"/>
                <w:color w:val="000000" w:themeColor="text1"/>
                <w:sz w:val="24"/>
                <w:szCs w:val="24"/>
              </w:rPr>
              <w:t>已</w:t>
            </w:r>
            <w:r>
              <w:rPr>
                <w:rFonts w:hint="default" w:ascii="Times New Roman" w:hAnsi="Times New Roman" w:cs="Times New Roman"/>
                <w:color w:val="000000" w:themeColor="text1"/>
                <w:sz w:val="24"/>
                <w:szCs w:val="28"/>
              </w:rPr>
              <w:t>按环评提出的环境污染防治措施执行，满足环评提出的防治措施要求。</w:t>
            </w:r>
          </w:p>
          <w:p w14:paraId="2415010F">
            <w:pPr>
              <w:numPr>
                <w:ilvl w:val="0"/>
                <w:numId w:val="4"/>
              </w:numPr>
              <w:spacing w:line="360" w:lineRule="auto"/>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审批部门审批决定</w:t>
            </w:r>
          </w:p>
          <w:p w14:paraId="1F219D78">
            <w:pPr>
              <w:spacing w:line="360" w:lineRule="auto"/>
              <w:ind w:firstLine="480" w:firstLineChars="20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8"/>
              </w:rPr>
              <w:t>本项目于</w:t>
            </w:r>
            <w:r>
              <w:rPr>
                <w:rFonts w:hint="default" w:ascii="Times New Roman" w:hAnsi="Times New Roman" w:cs="Times New Roman"/>
                <w:color w:val="000000" w:themeColor="text1"/>
                <w:sz w:val="24"/>
                <w:szCs w:val="24"/>
              </w:rPr>
              <w:t>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年8月</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日取得了</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对《</w:t>
            </w:r>
            <w:r>
              <w:rPr>
                <w:rFonts w:hint="default" w:ascii="Times New Roman" w:hAnsi="Times New Roman" w:cs="Times New Roman"/>
                <w:color w:val="000000" w:themeColor="text1"/>
                <w:sz w:val="24"/>
              </w:rPr>
              <w:t>腾冲市</w:t>
            </w:r>
            <w:r>
              <w:rPr>
                <w:rFonts w:hint="eastAsia" w:ascii="Times New Roman" w:hAnsi="Times New Roman" w:cs="Times New Roman"/>
                <w:color w:val="000000" w:themeColor="text1"/>
                <w:sz w:val="24"/>
                <w:lang w:eastAsia="zh-CN"/>
              </w:rPr>
              <w:t>“</w:t>
            </w:r>
            <w:r>
              <w:rPr>
                <w:rFonts w:hint="eastAsia" w:ascii="Times New Roman" w:hAnsi="Times New Roman" w:cs="Times New Roman"/>
                <w:color w:val="000000" w:themeColor="text1"/>
                <w:sz w:val="24"/>
                <w:lang w:val="en-US" w:eastAsia="zh-CN"/>
              </w:rPr>
              <w:t>顺颐府</w:t>
            </w:r>
            <w:r>
              <w:rPr>
                <w:rFonts w:hint="eastAsia" w:ascii="Times New Roman" w:hAnsi="Times New Roman" w:cs="Times New Roman"/>
                <w:color w:val="000000" w:themeColor="text1"/>
                <w:sz w:val="24"/>
                <w:lang w:eastAsia="zh-CN"/>
              </w:rPr>
              <w:t>”</w:t>
            </w:r>
            <w:r>
              <w:rPr>
                <w:rFonts w:hint="eastAsia" w:ascii="Times New Roman" w:hAnsi="Times New Roman" w:cs="Times New Roman"/>
                <w:color w:val="000000" w:themeColor="text1"/>
                <w:sz w:val="24"/>
                <w:lang w:val="en-US" w:eastAsia="zh-CN"/>
              </w:rPr>
              <w:t>住宅</w:t>
            </w:r>
            <w:r>
              <w:rPr>
                <w:rFonts w:hint="default" w:ascii="Times New Roman" w:hAnsi="Times New Roman" w:cs="Times New Roman"/>
                <w:color w:val="000000" w:themeColor="text1"/>
                <w:sz w:val="24"/>
              </w:rPr>
              <w:t>建设项目</w:t>
            </w:r>
            <w:r>
              <w:rPr>
                <w:rFonts w:hint="eastAsia" w:ascii="Times New Roman" w:hAnsi="Times New Roman" w:cs="Times New Roman"/>
                <w:color w:val="000000" w:themeColor="text1"/>
                <w:sz w:val="24"/>
                <w:lang w:eastAsia="zh-CN"/>
              </w:rPr>
              <w:t>（</w:t>
            </w:r>
            <w:r>
              <w:rPr>
                <w:rFonts w:hint="eastAsia" w:ascii="Times New Roman" w:hAnsi="Times New Roman" w:cs="Times New Roman"/>
                <w:color w:val="000000" w:themeColor="text1"/>
                <w:sz w:val="24"/>
                <w:lang w:val="en-US" w:eastAsia="zh-CN"/>
              </w:rPr>
              <w:t>一期</w:t>
            </w:r>
            <w:r>
              <w:rPr>
                <w:rFonts w:hint="eastAsia" w:ascii="Times New Roman" w:hAnsi="Times New Roman" w:cs="Times New Roman"/>
                <w:color w:val="000000" w:themeColor="text1"/>
                <w:sz w:val="24"/>
                <w:lang w:eastAsia="zh-CN"/>
              </w:rPr>
              <w:t>）</w:t>
            </w:r>
            <w:r>
              <w:rPr>
                <w:rFonts w:hint="default" w:ascii="Times New Roman" w:hAnsi="Times New Roman" w:cs="Times New Roman"/>
                <w:color w:val="000000" w:themeColor="text1"/>
                <w:sz w:val="24"/>
                <w:szCs w:val="24"/>
              </w:rPr>
              <w:t>》的行政许可决定书（腾环准〔201</w:t>
            </w:r>
            <w:r>
              <w:rPr>
                <w:rFonts w:hint="default"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eastAsia="zh-CN"/>
              </w:rPr>
              <w:t>21</w:t>
            </w:r>
            <w:r>
              <w:rPr>
                <w:rFonts w:hint="default" w:ascii="Times New Roman" w:hAnsi="Times New Roman" w:cs="Times New Roman"/>
                <w:color w:val="000000" w:themeColor="text1"/>
                <w:sz w:val="24"/>
                <w:szCs w:val="24"/>
              </w:rPr>
              <w:t>号）</w:t>
            </w:r>
            <w:r>
              <w:rPr>
                <w:rFonts w:hint="default" w:ascii="Times New Roman" w:hAnsi="Times New Roman" w:cs="Times New Roman"/>
                <w:color w:val="000000" w:themeColor="text1"/>
                <w:sz w:val="24"/>
                <w:szCs w:val="28"/>
              </w:rPr>
              <w:t>，</w:t>
            </w:r>
            <w:r>
              <w:rPr>
                <w:rFonts w:hint="default" w:ascii="Times New Roman" w:hAnsi="Times New Roman" w:cs="Times New Roman"/>
                <w:color w:val="000000" w:themeColor="text1"/>
                <w:sz w:val="24"/>
                <w:szCs w:val="24"/>
              </w:rPr>
              <w:t>行政许可决定书</w:t>
            </w:r>
            <w:r>
              <w:rPr>
                <w:rFonts w:hint="default" w:ascii="Times New Roman" w:hAnsi="Times New Roman" w:cs="Times New Roman"/>
                <w:color w:val="000000" w:themeColor="text1"/>
                <w:sz w:val="24"/>
                <w:szCs w:val="28"/>
              </w:rPr>
              <w:t>主要内容如下：</w:t>
            </w:r>
          </w:p>
          <w:p w14:paraId="41ABB9F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一、腾冲市“顺颐府”住宅建设项目</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一期</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，位于腾冲市宝峰社区，项目总投资8107万元，总占地面积20.85亩，总建筑面积35012.72平方米，主要建设高层住宅、地下停车场及相应配套设施。</w:t>
            </w:r>
          </w:p>
          <w:p w14:paraId="5E0F48B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我局同意项目按照《报告表》所述性质、规模、地点、环境保护对策措施进行建设。项目发生变更，须依法重新申报。</w:t>
            </w:r>
          </w:p>
          <w:p w14:paraId="72DE6283">
            <w:pPr>
              <w:numPr>
                <w:ilvl w:val="0"/>
                <w:numId w:val="0"/>
              </w:num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eastAsia="宋体" w:cs="Times New Roman"/>
                <w:color w:val="000000" w:themeColor="text1"/>
                <w:kern w:val="2"/>
                <w:sz w:val="24"/>
                <w:szCs w:val="24"/>
                <w:lang w:val="en-US" w:eastAsia="zh-CN" w:bidi="ar-SA"/>
              </w:rPr>
              <w:t>二、</w:t>
            </w:r>
            <w:r>
              <w:rPr>
                <w:rFonts w:hint="default" w:ascii="Times New Roman" w:hAnsi="Times New Roman" w:cs="Times New Roman"/>
                <w:color w:val="000000" w:themeColor="text1"/>
                <w:sz w:val="24"/>
                <w:szCs w:val="24"/>
              </w:rPr>
              <w:t>项目建设和运营过程中应重点做好以下工作</w:t>
            </w:r>
          </w:p>
          <w:p w14:paraId="420C8033">
            <w:pPr>
              <w:numPr>
                <w:ilvl w:val="0"/>
                <w:numId w:val="0"/>
              </w:num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一</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认真执行建设项目环境保护“三同时”要求，落实好《报告表》提出的各项污染防治对策措施，确保项目环保投资和环境保护措施落实到位</w:t>
            </w:r>
            <w:r>
              <w:rPr>
                <w:rFonts w:hint="eastAsia" w:ascii="Times New Roman" w:hAnsi="Times New Roman" w:cs="Times New Roman"/>
                <w:color w:val="000000" w:themeColor="text1"/>
                <w:sz w:val="24"/>
                <w:szCs w:val="24"/>
                <w:lang w:eastAsia="zh-CN"/>
              </w:rPr>
              <w:t>。</w:t>
            </w:r>
          </w:p>
          <w:p w14:paraId="184FC3D6">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二</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项目位于腾冲城市集中式饮用水水源</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观音塘和上马常水源地</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准保护区，项目必须严格按照《中华人民共和国水污染防治法》《腾冲县人民政府办公室关于印发腾冲县城市饮用水源保护管理规定(试行)的通知》</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腾政办发〔201</w:t>
            </w:r>
            <w:r>
              <w:rPr>
                <w:rFonts w:hint="eastAsia" w:ascii="Times New Roman" w:hAnsi="Times New Roman" w:cs="Times New Roman"/>
                <w:color w:val="000000" w:themeColor="text1"/>
                <w:sz w:val="24"/>
                <w:szCs w:val="24"/>
                <w:lang w:val="en-US" w:eastAsia="zh-CN"/>
              </w:rPr>
              <w:t>1</w:t>
            </w:r>
            <w:r>
              <w:rPr>
                <w:rFonts w:hint="default" w:ascii="Times New Roman" w:hAnsi="Times New Roman" w:cs="Times New Roman"/>
                <w:color w:val="000000" w:themeColor="text1"/>
                <w:sz w:val="24"/>
                <w:szCs w:val="24"/>
              </w:rPr>
              <w:t>〕87号</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以及“报告表”提出的各项污染物防治措施及要求进行建设和运营确保项目施工期、营运期污水均按要求做到达标排放，防止对腾冲城市集中式饮用水水源造成污染。</w:t>
            </w:r>
          </w:p>
          <w:p w14:paraId="49A7895E">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三</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设置环境管理专</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兼</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职机构，明确人员职责，建立完善有关制度与台账，落实好企业环境保护主体责任。</w:t>
            </w:r>
          </w:p>
          <w:p w14:paraId="59767642">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三、按照规定要求编制并报备突发环境事件应急预案，建成后及时组织开展竣工环境保护验收，验收合格后方可投入运营。</w:t>
            </w:r>
          </w:p>
          <w:p w14:paraId="47D8389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请腾冲市环境监察大队负责该项目建设期间的环境现场执法监督检查工作。</w:t>
            </w:r>
          </w:p>
          <w:p w14:paraId="2C658EF2">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本项目对腾冲市环境保护局批复意见的落实情况详见表4-</w:t>
            </w:r>
            <w:r>
              <w:rPr>
                <w:rFonts w:hint="default"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w:t>
            </w:r>
          </w:p>
          <w:p w14:paraId="4CCF288D">
            <w:pPr>
              <w:ind w:firstLine="28"/>
              <w:jc w:val="center"/>
              <w:rPr>
                <w:rFonts w:hint="default" w:ascii="Times New Roman" w:hAnsi="Times New Roman" w:cs="Times New Roman"/>
                <w:color w:val="000000" w:themeColor="text1"/>
                <w:sz w:val="24"/>
              </w:rPr>
            </w:pPr>
            <w:r>
              <w:rPr>
                <w:rFonts w:hint="default" w:ascii="Times New Roman" w:hAnsi="Times New Roman" w:cs="Times New Roman"/>
                <w:b/>
                <w:color w:val="000000" w:themeColor="text1"/>
                <w:sz w:val="24"/>
              </w:rPr>
              <w:t>表4-</w:t>
            </w:r>
            <w:r>
              <w:rPr>
                <w:rFonts w:hint="default" w:ascii="Times New Roman" w:hAnsi="Times New Roman" w:cs="Times New Roman"/>
                <w:b/>
                <w:color w:val="000000" w:themeColor="text1"/>
                <w:sz w:val="24"/>
                <w:lang w:val="en-US" w:eastAsia="zh-CN"/>
              </w:rPr>
              <w:t>3</w:t>
            </w:r>
            <w:r>
              <w:rPr>
                <w:rFonts w:hint="default" w:ascii="Times New Roman" w:hAnsi="Times New Roman" w:cs="Times New Roman"/>
                <w:b/>
                <w:color w:val="000000" w:themeColor="text1"/>
                <w:sz w:val="24"/>
              </w:rPr>
              <w:t xml:space="preserve">  项目对环评批复意见的落实情况表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3320"/>
              <w:gridCol w:w="4048"/>
              <w:gridCol w:w="1128"/>
            </w:tblGrid>
            <w:tr w14:paraId="657FE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38" w:type="pct"/>
                  <w:tcMar>
                    <w:top w:w="57" w:type="dxa"/>
                    <w:bottom w:w="57" w:type="dxa"/>
                  </w:tcMar>
                  <w:vAlign w:val="center"/>
                </w:tcPr>
                <w:p w14:paraId="38F9A9EC">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序号</w:t>
                  </w:r>
                </w:p>
              </w:tc>
              <w:tc>
                <w:tcPr>
                  <w:tcW w:w="1860" w:type="pct"/>
                  <w:tcMar>
                    <w:top w:w="57" w:type="dxa"/>
                    <w:bottom w:w="57" w:type="dxa"/>
                  </w:tcMar>
                  <w:vAlign w:val="center"/>
                </w:tcPr>
                <w:p w14:paraId="0598C4F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环评“腾环准〔201</w:t>
                  </w:r>
                  <w:r>
                    <w:rPr>
                      <w:rFonts w:hint="default" w:ascii="Times New Roman" w:hAnsi="Times New Roman" w:cs="Times New Roman"/>
                      <w:b/>
                      <w:bCs/>
                      <w:color w:val="000000" w:themeColor="text1"/>
                      <w:szCs w:val="21"/>
                      <w:lang w:val="en-US" w:eastAsia="zh-CN"/>
                    </w:rPr>
                    <w:t>9</w:t>
                  </w:r>
                  <w:r>
                    <w:rPr>
                      <w:rFonts w:hint="default" w:ascii="Times New Roman" w:hAnsi="Times New Roman" w:cs="Times New Roman"/>
                      <w:b/>
                      <w:bCs/>
                      <w:color w:val="000000" w:themeColor="text1"/>
                      <w:szCs w:val="21"/>
                    </w:rPr>
                    <w:t>〕</w:t>
                  </w:r>
                  <w:r>
                    <w:rPr>
                      <w:rFonts w:hint="default" w:ascii="Times New Roman" w:hAnsi="Times New Roman" w:cs="Times New Roman"/>
                      <w:b/>
                      <w:bCs/>
                      <w:color w:val="000000" w:themeColor="text1"/>
                      <w:szCs w:val="21"/>
                      <w:lang w:val="en-US" w:eastAsia="zh-CN"/>
                    </w:rPr>
                    <w:t>21</w:t>
                  </w:r>
                  <w:r>
                    <w:rPr>
                      <w:rFonts w:hint="default" w:ascii="Times New Roman" w:hAnsi="Times New Roman" w:cs="Times New Roman"/>
                      <w:b/>
                      <w:bCs/>
                      <w:color w:val="000000" w:themeColor="text1"/>
                      <w:szCs w:val="21"/>
                    </w:rPr>
                    <w:t>号”</w:t>
                  </w:r>
                </w:p>
                <w:p w14:paraId="3C22DD6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批复要求</w:t>
                  </w:r>
                </w:p>
              </w:tc>
              <w:tc>
                <w:tcPr>
                  <w:tcW w:w="2268" w:type="pct"/>
                  <w:tcMar>
                    <w:top w:w="57" w:type="dxa"/>
                    <w:bottom w:w="57" w:type="dxa"/>
                  </w:tcMar>
                  <w:vAlign w:val="center"/>
                </w:tcPr>
                <w:p w14:paraId="04606A8A">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执行情况</w:t>
                  </w:r>
                </w:p>
              </w:tc>
              <w:tc>
                <w:tcPr>
                  <w:tcW w:w="632" w:type="pct"/>
                  <w:tcMar>
                    <w:top w:w="57" w:type="dxa"/>
                    <w:bottom w:w="57" w:type="dxa"/>
                  </w:tcMar>
                  <w:vAlign w:val="center"/>
                </w:tcPr>
                <w:p w14:paraId="6E5361CA">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是否满足</w:t>
                  </w:r>
                </w:p>
                <w:p w14:paraId="473AC059">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环保要求</w:t>
                  </w:r>
                </w:p>
              </w:tc>
            </w:tr>
            <w:tr w14:paraId="08AE5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2E516E86">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1</w:t>
                  </w:r>
                </w:p>
              </w:tc>
              <w:tc>
                <w:tcPr>
                  <w:tcW w:w="1860" w:type="pct"/>
                  <w:tcMar>
                    <w:top w:w="57" w:type="dxa"/>
                    <w:bottom w:w="57" w:type="dxa"/>
                  </w:tcMar>
                  <w:vAlign w:val="center"/>
                </w:tcPr>
                <w:p w14:paraId="747CE47F">
                  <w:pPr>
                    <w:spacing w:line="360" w:lineRule="auto"/>
                    <w:ind w:firstLine="420" w:firstLineChars="200"/>
                    <w:rPr>
                      <w:rFonts w:hint="eastAsia" w:ascii="Times New Roman" w:hAnsi="Times New Roman" w:eastAsia="宋体" w:cs="Times New Roman"/>
                      <w:color w:val="000000" w:themeColor="text1"/>
                      <w:szCs w:val="21"/>
                      <w:lang w:val="en-US" w:eastAsia="zh-CN"/>
                    </w:rPr>
                  </w:pPr>
                  <w:r>
                    <w:rPr>
                      <w:rFonts w:hint="default" w:ascii="Times New Roman" w:hAnsi="Times New Roman" w:cs="Times New Roman"/>
                      <w:color w:val="000000" w:themeColor="text1"/>
                      <w:szCs w:val="21"/>
                    </w:rPr>
                    <w:t>认真执行建设项目环境保护“三同时”要求，落实好《报告表》提出的各项污染防治对策措施，确保项目环保投资和环境保护措施落实到位</w:t>
                  </w:r>
                  <w:r>
                    <w:rPr>
                      <w:rFonts w:hint="eastAsia" w:ascii="Times New Roman" w:hAnsi="Times New Roman" w:cs="Times New Roman"/>
                      <w:color w:val="000000" w:themeColor="text1"/>
                      <w:szCs w:val="21"/>
                      <w:lang w:eastAsia="zh-CN"/>
                    </w:rPr>
                    <w:t>。</w:t>
                  </w:r>
                </w:p>
              </w:tc>
              <w:tc>
                <w:tcPr>
                  <w:tcW w:w="2268" w:type="pct"/>
                  <w:tcMar>
                    <w:top w:w="57" w:type="dxa"/>
                    <w:bottom w:w="57" w:type="dxa"/>
                  </w:tcMar>
                  <w:vAlign w:val="center"/>
                </w:tcPr>
                <w:p w14:paraId="0E3D128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根据现场</w:t>
                  </w:r>
                  <w:r>
                    <w:rPr>
                      <w:rFonts w:hint="default" w:ascii="Times New Roman" w:hAnsi="Times New Roman" w:cs="Times New Roman"/>
                      <w:color w:val="000000" w:themeColor="text1"/>
                      <w:szCs w:val="21"/>
                      <w:lang w:val="en-US" w:eastAsia="zh-CN"/>
                    </w:rPr>
                    <w:t>实际核实</w:t>
                  </w:r>
                  <w:r>
                    <w:rPr>
                      <w:rFonts w:hint="default" w:ascii="Times New Roman" w:hAnsi="Times New Roman" w:cs="Times New Roman"/>
                      <w:color w:val="000000" w:themeColor="text1"/>
                      <w:szCs w:val="21"/>
                    </w:rPr>
                    <w:t>，项目实际已按照环境影响报告表中的设计落实各项环保设施及措施，环保治理投资及时到位</w:t>
                  </w:r>
                </w:p>
              </w:tc>
              <w:tc>
                <w:tcPr>
                  <w:tcW w:w="632" w:type="pct"/>
                  <w:tcMar>
                    <w:top w:w="57" w:type="dxa"/>
                    <w:bottom w:w="57" w:type="dxa"/>
                  </w:tcMar>
                  <w:vAlign w:val="center"/>
                </w:tcPr>
                <w:p w14:paraId="6C94C2D8">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5C99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3C922907">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2</w:t>
                  </w:r>
                </w:p>
              </w:tc>
              <w:tc>
                <w:tcPr>
                  <w:tcW w:w="1860" w:type="pct"/>
                  <w:tcMar>
                    <w:top w:w="57" w:type="dxa"/>
                    <w:bottom w:w="57" w:type="dxa"/>
                  </w:tcMar>
                  <w:vAlign w:val="center"/>
                </w:tcPr>
                <w:p w14:paraId="40BAA31A">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项目位于腾冲城市集中式饮用水水源</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观音塘和上马常水源地</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准保护区，项目必须严格按照《中华人民共和国水污染防治法》《腾冲县人民政府办公室关于印发腾冲县城市饮用水源保护管理规定(试行)的通知》</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腾政办发〔201</w:t>
                  </w:r>
                  <w:r>
                    <w:rPr>
                      <w:rFonts w:hint="default" w:ascii="Times New Roman" w:hAnsi="Times New Roman" w:cs="Times New Roman"/>
                      <w:color w:val="000000" w:themeColor="text1"/>
                      <w:szCs w:val="21"/>
                      <w:lang w:val="en-US" w:eastAsia="zh-CN"/>
                    </w:rPr>
                    <w:t>1</w:t>
                  </w:r>
                  <w:r>
                    <w:rPr>
                      <w:rFonts w:hint="default" w:ascii="Times New Roman" w:hAnsi="Times New Roman" w:cs="Times New Roman"/>
                      <w:color w:val="000000" w:themeColor="text1"/>
                      <w:szCs w:val="21"/>
                    </w:rPr>
                    <w:t>〕87号</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以及“报告表”提出的各项污染物防治措施及要求进行建设和运营确保项目施工期、营运期污水均按要求做到达标排放，防止对腾冲城市集中式饮用水水源造成污染。</w:t>
                  </w:r>
                </w:p>
              </w:tc>
              <w:tc>
                <w:tcPr>
                  <w:tcW w:w="2268" w:type="pct"/>
                  <w:tcMar>
                    <w:top w:w="57" w:type="dxa"/>
                    <w:bottom w:w="57" w:type="dxa"/>
                  </w:tcMar>
                  <w:vAlign w:val="center"/>
                </w:tcPr>
                <w:p w14:paraId="67003B7A">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lang w:eastAsia="zh-CN"/>
                    </w:rPr>
                    <w:t>根据现场实际核实</w:t>
                  </w:r>
                  <w:r>
                    <w:rPr>
                      <w:rFonts w:hint="default" w:ascii="Times New Roman" w:hAnsi="Times New Roman" w:cs="Times New Roman"/>
                      <w:color w:val="000000" w:themeColor="text1"/>
                      <w:szCs w:val="21"/>
                    </w:rPr>
                    <w:t>：</w:t>
                  </w:r>
                </w:p>
                <w:p w14:paraId="64F5AFE7">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本项目在建设过程中施工废水已经收集、沉淀处理，回用于混凝土养护和施工场地洒水降尘，不外排；车辆清洗废水通过</w:t>
                  </w:r>
                  <w:r>
                    <w:rPr>
                      <w:rFonts w:hint="default" w:ascii="Times New Roman" w:hAnsi="Times New Roman" w:cs="Times New Roman"/>
                      <w:color w:val="000000" w:themeColor="text1"/>
                      <w:szCs w:val="21"/>
                      <w:lang w:val="zh-CN"/>
                    </w:rPr>
                    <w:t>一个车辆清洗池，车辆清洗废水经沉淀后循环使用</w:t>
                  </w:r>
                  <w:r>
                    <w:rPr>
                      <w:rFonts w:hint="eastAsia" w:ascii="Times New Roman" w:hAnsi="Times New Roman" w:cs="Times New Roman"/>
                      <w:color w:val="000000" w:themeColor="text1"/>
                      <w:szCs w:val="21"/>
                      <w:lang w:val="zh-CN"/>
                    </w:rPr>
                    <w:t>。</w:t>
                  </w:r>
                </w:p>
                <w:p w14:paraId="3AB58AD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本项目废水排入化粪池，再排入污水处理站处理达到《城市污水再生利用 城市杂用水水质》（GB/T18920-2020）城市绿化水质标准及《城镇污水处理厂污染物排放标准》（GB18918-2002）一级A标准要求后，排入污水处理站处理达标后，排入市政污水管网，最终排入腾冲市污水处理厂。</w:t>
                  </w:r>
                </w:p>
                <w:p w14:paraId="5D9A1FE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color w:val="000000" w:themeColor="text1"/>
                      <w:szCs w:val="21"/>
                      <w:lang w:val="en-US" w:eastAsia="zh-CN"/>
                    </w:rPr>
                  </w:pPr>
                  <w:r>
                    <w:rPr>
                      <w:rFonts w:hint="default" w:ascii="Times New Roman" w:hAnsi="Times New Roman" w:cs="Times New Roman"/>
                      <w:color w:val="000000" w:themeColor="text1"/>
                      <w:szCs w:val="21"/>
                    </w:rPr>
                    <w:t>本项目施工期、营运期污水均按要求做到达标外排。</w:t>
                  </w:r>
                </w:p>
              </w:tc>
              <w:tc>
                <w:tcPr>
                  <w:tcW w:w="632" w:type="pct"/>
                  <w:tcMar>
                    <w:top w:w="57" w:type="dxa"/>
                    <w:bottom w:w="57" w:type="dxa"/>
                  </w:tcMar>
                  <w:vAlign w:val="center"/>
                </w:tcPr>
                <w:p w14:paraId="30B63831">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356B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6B708FBE">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3</w:t>
                  </w:r>
                </w:p>
              </w:tc>
              <w:tc>
                <w:tcPr>
                  <w:tcW w:w="1860" w:type="pct"/>
                  <w:tcMar>
                    <w:top w:w="57" w:type="dxa"/>
                    <w:bottom w:w="57" w:type="dxa"/>
                  </w:tcMar>
                  <w:vAlign w:val="center"/>
                </w:tcPr>
                <w:p w14:paraId="600C2CB4">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设置环境管理专</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兼</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职机构，明确人员职责，建立完善有关制度与台账，落实好企业环境保护主体责任。</w:t>
                  </w:r>
                </w:p>
              </w:tc>
              <w:tc>
                <w:tcPr>
                  <w:tcW w:w="2268" w:type="pct"/>
                  <w:tcMar>
                    <w:top w:w="57" w:type="dxa"/>
                    <w:bottom w:w="57" w:type="dxa"/>
                  </w:tcMar>
                  <w:vAlign w:val="center"/>
                </w:tcPr>
                <w:p w14:paraId="2902DB0C">
                  <w:pPr>
                    <w:spacing w:line="360" w:lineRule="auto"/>
                    <w:ind w:firstLine="420" w:firstLineChars="200"/>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本项目已设置兼职环境管理人员，已建立</w:t>
                  </w:r>
                  <w:r>
                    <w:rPr>
                      <w:rFonts w:hint="default" w:ascii="Times New Roman" w:hAnsi="Times New Roman" w:cs="Times New Roman"/>
                      <w:color w:val="000000" w:themeColor="text1"/>
                      <w:szCs w:val="21"/>
                    </w:rPr>
                    <w:t>完善有关制度与台账，落实好企业环境保护主体责任。</w:t>
                  </w:r>
                </w:p>
              </w:tc>
              <w:tc>
                <w:tcPr>
                  <w:tcW w:w="632" w:type="pct"/>
                  <w:tcMar>
                    <w:top w:w="57" w:type="dxa"/>
                    <w:bottom w:w="57" w:type="dxa"/>
                  </w:tcMar>
                  <w:vAlign w:val="center"/>
                </w:tcPr>
                <w:p w14:paraId="6AA3852E">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5A54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1B350F41">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4</w:t>
                  </w:r>
                </w:p>
              </w:tc>
              <w:tc>
                <w:tcPr>
                  <w:tcW w:w="1860" w:type="pct"/>
                  <w:tcMar>
                    <w:top w:w="57" w:type="dxa"/>
                    <w:bottom w:w="57" w:type="dxa"/>
                  </w:tcMar>
                  <w:vAlign w:val="center"/>
                </w:tcPr>
                <w:p w14:paraId="024F39C0">
                  <w:pPr>
                    <w:spacing w:line="360" w:lineRule="auto"/>
                    <w:ind w:firstLine="420" w:firstLineChars="200"/>
                    <w:rPr>
                      <w:rFonts w:hint="eastAsia"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szCs w:val="21"/>
                    </w:rPr>
                    <w:t>按照规定要求编制并报备突发环境事件应急预案，建成后及时组织开展竣工环境保护验收，验收合格后方可投入运营</w:t>
                  </w:r>
                  <w:r>
                    <w:rPr>
                      <w:rFonts w:hint="eastAsia" w:ascii="Times New Roman" w:hAnsi="Times New Roman" w:cs="Times New Roman"/>
                      <w:color w:val="000000" w:themeColor="text1"/>
                      <w:szCs w:val="21"/>
                      <w:lang w:eastAsia="zh-CN"/>
                    </w:rPr>
                    <w:t>。</w:t>
                  </w:r>
                </w:p>
              </w:tc>
              <w:tc>
                <w:tcPr>
                  <w:tcW w:w="2268" w:type="pct"/>
                  <w:tcMar>
                    <w:top w:w="57" w:type="dxa"/>
                    <w:bottom w:w="57" w:type="dxa"/>
                  </w:tcMar>
                  <w:vAlign w:val="center"/>
                </w:tcPr>
                <w:p w14:paraId="60238452">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highlight w:val="none"/>
                    </w:rPr>
                    <w:t>项目已于202</w:t>
                  </w:r>
                  <w:r>
                    <w:rPr>
                      <w:rFonts w:hint="eastAsia" w:ascii="Times New Roman" w:hAnsi="Times New Roman" w:cs="Times New Roman"/>
                      <w:color w:val="000000" w:themeColor="text1"/>
                      <w:szCs w:val="21"/>
                      <w:highlight w:val="none"/>
                      <w:lang w:val="en-US" w:eastAsia="zh-CN"/>
                    </w:rPr>
                    <w:t>4</w:t>
                  </w:r>
                  <w:r>
                    <w:rPr>
                      <w:rFonts w:hint="default" w:ascii="Times New Roman" w:hAnsi="Times New Roman" w:cs="Times New Roman"/>
                      <w:color w:val="000000" w:themeColor="text1"/>
                      <w:szCs w:val="21"/>
                      <w:highlight w:val="none"/>
                    </w:rPr>
                    <w:t>年</w:t>
                  </w:r>
                  <w:r>
                    <w:rPr>
                      <w:rFonts w:hint="default" w:ascii="Times New Roman" w:hAnsi="Times New Roman" w:cs="Times New Roman"/>
                      <w:color w:val="000000" w:themeColor="text1"/>
                      <w:szCs w:val="21"/>
                      <w:highlight w:val="none"/>
                      <w:lang w:val="en-US" w:eastAsia="zh-CN"/>
                    </w:rPr>
                    <w:t>1</w:t>
                  </w:r>
                  <w:r>
                    <w:rPr>
                      <w:rFonts w:hint="eastAsia" w:ascii="Times New Roman" w:hAnsi="Times New Roman" w:cs="Times New Roman"/>
                      <w:color w:val="000000" w:themeColor="text1"/>
                      <w:szCs w:val="21"/>
                      <w:highlight w:val="none"/>
                      <w:lang w:val="en-US" w:eastAsia="zh-CN"/>
                    </w:rPr>
                    <w:t>0</w:t>
                  </w:r>
                  <w:r>
                    <w:rPr>
                      <w:rFonts w:hint="default" w:ascii="Times New Roman" w:hAnsi="Times New Roman" w:cs="Times New Roman"/>
                      <w:color w:val="000000" w:themeColor="text1"/>
                      <w:szCs w:val="21"/>
                      <w:highlight w:val="none"/>
                    </w:rPr>
                    <w:t>月</w:t>
                  </w:r>
                  <w:r>
                    <w:rPr>
                      <w:rFonts w:hint="default" w:ascii="Times New Roman" w:hAnsi="Times New Roman" w:cs="Times New Roman"/>
                      <w:color w:val="000000" w:themeColor="text1"/>
                      <w:szCs w:val="21"/>
                      <w:highlight w:val="none"/>
                      <w:lang w:val="en-US" w:eastAsia="zh-CN"/>
                    </w:rPr>
                    <w:t>2日</w:t>
                  </w:r>
                  <w:r>
                    <w:rPr>
                      <w:rFonts w:hint="default" w:ascii="Times New Roman" w:hAnsi="Times New Roman" w:cs="Times New Roman"/>
                      <w:color w:val="000000" w:themeColor="text1"/>
                      <w:szCs w:val="21"/>
                      <w:highlight w:val="none"/>
                    </w:rPr>
                    <w:t>建设完成，并于202</w:t>
                  </w:r>
                  <w:r>
                    <w:rPr>
                      <w:rFonts w:hint="eastAsia" w:ascii="Times New Roman" w:hAnsi="Times New Roman" w:cs="Times New Roman"/>
                      <w:color w:val="000000" w:themeColor="text1"/>
                      <w:szCs w:val="21"/>
                      <w:highlight w:val="none"/>
                      <w:lang w:val="en-US" w:eastAsia="zh-CN"/>
                    </w:rPr>
                    <w:t>4</w:t>
                  </w:r>
                  <w:r>
                    <w:rPr>
                      <w:rFonts w:hint="default" w:ascii="Times New Roman" w:hAnsi="Times New Roman" w:cs="Times New Roman"/>
                      <w:color w:val="000000" w:themeColor="text1"/>
                      <w:szCs w:val="21"/>
                      <w:highlight w:val="none"/>
                    </w:rPr>
                    <w:t>年</w:t>
                  </w:r>
                  <w:r>
                    <w:rPr>
                      <w:rFonts w:hint="eastAsia" w:ascii="Times New Roman" w:hAnsi="Times New Roman" w:cs="Times New Roman"/>
                      <w:color w:val="000000" w:themeColor="text1"/>
                      <w:szCs w:val="21"/>
                      <w:highlight w:val="none"/>
                      <w:lang w:val="en-US" w:eastAsia="zh-CN"/>
                    </w:rPr>
                    <w:t>1</w:t>
                  </w:r>
                  <w:r>
                    <w:rPr>
                      <w:rFonts w:hint="default" w:ascii="Times New Roman" w:hAnsi="Times New Roman" w:cs="Times New Roman"/>
                      <w:color w:val="000000" w:themeColor="text1"/>
                      <w:szCs w:val="21"/>
                      <w:highlight w:val="none"/>
                      <w:lang w:val="en-US" w:eastAsia="zh-CN"/>
                    </w:rPr>
                    <w:t>1</w:t>
                  </w:r>
                  <w:r>
                    <w:rPr>
                      <w:rFonts w:hint="default" w:ascii="Times New Roman" w:hAnsi="Times New Roman" w:cs="Times New Roman"/>
                      <w:color w:val="000000" w:themeColor="text1"/>
                      <w:szCs w:val="21"/>
                      <w:highlight w:val="none"/>
                    </w:rPr>
                    <w:t>月启动竣工验收，同时委托</w:t>
                  </w:r>
                  <w:r>
                    <w:rPr>
                      <w:rFonts w:hint="default" w:ascii="Times New Roman" w:hAnsi="Times New Roman" w:cs="Times New Roman"/>
                      <w:color w:val="000000" w:themeColor="text1"/>
                      <w:szCs w:val="21"/>
                      <w:highlight w:val="none"/>
                      <w:lang w:val="en-US"/>
                    </w:rPr>
                    <w:t>云南速测环境科技有限公司</w:t>
                  </w:r>
                  <w:r>
                    <w:rPr>
                      <w:rFonts w:hint="default" w:ascii="Times New Roman" w:hAnsi="Times New Roman" w:cs="Times New Roman"/>
                      <w:color w:val="000000" w:themeColor="text1"/>
                      <w:szCs w:val="21"/>
                      <w:highlight w:val="none"/>
                    </w:rPr>
                    <w:t>进行竣工验收监测，拟完成竣工验收后正式投入运营。</w:t>
                  </w:r>
                </w:p>
              </w:tc>
              <w:tc>
                <w:tcPr>
                  <w:tcW w:w="632" w:type="pct"/>
                  <w:tcMar>
                    <w:top w:w="57" w:type="dxa"/>
                    <w:bottom w:w="57" w:type="dxa"/>
                  </w:tcMar>
                  <w:vAlign w:val="center"/>
                </w:tcPr>
                <w:p w14:paraId="4C14E065">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bl>
          <w:p w14:paraId="300B2732">
            <w:pPr>
              <w:spacing w:line="360" w:lineRule="auto"/>
              <w:ind w:firstLine="480" w:firstLineChars="20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8"/>
              </w:rPr>
              <w:t>根据表4-2调查核实情况，对照保山市生态环境局腾冲分局批复的4项要求，建设项目满足了4项，满足率为100%。</w:t>
            </w:r>
          </w:p>
          <w:p w14:paraId="31DBB2CC">
            <w:pPr>
              <w:numPr>
                <w:ilvl w:val="0"/>
                <w:numId w:val="4"/>
              </w:numPr>
              <w:spacing w:line="360" w:lineRule="auto"/>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val="en-US" w:eastAsia="zh-CN"/>
              </w:rPr>
              <w:t>竣工环境保护验收落实情况</w:t>
            </w:r>
          </w:p>
          <w:p w14:paraId="62AB7803">
            <w:pPr>
              <w:spacing w:line="360" w:lineRule="auto"/>
              <w:ind w:firstLine="600" w:firstLineChars="250"/>
              <w:rPr>
                <w:rFonts w:hint="default" w:ascii="Times New Roman" w:hAnsi="Times New Roman" w:eastAsia="宋体" w:cs="Times New Roman"/>
                <w:color w:val="000000" w:themeColor="text1"/>
                <w:sz w:val="24"/>
                <w:szCs w:val="28"/>
                <w:lang w:val="en-US" w:eastAsia="zh-CN"/>
              </w:rPr>
            </w:pPr>
            <w:r>
              <w:rPr>
                <w:rFonts w:hint="eastAsia" w:ascii="Times New Roman" w:hAnsi="Times New Roman" w:cs="Times New Roman"/>
                <w:color w:val="000000" w:themeColor="text1"/>
                <w:sz w:val="24"/>
                <w:szCs w:val="28"/>
                <w:lang w:val="en-US" w:eastAsia="zh-CN"/>
              </w:rPr>
              <w:t>对照环境影响报告表中的</w:t>
            </w:r>
            <w:r>
              <w:rPr>
                <w:rFonts w:ascii="Times New Roman" w:hAnsi="Times New Roman"/>
                <w:color w:val="000000" w:themeColor="text1"/>
                <w:sz w:val="24"/>
              </w:rPr>
              <w:t>竣工环境保护验收的要求，具体落实情况详见表4-3。</w:t>
            </w:r>
          </w:p>
          <w:p w14:paraId="5EC9DFB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 w:val="24"/>
                <w:szCs w:val="28"/>
              </w:rPr>
            </w:pPr>
          </w:p>
          <w:p w14:paraId="0C10DC9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 w:val="24"/>
                <w:szCs w:val="28"/>
              </w:rPr>
            </w:pPr>
            <w:r>
              <w:rPr>
                <w:rFonts w:hint="default" w:ascii="Times New Roman" w:hAnsi="Times New Roman" w:cs="Times New Roman"/>
                <w:b/>
                <w:bCs/>
                <w:color w:val="000000" w:themeColor="text1"/>
                <w:sz w:val="24"/>
                <w:szCs w:val="28"/>
              </w:rPr>
              <w:t>表4-3  项目竣工环境保护验收落实情况</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795"/>
              <w:gridCol w:w="1530"/>
              <w:gridCol w:w="2111"/>
              <w:gridCol w:w="1360"/>
              <w:gridCol w:w="2023"/>
              <w:gridCol w:w="675"/>
            </w:tblGrid>
            <w:tr w14:paraId="7A07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Merge w:val="restart"/>
                  <w:vAlign w:val="center"/>
                </w:tcPr>
                <w:p w14:paraId="779A3893">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验收项目</w:t>
                  </w:r>
                </w:p>
              </w:tc>
              <w:tc>
                <w:tcPr>
                  <w:tcW w:w="3641" w:type="dxa"/>
                  <w:gridSpan w:val="2"/>
                  <w:vAlign w:val="center"/>
                </w:tcPr>
                <w:p w14:paraId="21DDCFF1">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环评情况</w:t>
                  </w:r>
                </w:p>
              </w:tc>
              <w:tc>
                <w:tcPr>
                  <w:tcW w:w="3383" w:type="dxa"/>
                  <w:gridSpan w:val="2"/>
                  <w:vAlign w:val="center"/>
                </w:tcPr>
                <w:p w14:paraId="35B93F74">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实际情况</w:t>
                  </w:r>
                </w:p>
              </w:tc>
              <w:tc>
                <w:tcPr>
                  <w:tcW w:w="675" w:type="dxa"/>
                  <w:vMerge w:val="restart"/>
                  <w:vAlign w:val="center"/>
                </w:tcPr>
                <w:p w14:paraId="08FC41CC">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落实情况</w:t>
                  </w:r>
                </w:p>
              </w:tc>
            </w:tr>
            <w:tr w14:paraId="31185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Merge w:val="continue"/>
                  <w:vAlign w:val="center"/>
                </w:tcPr>
                <w:p w14:paraId="42F88203">
                  <w:pPr>
                    <w:jc w:val="center"/>
                    <w:rPr>
                      <w:rFonts w:ascii="Times New Roman" w:hAnsi="Times New Roman" w:eastAsiaTheme="minorEastAsia"/>
                      <w:color w:val="000000" w:themeColor="text1"/>
                      <w:szCs w:val="21"/>
                    </w:rPr>
                  </w:pPr>
                </w:p>
              </w:tc>
              <w:tc>
                <w:tcPr>
                  <w:tcW w:w="1530" w:type="dxa"/>
                  <w:vAlign w:val="center"/>
                </w:tcPr>
                <w:p w14:paraId="4930C8B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验收内容</w:t>
                  </w:r>
                </w:p>
              </w:tc>
              <w:tc>
                <w:tcPr>
                  <w:tcW w:w="2111" w:type="dxa"/>
                  <w:vAlign w:val="center"/>
                </w:tcPr>
                <w:p w14:paraId="7CE6962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验收要求</w:t>
                  </w:r>
                </w:p>
              </w:tc>
              <w:tc>
                <w:tcPr>
                  <w:tcW w:w="1360" w:type="dxa"/>
                  <w:vAlign w:val="center"/>
                </w:tcPr>
                <w:p w14:paraId="4DE6D2C8">
                  <w:pPr>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建设内容</w:t>
                  </w:r>
                </w:p>
              </w:tc>
              <w:tc>
                <w:tcPr>
                  <w:tcW w:w="2023" w:type="dxa"/>
                  <w:vAlign w:val="center"/>
                </w:tcPr>
                <w:p w14:paraId="0191A646">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验收要求</w:t>
                  </w:r>
                </w:p>
              </w:tc>
              <w:tc>
                <w:tcPr>
                  <w:tcW w:w="675" w:type="dxa"/>
                  <w:vMerge w:val="continue"/>
                  <w:vAlign w:val="center"/>
                </w:tcPr>
                <w:p w14:paraId="27A7095F">
                  <w:pPr>
                    <w:jc w:val="center"/>
                    <w:rPr>
                      <w:rFonts w:ascii="Times New Roman" w:hAnsiTheme="minorEastAsia" w:eastAsiaTheme="minorEastAsia"/>
                      <w:color w:val="000000" w:themeColor="text1"/>
                      <w:szCs w:val="21"/>
                    </w:rPr>
                  </w:pPr>
                </w:p>
              </w:tc>
            </w:tr>
            <w:tr w14:paraId="53FED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restart"/>
                  <w:vAlign w:val="center"/>
                </w:tcPr>
                <w:p w14:paraId="405124D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污水</w:t>
                  </w:r>
                </w:p>
              </w:tc>
              <w:tc>
                <w:tcPr>
                  <w:tcW w:w="795" w:type="dxa"/>
                  <w:vMerge w:val="restart"/>
                  <w:vAlign w:val="center"/>
                </w:tcPr>
                <w:p w14:paraId="6DAAD57D">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污水处理系统</w:t>
                  </w:r>
                </w:p>
              </w:tc>
              <w:tc>
                <w:tcPr>
                  <w:tcW w:w="1530" w:type="dxa"/>
                  <w:vAlign w:val="center"/>
                </w:tcPr>
                <w:p w14:paraId="51029517">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化粪池：共</w:t>
                  </w:r>
                  <w:r>
                    <w:rPr>
                      <w:rFonts w:ascii="Times New Roman" w:hAnsi="Times New Roman" w:eastAsiaTheme="minorEastAsia"/>
                      <w:color w:val="000000" w:themeColor="text1"/>
                      <w:szCs w:val="21"/>
                    </w:rPr>
                    <w:t>1</w:t>
                  </w:r>
                  <w:r>
                    <w:rPr>
                      <w:rFonts w:ascii="Times New Roman" w:hAnsiTheme="minorEastAsia" w:eastAsiaTheme="minorEastAsia"/>
                      <w:color w:val="000000" w:themeColor="text1"/>
                      <w:szCs w:val="21"/>
                    </w:rPr>
                    <w:t>个，容积为</w:t>
                  </w:r>
                  <w:r>
                    <w:rPr>
                      <w:rFonts w:ascii="Times New Roman" w:hAnsi="Times New Roman" w:eastAsiaTheme="minorEastAsia"/>
                      <w:color w:val="000000" w:themeColor="text1"/>
                      <w:szCs w:val="21"/>
                    </w:rPr>
                    <w:t>100m</w:t>
                  </w:r>
                  <w:r>
                    <w:rPr>
                      <w:rFonts w:ascii="Times New Roman" w:hAnsi="Times New Roman" w:eastAsiaTheme="minorEastAsia"/>
                      <w:color w:val="000000" w:themeColor="text1"/>
                      <w:szCs w:val="21"/>
                      <w:vertAlign w:val="superscript"/>
                    </w:rPr>
                    <w:t>3</w:t>
                  </w:r>
                  <w:r>
                    <w:rPr>
                      <w:rFonts w:ascii="Times New Roman" w:hAnsiTheme="minorEastAsia" w:eastAsiaTheme="minorEastAsia"/>
                      <w:color w:val="000000" w:themeColor="text1"/>
                      <w:szCs w:val="21"/>
                    </w:rPr>
                    <w:t>，设置于项目</w:t>
                  </w:r>
                  <w:r>
                    <w:rPr>
                      <w:rFonts w:hint="eastAsia" w:ascii="Times New Roman" w:hAnsiTheme="minorEastAsia" w:eastAsiaTheme="minorEastAsia"/>
                      <w:color w:val="000000" w:themeColor="text1"/>
                      <w:szCs w:val="21"/>
                      <w:lang w:val="en-US" w:eastAsia="zh-CN"/>
                    </w:rPr>
                    <w:t>G</w:t>
                  </w:r>
                  <w:r>
                    <w:rPr>
                      <w:rFonts w:ascii="Times New Roman" w:hAnsi="Times New Roman" w:eastAsiaTheme="minorEastAsia"/>
                      <w:color w:val="000000" w:themeColor="text1"/>
                      <w:szCs w:val="21"/>
                    </w:rPr>
                    <w:t>5#</w:t>
                  </w:r>
                  <w:r>
                    <w:rPr>
                      <w:rFonts w:ascii="Times New Roman" w:hAnsiTheme="minorEastAsia" w:eastAsiaTheme="minorEastAsia"/>
                      <w:color w:val="000000" w:themeColor="text1"/>
                      <w:szCs w:val="21"/>
                    </w:rPr>
                    <w:t>住宅南侧，能够满足废水停留</w:t>
                  </w:r>
                  <w:r>
                    <w:rPr>
                      <w:rFonts w:ascii="Times New Roman" w:hAnsi="Times New Roman" w:eastAsiaTheme="minorEastAsia"/>
                      <w:color w:val="000000" w:themeColor="text1"/>
                      <w:szCs w:val="21"/>
                    </w:rPr>
                    <w:t>36h</w:t>
                  </w:r>
                </w:p>
              </w:tc>
              <w:tc>
                <w:tcPr>
                  <w:tcW w:w="2111" w:type="dxa"/>
                  <w:vMerge w:val="restart"/>
                  <w:vAlign w:val="center"/>
                </w:tcPr>
                <w:p w14:paraId="3213FD0F">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bCs/>
                      <w:color w:val="000000" w:themeColor="text1"/>
                      <w:szCs w:val="21"/>
                    </w:rPr>
                    <w:t>《城市污水再生利用</w:t>
                  </w:r>
                  <w:r>
                    <w:rPr>
                      <w:rFonts w:ascii="Times New Roman" w:hAnsi="Times New Roman" w:eastAsiaTheme="minorEastAsia"/>
                      <w:bCs/>
                      <w:color w:val="000000" w:themeColor="text1"/>
                      <w:szCs w:val="21"/>
                    </w:rPr>
                    <w:t xml:space="preserve"> </w:t>
                  </w:r>
                  <w:r>
                    <w:rPr>
                      <w:rFonts w:ascii="Times New Roman" w:hAnsiTheme="minorEastAsia" w:eastAsiaTheme="minorEastAsia"/>
                      <w:bCs/>
                      <w:color w:val="000000" w:themeColor="text1"/>
                      <w:szCs w:val="21"/>
                    </w:rPr>
                    <w:t>城市杂用水水质》（</w:t>
                  </w:r>
                  <w:r>
                    <w:rPr>
                      <w:rFonts w:ascii="Times New Roman" w:hAnsi="Times New Roman" w:eastAsiaTheme="minorEastAsia"/>
                      <w:bCs/>
                      <w:color w:val="000000" w:themeColor="text1"/>
                      <w:szCs w:val="21"/>
                    </w:rPr>
                    <w:t>GB/T18920-2002</w:t>
                  </w:r>
                  <w:r>
                    <w:rPr>
                      <w:rFonts w:ascii="Times New Roman" w:hAnsiTheme="minorEastAsia" w:eastAsiaTheme="minorEastAsia"/>
                      <w:bCs/>
                      <w:color w:val="000000" w:themeColor="text1"/>
                      <w:szCs w:val="21"/>
                    </w:rPr>
                    <w:t>）城市绿化水质标准及《城镇污水处理厂污染物排放标准》（</w:t>
                  </w:r>
                  <w:r>
                    <w:rPr>
                      <w:rFonts w:ascii="Times New Roman" w:hAnsi="Times New Roman" w:eastAsiaTheme="minorEastAsia"/>
                      <w:bCs/>
                      <w:color w:val="000000" w:themeColor="text1"/>
                      <w:szCs w:val="21"/>
                    </w:rPr>
                    <w:t>GB18918-2002</w:t>
                  </w:r>
                  <w:r>
                    <w:rPr>
                      <w:rFonts w:ascii="Times New Roman" w:hAnsiTheme="minorEastAsia" w:eastAsiaTheme="minorEastAsia"/>
                      <w:bCs/>
                      <w:color w:val="000000" w:themeColor="text1"/>
                      <w:szCs w:val="21"/>
                    </w:rPr>
                    <w:t>）一级</w:t>
                  </w:r>
                  <w:r>
                    <w:rPr>
                      <w:rFonts w:ascii="Times New Roman" w:hAnsi="Times New Roman" w:eastAsiaTheme="minorEastAsia"/>
                      <w:bCs/>
                      <w:color w:val="000000" w:themeColor="text1"/>
                      <w:szCs w:val="21"/>
                    </w:rPr>
                    <w:t>A</w:t>
                  </w:r>
                  <w:r>
                    <w:rPr>
                      <w:rFonts w:ascii="Times New Roman" w:hAnsiTheme="minorEastAsia" w:eastAsiaTheme="minorEastAsia"/>
                      <w:bCs/>
                      <w:color w:val="000000" w:themeColor="text1"/>
                      <w:szCs w:val="21"/>
                    </w:rPr>
                    <w:t>标准</w:t>
                  </w:r>
                </w:p>
              </w:tc>
              <w:tc>
                <w:tcPr>
                  <w:tcW w:w="1360" w:type="dxa"/>
                  <w:vAlign w:val="center"/>
                </w:tcPr>
                <w:p w14:paraId="5D88888E">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本项目已在G5#住宅东侧建设1个容积为100m</w:t>
                  </w:r>
                  <w:r>
                    <w:rPr>
                      <w:rFonts w:hint="eastAsia" w:ascii="Times New Roman" w:hAnsiTheme="minorEastAsia" w:eastAsiaTheme="minorEastAsia"/>
                      <w:bCs/>
                      <w:color w:val="000000" w:themeColor="text1"/>
                      <w:szCs w:val="21"/>
                      <w:vertAlign w:val="superscript"/>
                      <w:lang w:val="en-US" w:eastAsia="zh-CN"/>
                    </w:rPr>
                    <w:t>3</w:t>
                  </w:r>
                  <w:r>
                    <w:rPr>
                      <w:rFonts w:hint="eastAsia" w:ascii="Times New Roman" w:hAnsiTheme="minorEastAsia" w:eastAsiaTheme="minorEastAsia"/>
                      <w:bCs/>
                      <w:color w:val="000000" w:themeColor="text1"/>
                      <w:szCs w:val="21"/>
                      <w:lang w:val="en-US" w:eastAsia="zh-CN"/>
                    </w:rPr>
                    <w:t>的化粪池</w:t>
                  </w:r>
                </w:p>
              </w:tc>
              <w:tc>
                <w:tcPr>
                  <w:tcW w:w="2023" w:type="dxa"/>
                  <w:vMerge w:val="restart"/>
                  <w:vAlign w:val="center"/>
                </w:tcPr>
                <w:p w14:paraId="486EAFEE">
                  <w:pPr>
                    <w:jc w:val="center"/>
                    <w:rPr>
                      <w:rFonts w:hint="default" w:ascii="Times New Roman" w:hAnsiTheme="minorEastAsia" w:eastAsiaTheme="minorEastAsia"/>
                      <w:bCs/>
                      <w:color w:val="000000" w:themeColor="text1"/>
                      <w:szCs w:val="21"/>
                      <w:lang w:val="en-US"/>
                    </w:rPr>
                  </w:pPr>
                  <w:r>
                    <w:rPr>
                      <w:rFonts w:hint="eastAsia" w:ascii="Times New Roman" w:hAnsi="Times New Roman" w:cs="Times New Roman"/>
                      <w:color w:val="000000" w:themeColor="text1"/>
                      <w:szCs w:val="21"/>
                      <w:lang w:val="en-US" w:eastAsia="zh-CN"/>
                    </w:rPr>
                    <w:t>本项目废水排入化粪池，再排入污水处理站处理达到《城市污水再生利用 城市杂用水水质》（GB/T18920-2020）城市绿化水质标准及《城镇污水处理厂污染物排放标准》（GB18918-2002）一级A标准，可达标排放</w:t>
                  </w:r>
                </w:p>
              </w:tc>
              <w:tc>
                <w:tcPr>
                  <w:tcW w:w="675" w:type="dxa"/>
                  <w:vAlign w:val="center"/>
                </w:tcPr>
                <w:p w14:paraId="015EE85A">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已落实</w:t>
                  </w:r>
                </w:p>
              </w:tc>
            </w:tr>
            <w:tr w14:paraId="4AFBA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213BABA1">
                  <w:pPr>
                    <w:jc w:val="center"/>
                    <w:rPr>
                      <w:rFonts w:ascii="Times New Roman" w:hAnsiTheme="minorEastAsia" w:eastAsiaTheme="minorEastAsia"/>
                      <w:color w:val="000000" w:themeColor="text1"/>
                      <w:szCs w:val="21"/>
                    </w:rPr>
                  </w:pPr>
                </w:p>
              </w:tc>
              <w:tc>
                <w:tcPr>
                  <w:tcW w:w="795" w:type="dxa"/>
                  <w:vMerge w:val="continue"/>
                  <w:vAlign w:val="center"/>
                </w:tcPr>
                <w:p w14:paraId="31C50EF8">
                  <w:pPr>
                    <w:jc w:val="center"/>
                    <w:rPr>
                      <w:rFonts w:ascii="Times New Roman" w:hAnsiTheme="minorEastAsia" w:eastAsiaTheme="minorEastAsia"/>
                      <w:color w:val="000000" w:themeColor="text1"/>
                      <w:szCs w:val="21"/>
                    </w:rPr>
                  </w:pPr>
                </w:p>
              </w:tc>
              <w:tc>
                <w:tcPr>
                  <w:tcW w:w="1530" w:type="dxa"/>
                  <w:vAlign w:val="center"/>
                </w:tcPr>
                <w:p w14:paraId="26D1C08C">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污水处理站：共1个，处理能力为350m</w:t>
                  </w:r>
                  <w:r>
                    <w:rPr>
                      <w:rFonts w:hint="eastAsia" w:ascii="Times New Roman" w:hAnsiTheme="minorEastAsia" w:eastAsiaTheme="minorEastAsia"/>
                      <w:color w:val="000000" w:themeColor="text1"/>
                      <w:szCs w:val="21"/>
                      <w:vertAlign w:val="superscript"/>
                      <w:lang w:val="en-US" w:eastAsia="zh-CN"/>
                    </w:rPr>
                    <w:t>3</w:t>
                  </w:r>
                  <w:r>
                    <w:rPr>
                      <w:rFonts w:hint="eastAsia" w:ascii="Times New Roman" w:hAnsiTheme="minorEastAsia" w:eastAsiaTheme="minorEastAsia"/>
                      <w:color w:val="000000" w:themeColor="text1"/>
                      <w:szCs w:val="21"/>
                      <w:lang w:val="en-US" w:eastAsia="zh-CN"/>
                    </w:rPr>
                    <w:t>/d，设置于项目东南侧</w:t>
                  </w:r>
                </w:p>
              </w:tc>
              <w:tc>
                <w:tcPr>
                  <w:tcW w:w="2111" w:type="dxa"/>
                  <w:vMerge w:val="continue"/>
                  <w:vAlign w:val="center"/>
                </w:tcPr>
                <w:p w14:paraId="1BBC8F5B">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hint="eastAsia" w:ascii="Times New Roman" w:hAnsiTheme="minorEastAsia" w:eastAsiaTheme="minorEastAsia"/>
                      <w:bCs/>
                      <w:color w:val="000000" w:themeColor="text1"/>
                      <w:szCs w:val="21"/>
                      <w:lang w:val="en-US" w:eastAsia="zh-CN"/>
                    </w:rPr>
                  </w:pPr>
                </w:p>
              </w:tc>
              <w:tc>
                <w:tcPr>
                  <w:tcW w:w="1360" w:type="dxa"/>
                  <w:vAlign w:val="center"/>
                </w:tcPr>
                <w:p w14:paraId="775D5D5C">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本项目已在项目东南侧建设1个处理能力为384m</w:t>
                  </w:r>
                  <w:r>
                    <w:rPr>
                      <w:rFonts w:hint="eastAsia" w:ascii="Times New Roman" w:hAnsiTheme="minorEastAsia" w:eastAsiaTheme="minorEastAsia"/>
                      <w:bCs/>
                      <w:color w:val="000000" w:themeColor="text1"/>
                      <w:szCs w:val="21"/>
                      <w:vertAlign w:val="superscript"/>
                      <w:lang w:val="en-US" w:eastAsia="zh-CN"/>
                    </w:rPr>
                    <w:t>3</w:t>
                  </w:r>
                  <w:r>
                    <w:rPr>
                      <w:rFonts w:hint="eastAsia" w:ascii="Times New Roman" w:hAnsiTheme="minorEastAsia" w:eastAsiaTheme="minorEastAsia"/>
                      <w:bCs/>
                      <w:color w:val="000000" w:themeColor="text1"/>
                      <w:szCs w:val="21"/>
                      <w:lang w:val="en-US" w:eastAsia="zh-CN"/>
                    </w:rPr>
                    <w:t>/d的污水处理站</w:t>
                  </w:r>
                </w:p>
              </w:tc>
              <w:tc>
                <w:tcPr>
                  <w:tcW w:w="2023" w:type="dxa"/>
                  <w:vMerge w:val="continue"/>
                  <w:vAlign w:val="center"/>
                </w:tcPr>
                <w:p w14:paraId="5B48D825">
                  <w:pPr>
                    <w:jc w:val="center"/>
                    <w:rPr>
                      <w:rFonts w:hint="eastAsia" w:ascii="Times New Roman" w:hAnsi="Times New Roman" w:cs="Times New Roman"/>
                      <w:color w:val="000000" w:themeColor="text1"/>
                      <w:szCs w:val="21"/>
                      <w:lang w:val="en-US" w:eastAsia="zh-CN"/>
                    </w:rPr>
                  </w:pPr>
                </w:p>
              </w:tc>
              <w:tc>
                <w:tcPr>
                  <w:tcW w:w="675" w:type="dxa"/>
                  <w:vAlign w:val="center"/>
                </w:tcPr>
                <w:p w14:paraId="1559662A">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已落实</w:t>
                  </w:r>
                </w:p>
              </w:tc>
            </w:tr>
            <w:tr w14:paraId="5673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46A6DBAE">
                  <w:pPr>
                    <w:jc w:val="center"/>
                    <w:rPr>
                      <w:rFonts w:ascii="Times New Roman" w:hAnsi="Times New Roman" w:eastAsiaTheme="minorEastAsia"/>
                      <w:color w:val="000000" w:themeColor="text1"/>
                      <w:szCs w:val="21"/>
                    </w:rPr>
                  </w:pPr>
                </w:p>
              </w:tc>
              <w:tc>
                <w:tcPr>
                  <w:tcW w:w="795" w:type="dxa"/>
                  <w:vMerge w:val="continue"/>
                  <w:vAlign w:val="center"/>
                </w:tcPr>
                <w:p w14:paraId="1D974143">
                  <w:pPr>
                    <w:jc w:val="center"/>
                    <w:rPr>
                      <w:rFonts w:ascii="Times New Roman" w:hAnsi="Times New Roman" w:eastAsiaTheme="minorEastAsia"/>
                      <w:color w:val="000000" w:themeColor="text1"/>
                      <w:szCs w:val="21"/>
                    </w:rPr>
                  </w:pPr>
                </w:p>
              </w:tc>
              <w:tc>
                <w:tcPr>
                  <w:tcW w:w="1530" w:type="dxa"/>
                  <w:vAlign w:val="center"/>
                </w:tcPr>
                <w:p w14:paraId="599502D4">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Theme="minorEastAsia"/>
                      <w:color w:val="000000" w:themeColor="text1"/>
                      <w:kern w:val="2"/>
                      <w:sz w:val="21"/>
                      <w:szCs w:val="21"/>
                    </w:rPr>
                  </w:pPr>
                  <w:r>
                    <w:rPr>
                      <w:rFonts w:hAnsiTheme="minorEastAsia" w:eastAsiaTheme="minorEastAsia"/>
                      <w:color w:val="000000" w:themeColor="text1"/>
                      <w:kern w:val="2"/>
                      <w:sz w:val="21"/>
                      <w:szCs w:val="21"/>
                    </w:rPr>
                    <w:t>防渗监测孔：监控地下水污染</w:t>
                  </w:r>
                </w:p>
              </w:tc>
              <w:tc>
                <w:tcPr>
                  <w:tcW w:w="2111" w:type="dxa"/>
                  <w:vAlign w:val="center"/>
                </w:tcPr>
                <w:p w14:paraId="33374B67">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Theme="minorEastAsia"/>
                      <w:color w:val="000000" w:themeColor="text1"/>
                      <w:kern w:val="2"/>
                      <w:sz w:val="21"/>
                      <w:szCs w:val="21"/>
                    </w:rPr>
                  </w:pPr>
                  <w:r>
                    <w:rPr>
                      <w:rFonts w:hAnsiTheme="minorEastAsia" w:eastAsiaTheme="minorEastAsia"/>
                      <w:color w:val="000000" w:themeColor="text1"/>
                      <w:kern w:val="2"/>
                      <w:sz w:val="21"/>
                      <w:szCs w:val="21"/>
                    </w:rPr>
                    <w:t>防渗化粪池及污水处理站不靠墙四侧各埋入一个防渗</w:t>
                  </w:r>
                  <w:r>
                    <w:rPr>
                      <w:rFonts w:eastAsiaTheme="minorEastAsia"/>
                      <w:color w:val="000000" w:themeColor="text1"/>
                      <w:kern w:val="2"/>
                      <w:sz w:val="21"/>
                      <w:szCs w:val="21"/>
                    </w:rPr>
                    <w:t>PVC</w:t>
                  </w:r>
                  <w:r>
                    <w:rPr>
                      <w:rFonts w:hAnsiTheme="minorEastAsia" w:eastAsiaTheme="minorEastAsia"/>
                      <w:color w:val="000000" w:themeColor="text1"/>
                      <w:kern w:val="2"/>
                      <w:sz w:val="21"/>
                      <w:szCs w:val="21"/>
                    </w:rPr>
                    <w:t>管，共</w:t>
                  </w:r>
                  <w:r>
                    <w:rPr>
                      <w:rFonts w:eastAsiaTheme="minorEastAsia"/>
                      <w:color w:val="000000" w:themeColor="text1"/>
                      <w:kern w:val="2"/>
                      <w:sz w:val="21"/>
                      <w:szCs w:val="21"/>
                    </w:rPr>
                    <w:t>8</w:t>
                  </w:r>
                  <w:r>
                    <w:rPr>
                      <w:rFonts w:hAnsiTheme="minorEastAsia" w:eastAsiaTheme="minorEastAsia"/>
                      <w:color w:val="000000" w:themeColor="text1"/>
                      <w:kern w:val="2"/>
                      <w:sz w:val="21"/>
                      <w:szCs w:val="21"/>
                    </w:rPr>
                    <w:t>根，底端和顶端密封</w:t>
                  </w:r>
                </w:p>
              </w:tc>
              <w:tc>
                <w:tcPr>
                  <w:tcW w:w="1360" w:type="dxa"/>
                  <w:vAlign w:val="center"/>
                </w:tcPr>
                <w:p w14:paraId="1552202D">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Theme="minorEastAsia" w:eastAsiaTheme="minorEastAsia"/>
                      <w:color w:val="000000" w:themeColor="text1"/>
                      <w:kern w:val="2"/>
                      <w:sz w:val="21"/>
                      <w:szCs w:val="21"/>
                    </w:rPr>
                  </w:pPr>
                  <w:r>
                    <w:rPr>
                      <w:rFonts w:hAnsiTheme="minorEastAsia" w:eastAsiaTheme="minorEastAsia"/>
                      <w:color w:val="000000" w:themeColor="text1"/>
                      <w:kern w:val="2"/>
                      <w:sz w:val="21"/>
                      <w:szCs w:val="21"/>
                    </w:rPr>
                    <w:t>防渗监测孔：监控地下水污染</w:t>
                  </w:r>
                </w:p>
              </w:tc>
              <w:tc>
                <w:tcPr>
                  <w:tcW w:w="2023" w:type="dxa"/>
                  <w:vAlign w:val="center"/>
                </w:tcPr>
                <w:p w14:paraId="765FF6A6">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hAnsiTheme="minorEastAsia" w:eastAsiaTheme="minorEastAsia"/>
                      <w:color w:val="000000" w:themeColor="text1"/>
                      <w:kern w:val="2"/>
                      <w:sz w:val="21"/>
                      <w:szCs w:val="21"/>
                      <w:lang w:val="en-US" w:eastAsia="zh-CN"/>
                    </w:rPr>
                  </w:pPr>
                  <w:r>
                    <w:rPr>
                      <w:rFonts w:hAnsiTheme="minorEastAsia" w:eastAsiaTheme="minorEastAsia"/>
                      <w:color w:val="000000" w:themeColor="text1"/>
                      <w:kern w:val="2"/>
                      <w:sz w:val="21"/>
                      <w:szCs w:val="21"/>
                    </w:rPr>
                    <w:t>防渗化粪池及污水处理站不靠墙四侧各埋入一个防渗</w:t>
                  </w:r>
                  <w:r>
                    <w:rPr>
                      <w:rFonts w:eastAsiaTheme="minorEastAsia"/>
                      <w:color w:val="000000" w:themeColor="text1"/>
                      <w:kern w:val="2"/>
                      <w:sz w:val="21"/>
                      <w:szCs w:val="21"/>
                    </w:rPr>
                    <w:t>PVC</w:t>
                  </w:r>
                  <w:r>
                    <w:rPr>
                      <w:rFonts w:hAnsiTheme="minorEastAsia" w:eastAsiaTheme="minorEastAsia"/>
                      <w:color w:val="000000" w:themeColor="text1"/>
                      <w:kern w:val="2"/>
                      <w:sz w:val="21"/>
                      <w:szCs w:val="21"/>
                    </w:rPr>
                    <w:t>管，共</w:t>
                  </w:r>
                  <w:r>
                    <w:rPr>
                      <w:rFonts w:eastAsiaTheme="minorEastAsia"/>
                      <w:color w:val="000000" w:themeColor="text1"/>
                      <w:kern w:val="2"/>
                      <w:sz w:val="21"/>
                      <w:szCs w:val="21"/>
                    </w:rPr>
                    <w:t>8</w:t>
                  </w:r>
                  <w:r>
                    <w:rPr>
                      <w:rFonts w:hAnsiTheme="minorEastAsia" w:eastAsiaTheme="minorEastAsia"/>
                      <w:color w:val="000000" w:themeColor="text1"/>
                      <w:kern w:val="2"/>
                      <w:sz w:val="21"/>
                      <w:szCs w:val="21"/>
                    </w:rPr>
                    <w:t>根，底端和顶端密封</w:t>
                  </w:r>
                  <w:r>
                    <w:rPr>
                      <w:rFonts w:hint="eastAsia" w:hAnsiTheme="minorEastAsia" w:eastAsiaTheme="minorEastAsia"/>
                      <w:color w:val="000000" w:themeColor="text1"/>
                      <w:kern w:val="2"/>
                      <w:sz w:val="21"/>
                      <w:szCs w:val="21"/>
                      <w:lang w:eastAsia="zh-CN"/>
                    </w:rPr>
                    <w:t>。</w:t>
                  </w:r>
                  <w:r>
                    <w:rPr>
                      <w:rFonts w:hint="eastAsia" w:hAnsiTheme="minorEastAsia" w:eastAsiaTheme="minorEastAsia"/>
                      <w:color w:val="000000" w:themeColor="text1"/>
                      <w:kern w:val="2"/>
                      <w:sz w:val="21"/>
                      <w:szCs w:val="21"/>
                      <w:lang w:val="en-US" w:eastAsia="zh-CN"/>
                    </w:rPr>
                    <w:t>验收检测时未发现防渗监测孔有污水，因此化粪池及污水处理站防渗情况良好</w:t>
                  </w:r>
                </w:p>
              </w:tc>
              <w:tc>
                <w:tcPr>
                  <w:tcW w:w="675" w:type="dxa"/>
                  <w:vAlign w:val="center"/>
                </w:tcPr>
                <w:p w14:paraId="20D19DF7">
                  <w:pPr>
                    <w:pStyle w:val="20"/>
                    <w:keepNext w:val="0"/>
                    <w:keepLines w:val="0"/>
                    <w:pageBreakBefore w:val="0"/>
                    <w:kinsoku/>
                    <w:wordWrap/>
                    <w:overflowPunct/>
                    <w:topLinePunct w:val="0"/>
                    <w:autoSpaceDE/>
                    <w:autoSpaceDN/>
                    <w:bidi w:val="0"/>
                    <w:adjustRightInd/>
                    <w:snapToGrid/>
                    <w:spacing w:line="240" w:lineRule="auto"/>
                    <w:ind w:firstLine="0" w:firstLineChars="0"/>
                    <w:jc w:val="center"/>
                    <w:rPr>
                      <w:rFonts w:hAnsiTheme="minorEastAsia" w:eastAsiaTheme="minorEastAsia"/>
                      <w:color w:val="000000" w:themeColor="text1"/>
                      <w:kern w:val="2"/>
                      <w:sz w:val="21"/>
                      <w:szCs w:val="21"/>
                    </w:rPr>
                  </w:pPr>
                  <w:r>
                    <w:rPr>
                      <w:rFonts w:hint="eastAsia" w:ascii="Times New Roman" w:hAnsiTheme="minorEastAsia" w:eastAsiaTheme="minorEastAsia"/>
                      <w:bCs/>
                      <w:color w:val="000000" w:themeColor="text1"/>
                      <w:szCs w:val="21"/>
                      <w:lang w:val="en-US" w:eastAsia="zh-CN"/>
                    </w:rPr>
                    <w:t>已落实</w:t>
                  </w:r>
                </w:p>
              </w:tc>
            </w:tr>
            <w:tr w14:paraId="1114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Align w:val="center"/>
                </w:tcPr>
                <w:p w14:paraId="31ED805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大气</w:t>
                  </w:r>
                </w:p>
              </w:tc>
              <w:tc>
                <w:tcPr>
                  <w:tcW w:w="795" w:type="dxa"/>
                  <w:vAlign w:val="center"/>
                </w:tcPr>
                <w:p w14:paraId="520E39B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地下车库废气</w:t>
                  </w:r>
                </w:p>
              </w:tc>
              <w:tc>
                <w:tcPr>
                  <w:tcW w:w="1530" w:type="dxa"/>
                  <w:vAlign w:val="center"/>
                </w:tcPr>
                <w:p w14:paraId="434C114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通风系统：项目地下车库换气次数不小于</w:t>
                  </w:r>
                  <w:r>
                    <w:rPr>
                      <w:rFonts w:ascii="Times New Roman" w:hAnsi="Times New Roman" w:eastAsiaTheme="minorEastAsia"/>
                      <w:color w:val="000000" w:themeColor="text1"/>
                      <w:spacing w:val="-52"/>
                      <w:szCs w:val="21"/>
                    </w:rPr>
                    <w:t xml:space="preserve"> </w:t>
                  </w:r>
                  <w:r>
                    <w:rPr>
                      <w:rFonts w:ascii="Times New Roman" w:hAnsi="Times New Roman" w:eastAsiaTheme="minorEastAsia"/>
                      <w:color w:val="000000" w:themeColor="text1"/>
                      <w:szCs w:val="21"/>
                    </w:rPr>
                    <w:t xml:space="preserve">6 </w:t>
                  </w:r>
                  <w:r>
                    <w:rPr>
                      <w:rFonts w:ascii="Times New Roman" w:hAnsiTheme="minorEastAsia" w:eastAsiaTheme="minorEastAsia"/>
                      <w:color w:val="000000" w:themeColor="text1"/>
                      <w:szCs w:val="21"/>
                    </w:rPr>
                    <w:t>次</w:t>
                  </w:r>
                  <w:r>
                    <w:rPr>
                      <w:rFonts w:ascii="Times New Roman" w:hAnsi="Times New Roman" w:eastAsiaTheme="minorEastAsia"/>
                      <w:color w:val="000000" w:themeColor="text1"/>
                      <w:szCs w:val="21"/>
                    </w:rPr>
                    <w:t>/h</w:t>
                  </w:r>
                </w:p>
              </w:tc>
              <w:tc>
                <w:tcPr>
                  <w:tcW w:w="2111" w:type="dxa"/>
                  <w:vAlign w:val="center"/>
                </w:tcPr>
                <w:p w14:paraId="48623158">
                  <w:pPr>
                    <w:keepNext w:val="0"/>
                    <w:keepLines w:val="0"/>
                    <w:pageBreakBefore w:val="0"/>
                    <w:widowControl w:val="0"/>
                    <w:kinsoku/>
                    <w:wordWrap/>
                    <w:overflowPunct/>
                    <w:topLinePunct w:val="0"/>
                    <w:autoSpaceDE/>
                    <w:autoSpaceDN/>
                    <w:bidi w:val="0"/>
                    <w:adjustRightInd/>
                    <w:snapToGrid/>
                    <w:spacing w:before="6"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满足设计要求</w:t>
                  </w:r>
                </w:p>
              </w:tc>
              <w:tc>
                <w:tcPr>
                  <w:tcW w:w="1360" w:type="dxa"/>
                  <w:vAlign w:val="center"/>
                </w:tcPr>
                <w:p w14:paraId="0490C0E0">
                  <w:pPr>
                    <w:keepNext w:val="0"/>
                    <w:keepLines w:val="0"/>
                    <w:pageBreakBefore w:val="0"/>
                    <w:kinsoku/>
                    <w:wordWrap/>
                    <w:overflowPunct/>
                    <w:topLinePunct w:val="0"/>
                    <w:autoSpaceDE/>
                    <w:autoSpaceDN/>
                    <w:bidi w:val="0"/>
                    <w:adjustRightInd/>
                    <w:snapToGrid/>
                    <w:spacing w:line="240" w:lineRule="auto"/>
                    <w:ind w:firstLineChars="0"/>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项目已建设</w:t>
                  </w:r>
                  <w:r>
                    <w:rPr>
                      <w:rFonts w:ascii="Times New Roman" w:hAnsiTheme="minorEastAsia" w:eastAsiaTheme="minorEastAsia"/>
                      <w:color w:val="000000" w:themeColor="text1"/>
                      <w:szCs w:val="21"/>
                    </w:rPr>
                    <w:t>地下车库</w:t>
                  </w:r>
                  <w:r>
                    <w:rPr>
                      <w:rFonts w:hint="eastAsia" w:ascii="Times New Roman" w:hAnsiTheme="minorEastAsia" w:eastAsiaTheme="minorEastAsia"/>
                      <w:color w:val="000000" w:themeColor="text1"/>
                      <w:szCs w:val="21"/>
                      <w:lang w:val="en-US" w:eastAsia="zh-CN"/>
                    </w:rPr>
                    <w:t>通风系统，</w:t>
                  </w:r>
                  <w:r>
                    <w:rPr>
                      <w:rFonts w:ascii="Times New Roman" w:hAnsiTheme="minorEastAsia" w:eastAsiaTheme="minorEastAsia"/>
                      <w:color w:val="000000" w:themeColor="text1"/>
                      <w:szCs w:val="21"/>
                    </w:rPr>
                    <w:t>地下车库换气次数不小于</w:t>
                  </w:r>
                  <w:r>
                    <w:rPr>
                      <w:rFonts w:ascii="Times New Roman" w:hAnsi="Times New Roman" w:eastAsiaTheme="minorEastAsia"/>
                      <w:color w:val="000000" w:themeColor="text1"/>
                      <w:spacing w:val="-52"/>
                      <w:szCs w:val="21"/>
                    </w:rPr>
                    <w:t xml:space="preserve"> </w:t>
                  </w:r>
                  <w:r>
                    <w:rPr>
                      <w:rFonts w:ascii="Times New Roman" w:hAnsi="Times New Roman" w:eastAsiaTheme="minorEastAsia"/>
                      <w:color w:val="000000" w:themeColor="text1"/>
                      <w:szCs w:val="21"/>
                    </w:rPr>
                    <w:t xml:space="preserve">6 </w:t>
                  </w:r>
                  <w:r>
                    <w:rPr>
                      <w:rFonts w:ascii="Times New Roman" w:hAnsiTheme="minorEastAsia" w:eastAsiaTheme="minorEastAsia"/>
                      <w:color w:val="000000" w:themeColor="text1"/>
                      <w:szCs w:val="21"/>
                    </w:rPr>
                    <w:t>次</w:t>
                  </w:r>
                  <w:r>
                    <w:rPr>
                      <w:rFonts w:ascii="Times New Roman" w:hAnsi="Times New Roman" w:eastAsiaTheme="minorEastAsia"/>
                      <w:color w:val="000000" w:themeColor="text1"/>
                      <w:szCs w:val="21"/>
                    </w:rPr>
                    <w:t>/h</w:t>
                  </w:r>
                </w:p>
              </w:tc>
              <w:tc>
                <w:tcPr>
                  <w:tcW w:w="2023" w:type="dxa"/>
                  <w:vAlign w:val="center"/>
                </w:tcPr>
                <w:p w14:paraId="46E05864">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满足设计要求</w:t>
                  </w:r>
                </w:p>
              </w:tc>
              <w:tc>
                <w:tcPr>
                  <w:tcW w:w="675" w:type="dxa"/>
                  <w:vAlign w:val="center"/>
                </w:tcPr>
                <w:p w14:paraId="72DD458E">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61A1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426" w:type="dxa"/>
                  <w:vAlign w:val="center"/>
                </w:tcPr>
                <w:p w14:paraId="7BB517D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噪声</w:t>
                  </w:r>
                </w:p>
              </w:tc>
              <w:tc>
                <w:tcPr>
                  <w:tcW w:w="795" w:type="dxa"/>
                  <w:vAlign w:val="center"/>
                </w:tcPr>
                <w:p w14:paraId="0F39E0E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等效</w:t>
                  </w:r>
                  <w:r>
                    <w:rPr>
                      <w:rFonts w:ascii="Times New Roman" w:hAnsi="Times New Roman" w:eastAsiaTheme="minorEastAsia"/>
                      <w:color w:val="000000" w:themeColor="text1"/>
                      <w:szCs w:val="21"/>
                    </w:rPr>
                    <w:t>A</w:t>
                  </w:r>
                  <w:r>
                    <w:rPr>
                      <w:rFonts w:ascii="Times New Roman" w:hAnsiTheme="minorEastAsia" w:eastAsiaTheme="minorEastAsia"/>
                      <w:color w:val="000000" w:themeColor="text1"/>
                      <w:szCs w:val="21"/>
                    </w:rPr>
                    <w:t>声级</w:t>
                  </w:r>
                </w:p>
              </w:tc>
              <w:tc>
                <w:tcPr>
                  <w:tcW w:w="1530" w:type="dxa"/>
                  <w:vAlign w:val="center"/>
                </w:tcPr>
                <w:p w14:paraId="51545E86">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kern w:val="0"/>
                      <w:szCs w:val="21"/>
                    </w:rPr>
                    <w:t>制定管理制度，设置限速禁鸣标志牌</w:t>
                  </w:r>
                </w:p>
              </w:tc>
              <w:tc>
                <w:tcPr>
                  <w:tcW w:w="2111" w:type="dxa"/>
                  <w:vAlign w:val="center"/>
                </w:tcPr>
                <w:p w14:paraId="344E11BE">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符合《社会生活环境噪声排放标准》（</w:t>
                  </w:r>
                  <w:r>
                    <w:rPr>
                      <w:rFonts w:ascii="Times New Roman" w:hAnsi="Times New Roman" w:eastAsiaTheme="minorEastAsia"/>
                      <w:color w:val="000000" w:themeColor="text1"/>
                      <w:szCs w:val="21"/>
                    </w:rPr>
                    <w:t>GB22337-2008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1360" w:type="dxa"/>
                  <w:vAlign w:val="center"/>
                </w:tcPr>
                <w:p w14:paraId="1B813061">
                  <w:pPr>
                    <w:keepNext w:val="0"/>
                    <w:keepLines w:val="0"/>
                    <w:pageBreakBefore w:val="0"/>
                    <w:kinsoku/>
                    <w:wordWrap/>
                    <w:overflowPunct/>
                    <w:topLinePunct w:val="0"/>
                    <w:autoSpaceDE/>
                    <w:autoSpaceDN/>
                    <w:bidi w:val="0"/>
                    <w:adjustRightInd/>
                    <w:snapToGrid/>
                    <w:spacing w:line="240" w:lineRule="auto"/>
                    <w:ind w:firstLineChars="0"/>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项目已制定相应管理制度，已设置限速禁鸣标志牌</w:t>
                  </w:r>
                </w:p>
              </w:tc>
              <w:tc>
                <w:tcPr>
                  <w:tcW w:w="2023" w:type="dxa"/>
                  <w:vAlign w:val="center"/>
                </w:tcPr>
                <w:p w14:paraId="5C4F3DAD">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color w:val="000000" w:themeColor="text1"/>
                      <w:szCs w:val="21"/>
                      <w:lang w:val="en-US" w:eastAsia="zh-CN"/>
                    </w:rPr>
                    <w:t>符合</w:t>
                  </w:r>
                  <w:r>
                    <w:rPr>
                      <w:rFonts w:ascii="Times New Roman" w:hAnsiTheme="minorEastAsia" w:eastAsiaTheme="minorEastAsia"/>
                      <w:color w:val="000000" w:themeColor="text1"/>
                      <w:szCs w:val="21"/>
                    </w:rPr>
                    <w:t>《社会生活环境噪声排放标准》（</w:t>
                  </w:r>
                  <w:r>
                    <w:rPr>
                      <w:rFonts w:ascii="Times New Roman" w:hAnsi="Times New Roman" w:eastAsiaTheme="minorEastAsia"/>
                      <w:color w:val="000000" w:themeColor="text1"/>
                      <w:szCs w:val="21"/>
                    </w:rPr>
                    <w:t>GB22337-2008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675" w:type="dxa"/>
                  <w:vAlign w:val="center"/>
                </w:tcPr>
                <w:p w14:paraId="3B080A8D">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2E85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restart"/>
                  <w:vAlign w:val="center"/>
                </w:tcPr>
                <w:p w14:paraId="4AB5BDA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固体</w:t>
                  </w:r>
                </w:p>
                <w:p w14:paraId="400BE99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废物</w:t>
                  </w:r>
                </w:p>
              </w:tc>
              <w:tc>
                <w:tcPr>
                  <w:tcW w:w="795" w:type="dxa"/>
                  <w:vAlign w:val="center"/>
                </w:tcPr>
                <w:p w14:paraId="7D1544B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生活垃圾</w:t>
                  </w:r>
                </w:p>
              </w:tc>
              <w:tc>
                <w:tcPr>
                  <w:tcW w:w="1530" w:type="dxa"/>
                  <w:vAlign w:val="center"/>
                </w:tcPr>
                <w:p w14:paraId="7DB774BF">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在项目区合理布设</w:t>
                  </w:r>
                  <w:r>
                    <w:rPr>
                      <w:rFonts w:hint="eastAsia" w:ascii="Times New Roman" w:hAnsiTheme="minorEastAsia" w:eastAsiaTheme="minorEastAsia"/>
                      <w:color w:val="000000" w:themeColor="text1"/>
                      <w:szCs w:val="21"/>
                      <w:lang w:eastAsia="zh-CN"/>
                    </w:rPr>
                    <w:t>垃圾桶</w:t>
                  </w:r>
                  <w:r>
                    <w:rPr>
                      <w:rFonts w:ascii="Times New Roman" w:hAnsiTheme="minorEastAsia" w:eastAsiaTheme="minorEastAsia"/>
                      <w:color w:val="000000" w:themeColor="text1"/>
                      <w:szCs w:val="21"/>
                    </w:rPr>
                    <w:t>若干，统一收集后，委托腾冲市无害化垃圾处理有限责任公司给予清运、处置</w:t>
                  </w:r>
                </w:p>
              </w:tc>
              <w:tc>
                <w:tcPr>
                  <w:tcW w:w="2111" w:type="dxa"/>
                  <w:vMerge w:val="restart"/>
                  <w:vAlign w:val="center"/>
                </w:tcPr>
                <w:p w14:paraId="0DA806F6">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处置率</w:t>
                  </w:r>
                  <w:r>
                    <w:rPr>
                      <w:rFonts w:ascii="Times New Roman" w:hAnsi="Times New Roman" w:eastAsiaTheme="minorEastAsia"/>
                      <w:color w:val="000000" w:themeColor="text1"/>
                      <w:szCs w:val="21"/>
                    </w:rPr>
                    <w:t>100%</w:t>
                  </w:r>
                </w:p>
              </w:tc>
              <w:tc>
                <w:tcPr>
                  <w:tcW w:w="1360" w:type="dxa"/>
                  <w:vAlign w:val="center"/>
                </w:tcPr>
                <w:p w14:paraId="65095143">
                  <w:pPr>
                    <w:keepNext w:val="0"/>
                    <w:keepLines w:val="0"/>
                    <w:pageBreakBefore w:val="0"/>
                    <w:kinsoku/>
                    <w:wordWrap/>
                    <w:overflowPunct/>
                    <w:topLinePunct w:val="0"/>
                    <w:autoSpaceDE/>
                    <w:autoSpaceDN/>
                    <w:bidi w:val="0"/>
                    <w:adjustRightInd/>
                    <w:snapToGrid/>
                    <w:spacing w:line="240" w:lineRule="auto"/>
                    <w:ind w:firstLineChars="0"/>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已在项目区布设垃圾桶，</w:t>
                  </w:r>
                  <w:r>
                    <w:rPr>
                      <w:rFonts w:ascii="Times New Roman" w:hAnsiTheme="minorEastAsia" w:eastAsiaTheme="minorEastAsia"/>
                      <w:color w:val="000000" w:themeColor="text1"/>
                      <w:szCs w:val="21"/>
                    </w:rPr>
                    <w:t>统一收集后，委托腾冲市无害化垃圾处理有限责任公司给予清运、处置</w:t>
                  </w:r>
                </w:p>
              </w:tc>
              <w:tc>
                <w:tcPr>
                  <w:tcW w:w="2023" w:type="dxa"/>
                  <w:vMerge w:val="restart"/>
                  <w:vAlign w:val="center"/>
                </w:tcPr>
                <w:p w14:paraId="1139322A">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处置率</w:t>
                  </w:r>
                  <w:r>
                    <w:rPr>
                      <w:rFonts w:ascii="Times New Roman" w:hAnsi="Times New Roman" w:eastAsiaTheme="minorEastAsia"/>
                      <w:color w:val="000000" w:themeColor="text1"/>
                      <w:szCs w:val="21"/>
                    </w:rPr>
                    <w:t>100%</w:t>
                  </w:r>
                </w:p>
              </w:tc>
              <w:tc>
                <w:tcPr>
                  <w:tcW w:w="675" w:type="dxa"/>
                  <w:vAlign w:val="center"/>
                </w:tcPr>
                <w:p w14:paraId="1FEB9320">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7524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79E0B10C">
                  <w:pPr>
                    <w:jc w:val="center"/>
                    <w:rPr>
                      <w:rFonts w:ascii="Times New Roman" w:hAnsi="Times New Roman" w:eastAsiaTheme="minorEastAsia"/>
                      <w:color w:val="000000" w:themeColor="text1"/>
                      <w:szCs w:val="21"/>
                    </w:rPr>
                  </w:pPr>
                </w:p>
              </w:tc>
              <w:tc>
                <w:tcPr>
                  <w:tcW w:w="795" w:type="dxa"/>
                  <w:vAlign w:val="center"/>
                </w:tcPr>
                <w:p w14:paraId="1480D3CE">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化粪池及污水处理站污泥</w:t>
                  </w:r>
                </w:p>
              </w:tc>
              <w:tc>
                <w:tcPr>
                  <w:tcW w:w="1530" w:type="dxa"/>
                  <w:vAlign w:val="center"/>
                </w:tcPr>
                <w:p w14:paraId="63AF9DDF">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定期清掏委托腾冲市无害化垃圾处理有限责任公司给予清运、处置</w:t>
                  </w:r>
                </w:p>
              </w:tc>
              <w:tc>
                <w:tcPr>
                  <w:tcW w:w="2111" w:type="dxa"/>
                  <w:vMerge w:val="continue"/>
                  <w:vAlign w:val="center"/>
                </w:tcPr>
                <w:p w14:paraId="241CF2ED">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p>
              </w:tc>
              <w:tc>
                <w:tcPr>
                  <w:tcW w:w="1360" w:type="dxa"/>
                  <w:vAlign w:val="center"/>
                </w:tcPr>
                <w:p w14:paraId="18635017">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imes New Roman" w:eastAsiaTheme="minorEastAsia"/>
                      <w:color w:val="000000" w:themeColor="text1"/>
                      <w:szCs w:val="21"/>
                    </w:rPr>
                  </w:pPr>
                  <w:r>
                    <w:rPr>
                      <w:rFonts w:hint="eastAsia" w:ascii="Times New Roman" w:hAnsiTheme="minorEastAsia" w:eastAsiaTheme="minorEastAsia"/>
                      <w:color w:val="000000" w:themeColor="text1"/>
                      <w:szCs w:val="21"/>
                      <w:lang w:val="en-US" w:eastAsia="zh-CN"/>
                    </w:rPr>
                    <w:t>已</w:t>
                  </w:r>
                  <w:r>
                    <w:rPr>
                      <w:rFonts w:ascii="Times New Roman" w:hAnsiTheme="minorEastAsia" w:eastAsiaTheme="minorEastAsia"/>
                      <w:color w:val="000000" w:themeColor="text1"/>
                      <w:szCs w:val="21"/>
                    </w:rPr>
                    <w:t>定期清掏委托腾冲市无害化垃圾处理有限责任公司给予清运、处置</w:t>
                  </w:r>
                </w:p>
              </w:tc>
              <w:tc>
                <w:tcPr>
                  <w:tcW w:w="2023" w:type="dxa"/>
                  <w:vMerge w:val="continue"/>
                  <w:vAlign w:val="center"/>
                </w:tcPr>
                <w:p w14:paraId="1847C0F6">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imes New Roman" w:eastAsiaTheme="minorEastAsia"/>
                      <w:color w:val="000000" w:themeColor="text1"/>
                      <w:szCs w:val="21"/>
                    </w:rPr>
                  </w:pPr>
                </w:p>
              </w:tc>
              <w:tc>
                <w:tcPr>
                  <w:tcW w:w="675" w:type="dxa"/>
                  <w:vAlign w:val="center"/>
                </w:tcPr>
                <w:p w14:paraId="6BA54ADC">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imes New Roman"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5045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Align w:val="center"/>
                </w:tcPr>
                <w:p w14:paraId="1EDCDCE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绿化</w:t>
                  </w:r>
                </w:p>
              </w:tc>
              <w:tc>
                <w:tcPr>
                  <w:tcW w:w="1530" w:type="dxa"/>
                  <w:vAlign w:val="center"/>
                </w:tcPr>
                <w:p w14:paraId="189E3476">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bCs/>
                      <w:color w:val="000000" w:themeColor="text1"/>
                      <w:kern w:val="0"/>
                      <w:szCs w:val="21"/>
                    </w:rPr>
                  </w:pPr>
                  <w:r>
                    <w:rPr>
                      <w:rFonts w:ascii="Times New Roman" w:hAnsiTheme="minorEastAsia" w:eastAsiaTheme="minorEastAsia"/>
                      <w:color w:val="000000" w:themeColor="text1"/>
                      <w:szCs w:val="21"/>
                    </w:rPr>
                    <w:t>绿地面积达</w:t>
                  </w:r>
                  <w:r>
                    <w:rPr>
                      <w:rFonts w:ascii="Times New Roman" w:hAnsi="Times New Roman" w:eastAsiaTheme="minorEastAsia"/>
                      <w:color w:val="000000" w:themeColor="text1"/>
                      <w:szCs w:val="21"/>
                    </w:rPr>
                    <w:t>4864.21m</w:t>
                  </w:r>
                  <w:r>
                    <w:rPr>
                      <w:rFonts w:ascii="Times New Roman" w:hAnsi="Times New Roman" w:eastAsiaTheme="minorEastAsia"/>
                      <w:color w:val="000000" w:themeColor="text1"/>
                      <w:szCs w:val="21"/>
                      <w:vertAlign w:val="superscript"/>
                    </w:rPr>
                    <w:t>2</w:t>
                  </w:r>
                </w:p>
              </w:tc>
              <w:tc>
                <w:tcPr>
                  <w:tcW w:w="2111" w:type="dxa"/>
                  <w:vAlign w:val="center"/>
                </w:tcPr>
                <w:p w14:paraId="36010353">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kern w:val="0"/>
                      <w:szCs w:val="21"/>
                    </w:rPr>
                    <w:t>绿地率为</w:t>
                  </w:r>
                  <w:r>
                    <w:rPr>
                      <w:rFonts w:ascii="Times New Roman" w:hAnsi="Times New Roman" w:eastAsiaTheme="minorEastAsia"/>
                      <w:color w:val="000000" w:themeColor="text1"/>
                      <w:kern w:val="0"/>
                      <w:szCs w:val="21"/>
                    </w:rPr>
                    <w:t>35%</w:t>
                  </w:r>
                </w:p>
              </w:tc>
              <w:tc>
                <w:tcPr>
                  <w:tcW w:w="1360" w:type="dxa"/>
                  <w:vAlign w:val="center"/>
                </w:tcPr>
                <w:p w14:paraId="42F84C11">
                  <w:pPr>
                    <w:keepNext w:val="0"/>
                    <w:keepLines w:val="0"/>
                    <w:pageBreakBefore w:val="0"/>
                    <w:kinsoku/>
                    <w:wordWrap/>
                    <w:overflowPunct/>
                    <w:topLinePunct w:val="0"/>
                    <w:autoSpaceDE/>
                    <w:autoSpaceDN/>
                    <w:bidi w:val="0"/>
                    <w:adjustRightInd/>
                    <w:snapToGrid/>
                    <w:spacing w:line="240" w:lineRule="auto"/>
                    <w:ind w:firstLineChars="0"/>
                    <w:jc w:val="center"/>
                    <w:rPr>
                      <w:rFonts w:hint="default" w:ascii="Times New Roman" w:hAnsiTheme="minorEastAsia" w:eastAsiaTheme="minorEastAsia"/>
                      <w:color w:val="000000" w:themeColor="text1"/>
                      <w:kern w:val="0"/>
                      <w:szCs w:val="21"/>
                      <w:lang w:val="en-US" w:eastAsia="zh-CN"/>
                    </w:rPr>
                  </w:pPr>
                  <w:r>
                    <w:rPr>
                      <w:rFonts w:hint="eastAsia" w:ascii="Times New Roman" w:hAnsiTheme="minorEastAsia" w:eastAsiaTheme="minorEastAsia"/>
                      <w:color w:val="000000" w:themeColor="text1"/>
                      <w:kern w:val="0"/>
                      <w:szCs w:val="21"/>
                      <w:lang w:val="en-US" w:eastAsia="zh-CN"/>
                    </w:rPr>
                    <w:t>绿地面积达5004m</w:t>
                  </w:r>
                  <w:r>
                    <w:rPr>
                      <w:rFonts w:hint="eastAsia" w:ascii="Times New Roman" w:hAnsiTheme="minorEastAsia" w:eastAsiaTheme="minorEastAsia"/>
                      <w:color w:val="000000" w:themeColor="text1"/>
                      <w:kern w:val="0"/>
                      <w:szCs w:val="21"/>
                      <w:vertAlign w:val="superscript"/>
                      <w:lang w:val="en-US" w:eastAsia="zh-CN"/>
                    </w:rPr>
                    <w:t>2</w:t>
                  </w:r>
                </w:p>
              </w:tc>
              <w:tc>
                <w:tcPr>
                  <w:tcW w:w="2023" w:type="dxa"/>
                  <w:vAlign w:val="center"/>
                </w:tcPr>
                <w:p w14:paraId="1BCB8028">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kern w:val="0"/>
                      <w:szCs w:val="21"/>
                    </w:rPr>
                  </w:pPr>
                  <w:r>
                    <w:rPr>
                      <w:rFonts w:ascii="Times New Roman" w:hAnsiTheme="minorEastAsia" w:eastAsiaTheme="minorEastAsia"/>
                      <w:color w:val="000000" w:themeColor="text1"/>
                      <w:kern w:val="0"/>
                      <w:szCs w:val="21"/>
                    </w:rPr>
                    <w:t>绿地率为</w:t>
                  </w:r>
                  <w:r>
                    <w:rPr>
                      <w:rFonts w:ascii="Times New Roman" w:hAnsi="Times New Roman" w:eastAsiaTheme="minorEastAsia"/>
                      <w:color w:val="000000" w:themeColor="text1"/>
                      <w:kern w:val="0"/>
                      <w:szCs w:val="21"/>
                    </w:rPr>
                    <w:t>3</w:t>
                  </w:r>
                  <w:r>
                    <w:rPr>
                      <w:rFonts w:hint="eastAsia" w:ascii="Times New Roman" w:hAnsi="Times New Roman" w:eastAsiaTheme="minorEastAsia"/>
                      <w:color w:val="000000" w:themeColor="text1"/>
                      <w:kern w:val="0"/>
                      <w:szCs w:val="21"/>
                      <w:lang w:val="en-US" w:eastAsia="zh-CN"/>
                    </w:rPr>
                    <w:t>6</w:t>
                  </w:r>
                  <w:r>
                    <w:rPr>
                      <w:rFonts w:ascii="Times New Roman" w:hAnsi="Times New Roman" w:eastAsiaTheme="minorEastAsia"/>
                      <w:color w:val="000000" w:themeColor="text1"/>
                      <w:kern w:val="0"/>
                      <w:szCs w:val="21"/>
                    </w:rPr>
                    <w:t>%</w:t>
                  </w:r>
                </w:p>
              </w:tc>
              <w:tc>
                <w:tcPr>
                  <w:tcW w:w="675" w:type="dxa"/>
                  <w:vAlign w:val="center"/>
                </w:tcPr>
                <w:p w14:paraId="103B4C0C">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kern w:val="0"/>
                      <w:szCs w:val="21"/>
                    </w:rPr>
                  </w:pPr>
                  <w:r>
                    <w:rPr>
                      <w:rFonts w:hint="eastAsia" w:ascii="Times New Roman" w:hAnsiTheme="minorEastAsia" w:eastAsiaTheme="minorEastAsia"/>
                      <w:bCs/>
                      <w:color w:val="000000" w:themeColor="text1"/>
                      <w:szCs w:val="21"/>
                      <w:lang w:val="en-US" w:eastAsia="zh-CN"/>
                    </w:rPr>
                    <w:t>已落实</w:t>
                  </w:r>
                </w:p>
              </w:tc>
            </w:tr>
            <w:tr w14:paraId="4C483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Align w:val="center"/>
                </w:tcPr>
                <w:p w14:paraId="0F70D17F">
                  <w:pPr>
                    <w:jc w:val="center"/>
                    <w:rPr>
                      <w:rFonts w:ascii="Times New Roman" w:hAnsi="Times New Roman" w:eastAsiaTheme="minorEastAsia"/>
                      <w:color w:val="000000" w:themeColor="text1"/>
                      <w:spacing w:val="-2"/>
                      <w:szCs w:val="21"/>
                    </w:rPr>
                  </w:pPr>
                  <w:r>
                    <w:rPr>
                      <w:rFonts w:ascii="Times New Roman" w:hAnsiTheme="minorEastAsia" w:eastAsiaTheme="minorEastAsia"/>
                      <w:color w:val="000000" w:themeColor="text1"/>
                      <w:szCs w:val="21"/>
                    </w:rPr>
                    <w:t>环境管理</w:t>
                  </w:r>
                </w:p>
              </w:tc>
              <w:tc>
                <w:tcPr>
                  <w:tcW w:w="7024" w:type="dxa"/>
                  <w:gridSpan w:val="4"/>
                  <w:vAlign w:val="center"/>
                </w:tcPr>
                <w:p w14:paraId="5A8CFB60">
                  <w:pP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、加强环保设备设施的日常维护及监控工作，保障环保设施的处理效率。</w:t>
                  </w:r>
                </w:p>
                <w:p w14:paraId="08AB9168">
                  <w:pPr>
                    <w:widowControl/>
                    <w:textAlignment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w:t>
                  </w:r>
                  <w:r>
                    <w:rPr>
                      <w:rFonts w:ascii="Times New Roman" w:hAnsiTheme="minorEastAsia" w:eastAsiaTheme="minorEastAsia"/>
                      <w:bCs/>
                      <w:color w:val="000000" w:themeColor="text1"/>
                      <w:szCs w:val="21"/>
                    </w:rPr>
                    <w:t>、建立、健全环保规章制度。</w:t>
                  </w:r>
                </w:p>
                <w:p w14:paraId="7FBEAB34">
                  <w:pPr>
                    <w:keepNext w:val="0"/>
                    <w:keepLines w:val="0"/>
                    <w:pageBreakBefore w:val="0"/>
                    <w:widowControl/>
                    <w:kinsoku/>
                    <w:wordWrap/>
                    <w:overflowPunct/>
                    <w:topLinePunct w:val="0"/>
                    <w:autoSpaceDE/>
                    <w:autoSpaceDN/>
                    <w:bidi w:val="0"/>
                    <w:adjustRightInd/>
                    <w:snapToGrid/>
                    <w:spacing w:line="240" w:lineRule="auto"/>
                    <w:ind w:firstLineChars="0"/>
                    <w:jc w:val="left"/>
                    <w:textAlignment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w:t>
                  </w:r>
                  <w:r>
                    <w:rPr>
                      <w:rFonts w:ascii="Times New Roman" w:hAnsiTheme="minorEastAsia" w:eastAsiaTheme="minorEastAsia"/>
                      <w:bCs/>
                      <w:color w:val="000000" w:themeColor="text1"/>
                      <w:szCs w:val="21"/>
                    </w:rPr>
                    <w:t>、编制突发环境事件应急预案。</w:t>
                  </w:r>
                </w:p>
              </w:tc>
              <w:tc>
                <w:tcPr>
                  <w:tcW w:w="675" w:type="dxa"/>
                  <w:vAlign w:val="center"/>
                </w:tcPr>
                <w:p w14:paraId="180A6315">
                  <w:pPr>
                    <w:keepNext w:val="0"/>
                    <w:keepLines w:val="0"/>
                    <w:pageBreakBefore w:val="0"/>
                    <w:widowControl/>
                    <w:kinsoku/>
                    <w:wordWrap/>
                    <w:overflowPunct/>
                    <w:topLinePunct w:val="0"/>
                    <w:autoSpaceDE/>
                    <w:autoSpaceDN/>
                    <w:bidi w:val="0"/>
                    <w:adjustRightInd/>
                    <w:snapToGrid/>
                    <w:spacing w:line="240" w:lineRule="auto"/>
                    <w:ind w:firstLineChars="0"/>
                    <w:jc w:val="center"/>
                    <w:textAlignment w:val="center"/>
                    <w:rPr>
                      <w:rFonts w:ascii="Times New Roman" w:hAnsi="Times New Roman" w:eastAsiaTheme="minorEastAsia"/>
                      <w:bCs/>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bl>
          <w:p w14:paraId="035A037F">
            <w:pPr>
              <w:spacing w:line="360" w:lineRule="auto"/>
              <w:ind w:firstLine="480" w:firstLineChars="200"/>
              <w:rPr>
                <w:rFonts w:ascii="Times New Roman" w:hAnsi="Times New Roman"/>
                <w:color w:val="000000" w:themeColor="text1"/>
                <w:sz w:val="24"/>
              </w:rPr>
            </w:pPr>
            <w:r>
              <w:rPr>
                <w:rFonts w:ascii="Times New Roman" w:hAnsi="Times New Roman"/>
                <w:color w:val="000000" w:themeColor="text1"/>
                <w:sz w:val="24"/>
              </w:rPr>
              <w:t>根据表4-3，对照</w:t>
            </w:r>
            <w:r>
              <w:rPr>
                <w:rFonts w:hint="eastAsia" w:ascii="Times New Roman" w:hAnsi="Times New Roman" w:cs="Times New Roman"/>
                <w:color w:val="000000" w:themeColor="text1"/>
                <w:sz w:val="24"/>
                <w:szCs w:val="28"/>
                <w:lang w:val="en-US" w:eastAsia="zh-CN"/>
              </w:rPr>
              <w:t>环境影响报告表中的</w:t>
            </w:r>
            <w:r>
              <w:rPr>
                <w:rFonts w:ascii="Times New Roman" w:hAnsi="Times New Roman"/>
                <w:color w:val="000000" w:themeColor="text1"/>
                <w:sz w:val="24"/>
              </w:rPr>
              <w:t>竣工环境保护验收的要求</w:t>
            </w:r>
            <w:r>
              <w:rPr>
                <w:rFonts w:ascii="Times New Roman" w:hAnsi="Times New Roman"/>
                <w:color w:val="000000" w:themeColor="text1"/>
                <w:sz w:val="24"/>
                <w:szCs w:val="28"/>
              </w:rPr>
              <w:t>，</w:t>
            </w:r>
            <w:r>
              <w:rPr>
                <w:rFonts w:ascii="Times New Roman" w:hAnsi="Times New Roman"/>
                <w:bCs/>
                <w:color w:val="000000" w:themeColor="text1"/>
                <w:sz w:val="24"/>
              </w:rPr>
              <w:t>本</w:t>
            </w:r>
            <w:r>
              <w:rPr>
                <w:rFonts w:hint="eastAsia" w:ascii="Times New Roman" w:hAnsi="Times New Roman"/>
                <w:bCs/>
                <w:color w:val="000000" w:themeColor="text1"/>
                <w:sz w:val="24"/>
                <w:lang w:val="en-US" w:eastAsia="zh-CN"/>
              </w:rPr>
              <w:t>项目</w:t>
            </w:r>
            <w:r>
              <w:rPr>
                <w:rFonts w:ascii="Times New Roman" w:hAnsi="Times New Roman"/>
                <w:color w:val="000000" w:themeColor="text1"/>
                <w:sz w:val="24"/>
                <w:szCs w:val="28"/>
              </w:rPr>
              <w:t>已按</w:t>
            </w:r>
            <w:r>
              <w:rPr>
                <w:rFonts w:hint="eastAsia" w:ascii="Times New Roman" w:hAnsi="Times New Roman" w:cs="Times New Roman"/>
                <w:color w:val="000000" w:themeColor="text1"/>
                <w:sz w:val="24"/>
                <w:szCs w:val="28"/>
                <w:lang w:val="en-US" w:eastAsia="zh-CN"/>
              </w:rPr>
              <w:t>环境影响报告表中的</w:t>
            </w:r>
            <w:r>
              <w:rPr>
                <w:rFonts w:ascii="Times New Roman" w:hAnsi="Times New Roman"/>
                <w:color w:val="000000" w:themeColor="text1"/>
                <w:sz w:val="24"/>
              </w:rPr>
              <w:t>竣工环境保护验收的要求</w:t>
            </w:r>
            <w:r>
              <w:rPr>
                <w:rFonts w:ascii="Times New Roman" w:hAnsi="Times New Roman"/>
                <w:color w:val="000000" w:themeColor="text1"/>
                <w:sz w:val="24"/>
                <w:szCs w:val="28"/>
              </w:rPr>
              <w:t>进行设计及运行，满足</w:t>
            </w:r>
            <w:r>
              <w:rPr>
                <w:rFonts w:hint="eastAsia" w:ascii="Times New Roman" w:hAnsi="Times New Roman" w:cs="Times New Roman"/>
                <w:color w:val="000000" w:themeColor="text1"/>
                <w:sz w:val="24"/>
                <w:szCs w:val="28"/>
                <w:lang w:val="en-US" w:eastAsia="zh-CN"/>
              </w:rPr>
              <w:t>环境影响报告表</w:t>
            </w:r>
            <w:r>
              <w:rPr>
                <w:rFonts w:ascii="Times New Roman" w:hAnsi="Times New Roman"/>
                <w:color w:val="000000" w:themeColor="text1"/>
                <w:sz w:val="24"/>
                <w:szCs w:val="28"/>
              </w:rPr>
              <w:t>提出的</w:t>
            </w:r>
            <w:r>
              <w:rPr>
                <w:rFonts w:ascii="Times New Roman" w:hAnsi="Times New Roman"/>
                <w:color w:val="000000" w:themeColor="text1"/>
                <w:sz w:val="24"/>
              </w:rPr>
              <w:t>竣工环境保护验收的要求。</w:t>
            </w:r>
          </w:p>
          <w:p w14:paraId="02D6A1B4">
            <w:pPr>
              <w:spacing w:line="360" w:lineRule="auto"/>
              <w:rPr>
                <w:rFonts w:hint="default" w:ascii="Times New Roman" w:hAnsi="Times New Roman" w:cs="Times New Roman"/>
                <w:color w:val="000000" w:themeColor="text1"/>
                <w:sz w:val="24"/>
                <w:szCs w:val="28"/>
              </w:rPr>
            </w:pPr>
          </w:p>
          <w:p w14:paraId="7C241332">
            <w:pPr>
              <w:spacing w:line="360" w:lineRule="auto"/>
              <w:rPr>
                <w:rFonts w:hint="default" w:ascii="Times New Roman" w:hAnsi="Times New Roman" w:cs="Times New Roman"/>
                <w:color w:val="000000" w:themeColor="text1"/>
                <w:sz w:val="24"/>
                <w:szCs w:val="28"/>
              </w:rPr>
            </w:pPr>
          </w:p>
          <w:p w14:paraId="77345114">
            <w:pPr>
              <w:spacing w:line="360" w:lineRule="auto"/>
              <w:rPr>
                <w:rFonts w:hint="default" w:ascii="Times New Roman" w:hAnsi="Times New Roman" w:cs="Times New Roman"/>
                <w:color w:val="000000" w:themeColor="text1"/>
                <w:sz w:val="24"/>
                <w:szCs w:val="28"/>
              </w:rPr>
            </w:pPr>
          </w:p>
          <w:p w14:paraId="0EFFB7CA">
            <w:pPr>
              <w:spacing w:line="360" w:lineRule="auto"/>
              <w:rPr>
                <w:rFonts w:hint="default" w:ascii="Times New Roman" w:hAnsi="Times New Roman" w:cs="Times New Roman"/>
                <w:color w:val="000000" w:themeColor="text1"/>
                <w:sz w:val="24"/>
                <w:szCs w:val="28"/>
              </w:rPr>
            </w:pPr>
          </w:p>
          <w:p w14:paraId="3FEE0E9B">
            <w:pPr>
              <w:spacing w:line="360" w:lineRule="auto"/>
              <w:rPr>
                <w:rFonts w:hint="default" w:ascii="Times New Roman" w:hAnsi="Times New Roman" w:cs="Times New Roman"/>
                <w:color w:val="000000" w:themeColor="text1"/>
                <w:sz w:val="24"/>
                <w:szCs w:val="28"/>
              </w:rPr>
            </w:pPr>
          </w:p>
          <w:p w14:paraId="2A1C046B">
            <w:pPr>
              <w:spacing w:line="360" w:lineRule="auto"/>
              <w:rPr>
                <w:rFonts w:hint="default" w:ascii="Times New Roman" w:hAnsi="Times New Roman" w:cs="Times New Roman"/>
                <w:color w:val="000000" w:themeColor="text1"/>
                <w:sz w:val="24"/>
                <w:szCs w:val="28"/>
              </w:rPr>
            </w:pPr>
          </w:p>
          <w:p w14:paraId="7F64924D">
            <w:pPr>
              <w:spacing w:line="360" w:lineRule="auto"/>
              <w:rPr>
                <w:rFonts w:hint="default" w:ascii="Times New Roman" w:hAnsi="Times New Roman" w:cs="Times New Roman"/>
                <w:color w:val="000000" w:themeColor="text1"/>
                <w:sz w:val="24"/>
                <w:szCs w:val="28"/>
              </w:rPr>
            </w:pPr>
          </w:p>
          <w:p w14:paraId="76A5DC4B">
            <w:pPr>
              <w:spacing w:line="360" w:lineRule="auto"/>
              <w:rPr>
                <w:rFonts w:hint="default" w:ascii="Times New Roman" w:hAnsi="Times New Roman" w:cs="Times New Roman"/>
                <w:color w:val="000000" w:themeColor="text1"/>
                <w:sz w:val="24"/>
                <w:szCs w:val="28"/>
              </w:rPr>
            </w:pPr>
          </w:p>
          <w:p w14:paraId="70D7284F">
            <w:pPr>
              <w:spacing w:line="360" w:lineRule="auto"/>
              <w:rPr>
                <w:rFonts w:hint="default" w:ascii="Times New Roman" w:hAnsi="Times New Roman" w:cs="Times New Roman"/>
                <w:color w:val="000000" w:themeColor="text1"/>
                <w:sz w:val="24"/>
                <w:szCs w:val="28"/>
              </w:rPr>
            </w:pPr>
          </w:p>
          <w:p w14:paraId="5C8AFB07">
            <w:pPr>
              <w:spacing w:line="360" w:lineRule="auto"/>
              <w:rPr>
                <w:rFonts w:hint="default" w:ascii="Times New Roman" w:hAnsi="Times New Roman" w:cs="Times New Roman"/>
                <w:color w:val="000000" w:themeColor="text1"/>
                <w:sz w:val="24"/>
                <w:szCs w:val="28"/>
              </w:rPr>
            </w:pPr>
          </w:p>
          <w:p w14:paraId="64667005">
            <w:pPr>
              <w:spacing w:line="360" w:lineRule="auto"/>
              <w:rPr>
                <w:rFonts w:hint="default" w:ascii="Times New Roman" w:hAnsi="Times New Roman" w:cs="Times New Roman"/>
                <w:color w:val="000000" w:themeColor="text1"/>
                <w:sz w:val="24"/>
                <w:szCs w:val="28"/>
              </w:rPr>
            </w:pPr>
          </w:p>
          <w:p w14:paraId="4C02F606">
            <w:pPr>
              <w:spacing w:line="360" w:lineRule="auto"/>
              <w:rPr>
                <w:rFonts w:hint="default" w:ascii="Times New Roman" w:hAnsi="Times New Roman" w:cs="Times New Roman"/>
                <w:color w:val="000000" w:themeColor="text1"/>
                <w:sz w:val="24"/>
                <w:szCs w:val="28"/>
              </w:rPr>
            </w:pPr>
          </w:p>
          <w:p w14:paraId="7FA92269">
            <w:pPr>
              <w:spacing w:line="360" w:lineRule="auto"/>
              <w:rPr>
                <w:rFonts w:hint="default" w:ascii="Times New Roman" w:hAnsi="Times New Roman" w:cs="Times New Roman"/>
                <w:color w:val="000000" w:themeColor="text1"/>
                <w:sz w:val="24"/>
                <w:szCs w:val="28"/>
              </w:rPr>
            </w:pPr>
          </w:p>
          <w:p w14:paraId="6DD372B8">
            <w:pPr>
              <w:spacing w:line="360" w:lineRule="auto"/>
              <w:rPr>
                <w:rFonts w:hint="default" w:ascii="Times New Roman" w:hAnsi="Times New Roman" w:cs="Times New Roman"/>
                <w:color w:val="000000" w:themeColor="text1"/>
                <w:sz w:val="24"/>
                <w:szCs w:val="28"/>
              </w:rPr>
            </w:pPr>
          </w:p>
          <w:p w14:paraId="723ECBEE">
            <w:pPr>
              <w:spacing w:line="360" w:lineRule="auto"/>
              <w:rPr>
                <w:rFonts w:hint="default" w:ascii="Times New Roman" w:hAnsi="Times New Roman" w:cs="Times New Roman"/>
                <w:color w:val="000000" w:themeColor="text1"/>
                <w:sz w:val="24"/>
                <w:szCs w:val="28"/>
              </w:rPr>
            </w:pPr>
          </w:p>
          <w:p w14:paraId="4B1FAB6A">
            <w:pPr>
              <w:spacing w:line="360" w:lineRule="auto"/>
              <w:rPr>
                <w:rFonts w:hint="default" w:ascii="Times New Roman" w:hAnsi="Times New Roman" w:cs="Times New Roman"/>
                <w:color w:val="000000" w:themeColor="text1"/>
                <w:sz w:val="24"/>
                <w:szCs w:val="28"/>
              </w:rPr>
            </w:pPr>
          </w:p>
          <w:p w14:paraId="59352916">
            <w:pPr>
              <w:spacing w:line="360" w:lineRule="auto"/>
              <w:rPr>
                <w:rFonts w:hint="default" w:ascii="Times New Roman" w:hAnsi="Times New Roman" w:cs="Times New Roman"/>
                <w:color w:val="000000" w:themeColor="text1"/>
                <w:sz w:val="24"/>
                <w:szCs w:val="28"/>
              </w:rPr>
            </w:pPr>
          </w:p>
          <w:p w14:paraId="662EBBAD">
            <w:pPr>
              <w:spacing w:line="360" w:lineRule="auto"/>
              <w:rPr>
                <w:rFonts w:hint="default" w:ascii="Times New Roman" w:hAnsi="Times New Roman" w:cs="Times New Roman"/>
                <w:color w:val="000000" w:themeColor="text1"/>
                <w:sz w:val="24"/>
                <w:szCs w:val="28"/>
              </w:rPr>
            </w:pPr>
          </w:p>
          <w:p w14:paraId="00204D3D">
            <w:pPr>
              <w:spacing w:line="360" w:lineRule="auto"/>
              <w:rPr>
                <w:rFonts w:hint="default" w:ascii="Times New Roman" w:hAnsi="Times New Roman" w:cs="Times New Roman"/>
                <w:color w:val="000000" w:themeColor="text1"/>
                <w:sz w:val="24"/>
                <w:szCs w:val="28"/>
              </w:rPr>
            </w:pPr>
          </w:p>
          <w:p w14:paraId="27D27F3E">
            <w:pPr>
              <w:spacing w:line="360" w:lineRule="auto"/>
              <w:rPr>
                <w:rFonts w:hint="default" w:ascii="Times New Roman" w:hAnsi="Times New Roman" w:cs="Times New Roman"/>
                <w:color w:val="000000" w:themeColor="text1"/>
                <w:sz w:val="24"/>
                <w:szCs w:val="28"/>
              </w:rPr>
            </w:pPr>
          </w:p>
          <w:p w14:paraId="6D2D2D0C">
            <w:pPr>
              <w:spacing w:line="360" w:lineRule="auto"/>
              <w:rPr>
                <w:rFonts w:hint="default" w:ascii="Times New Roman" w:hAnsi="Times New Roman" w:cs="Times New Roman"/>
                <w:color w:val="000000" w:themeColor="text1"/>
                <w:sz w:val="24"/>
                <w:szCs w:val="28"/>
              </w:rPr>
            </w:pPr>
          </w:p>
          <w:p w14:paraId="49F71D8C">
            <w:pPr>
              <w:spacing w:line="360" w:lineRule="auto"/>
              <w:rPr>
                <w:rFonts w:hint="default" w:ascii="Times New Roman" w:hAnsi="Times New Roman" w:cs="Times New Roman"/>
                <w:color w:val="000000" w:themeColor="text1"/>
                <w:sz w:val="24"/>
                <w:szCs w:val="28"/>
              </w:rPr>
            </w:pPr>
          </w:p>
          <w:p w14:paraId="2C5707B4">
            <w:pPr>
              <w:spacing w:line="360" w:lineRule="auto"/>
              <w:rPr>
                <w:rFonts w:hint="default" w:ascii="Times New Roman" w:hAnsi="Times New Roman" w:cs="Times New Roman"/>
                <w:color w:val="000000" w:themeColor="text1"/>
                <w:sz w:val="24"/>
                <w:szCs w:val="28"/>
              </w:rPr>
            </w:pPr>
          </w:p>
          <w:p w14:paraId="463DD5BB">
            <w:pPr>
              <w:spacing w:line="360" w:lineRule="auto"/>
              <w:rPr>
                <w:rFonts w:hint="default" w:ascii="Times New Roman" w:hAnsi="Times New Roman" w:cs="Times New Roman"/>
                <w:color w:val="000000" w:themeColor="text1"/>
                <w:sz w:val="24"/>
                <w:szCs w:val="28"/>
              </w:rPr>
            </w:pPr>
          </w:p>
          <w:p w14:paraId="5DFF46BB">
            <w:pPr>
              <w:pStyle w:val="3"/>
              <w:numPr>
                <w:ilvl w:val="1"/>
                <w:numId w:val="0"/>
              </w:numPr>
              <w:rPr>
                <w:rFonts w:hint="default"/>
                <w:color w:val="000000" w:themeColor="text1"/>
              </w:rPr>
            </w:pPr>
          </w:p>
        </w:tc>
      </w:tr>
    </w:tbl>
    <w:p w14:paraId="07B45888">
      <w:pPr>
        <w:spacing w:line="360" w:lineRule="auto"/>
        <w:outlineLvl w:val="0"/>
        <w:rPr>
          <w:rFonts w:hint="default" w:ascii="Times New Roman" w:hAnsi="Times New Roman" w:cs="Times New Roman"/>
          <w:b/>
          <w:bCs/>
          <w:color w:val="000000" w:themeColor="text1"/>
          <w:sz w:val="30"/>
        </w:rPr>
      </w:pPr>
      <w:bookmarkStart w:id="25" w:name="_Toc239736727"/>
      <w:r>
        <w:rPr>
          <w:rFonts w:hint="default" w:ascii="Times New Roman" w:hAnsi="Times New Roman" w:cs="Times New Roman"/>
          <w:b/>
          <w:bCs/>
          <w:color w:val="000000" w:themeColor="text1"/>
          <w:sz w:val="30"/>
        </w:rPr>
        <w:br w:type="page"/>
      </w:r>
      <w:bookmarkStart w:id="26" w:name="_Toc527116045"/>
      <w:r>
        <w:rPr>
          <w:rFonts w:hint="default" w:ascii="Times New Roman" w:hAnsi="Times New Roman" w:cs="Times New Roman"/>
          <w:b/>
          <w:bCs/>
          <w:color w:val="000000" w:themeColor="text1"/>
          <w:sz w:val="30"/>
        </w:rPr>
        <w:t>表五</w:t>
      </w:r>
      <w:bookmarkEnd w:id="25"/>
      <w:bookmarkEnd w:id="26"/>
      <w:bookmarkStart w:id="27" w:name="_Toc239736728"/>
    </w:p>
    <w:tbl>
      <w:tblPr>
        <w:tblStyle w:val="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46"/>
      </w:tblGrid>
      <w:tr w14:paraId="46722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3" w:hRule="atLeast"/>
        </w:trPr>
        <w:tc>
          <w:tcPr>
            <w:tcW w:w="5000" w:type="pct"/>
          </w:tcPr>
          <w:p w14:paraId="48D081C2">
            <w:pPr>
              <w:spacing w:line="360" w:lineRule="auto"/>
              <w:rPr>
                <w:rFonts w:hint="default" w:ascii="Times New Roman" w:hAnsi="Times New Roman" w:cs="Times New Roman"/>
                <w:b/>
                <w:color w:val="000000" w:themeColor="text1"/>
                <w:sz w:val="28"/>
                <w:szCs w:val="28"/>
                <w:shd w:val="clear" w:color="auto" w:fill="FFFFFF"/>
              </w:rPr>
            </w:pPr>
            <w:r>
              <w:rPr>
                <w:rFonts w:hint="default" w:ascii="Times New Roman" w:hAnsi="Times New Roman" w:cs="Times New Roman"/>
                <w:b/>
                <w:color w:val="000000" w:themeColor="text1"/>
                <w:sz w:val="28"/>
                <w:szCs w:val="28"/>
                <w:shd w:val="clear" w:color="auto" w:fill="FFFFFF"/>
              </w:rPr>
              <w:t>验收监测质量保证及质量控制：</w:t>
            </w:r>
          </w:p>
          <w:p w14:paraId="5F2A518E">
            <w:pPr>
              <w:spacing w:line="360" w:lineRule="auto"/>
              <w:ind w:firstLine="482" w:firstLineChars="200"/>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1、验收监测分析方法及分析仪器</w:t>
            </w:r>
          </w:p>
          <w:p w14:paraId="0392E3C1">
            <w:pPr>
              <w:jc w:val="center"/>
              <w:rPr>
                <w:rFonts w:hint="default" w:ascii="Times New Roman" w:hAnsi="Times New Roman" w:cs="Times New Roman"/>
                <w:b/>
                <w:bCs/>
                <w:color w:val="000000" w:themeColor="text1"/>
                <w:sz w:val="24"/>
                <w:szCs w:val="24"/>
              </w:rPr>
            </w:pPr>
            <w:bookmarkStart w:id="28" w:name="_Toc522276690"/>
            <w:bookmarkStart w:id="29" w:name="_Toc462852531"/>
            <w:bookmarkStart w:id="30" w:name="_Toc505329273"/>
            <w:r>
              <w:rPr>
                <w:rFonts w:hint="default" w:ascii="Times New Roman" w:hAnsi="Times New Roman" w:cs="Times New Roman"/>
                <w:b/>
                <w:bCs/>
                <w:color w:val="000000" w:themeColor="text1"/>
                <w:sz w:val="24"/>
                <w:szCs w:val="24"/>
              </w:rPr>
              <w:t>表5-1</w:t>
            </w:r>
            <w:bookmarkEnd w:id="28"/>
            <w:bookmarkEnd w:id="29"/>
            <w:bookmarkEnd w:id="30"/>
            <w:r>
              <w:rPr>
                <w:rFonts w:hint="default" w:ascii="Times New Roman" w:hAnsi="Times New Roman" w:cs="Times New Roman"/>
                <w:b/>
                <w:bCs/>
                <w:color w:val="000000" w:themeColor="text1"/>
                <w:sz w:val="24"/>
                <w:szCs w:val="24"/>
              </w:rPr>
              <w:t xml:space="preserve">  监测分析方法及主要仪器</w:t>
            </w:r>
          </w:p>
          <w:tbl>
            <w:tblPr>
              <w:tblStyle w:val="84"/>
              <w:tblW w:w="89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45"/>
              <w:gridCol w:w="1147"/>
              <w:gridCol w:w="3860"/>
              <w:gridCol w:w="2110"/>
              <w:gridCol w:w="1462"/>
            </w:tblGrid>
            <w:tr w14:paraId="1A9ED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0" w:type="auto"/>
                  <w:tcBorders>
                    <w:right w:val="single" w:color="000000" w:sz="4" w:space="0"/>
                  </w:tcBorders>
                  <w:vAlign w:val="center"/>
                </w:tcPr>
                <w:p w14:paraId="6405F34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6"/>
                      <w:sz w:val="21"/>
                      <w:szCs w:val="21"/>
                    </w:rPr>
                  </w:pPr>
                  <w:r>
                    <w:rPr>
                      <w:rFonts w:hint="default" w:ascii="Times New Roman" w:hAnsi="Times New Roman" w:eastAsia="宋体" w:cs="Times New Roman"/>
                      <w:b/>
                      <w:bCs/>
                      <w:color w:val="000000" w:themeColor="text1"/>
                      <w:spacing w:val="6"/>
                      <w:sz w:val="21"/>
                      <w:szCs w:val="21"/>
                    </w:rPr>
                    <w:t>样品</w:t>
                  </w:r>
                </w:p>
                <w:p w14:paraId="231262C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6"/>
                      <w:sz w:val="21"/>
                      <w:szCs w:val="21"/>
                    </w:rPr>
                    <w:t>类别</w:t>
                  </w:r>
                </w:p>
              </w:tc>
              <w:tc>
                <w:tcPr>
                  <w:tcW w:w="1147" w:type="dxa"/>
                  <w:tcBorders>
                    <w:left w:val="single" w:color="000000" w:sz="4" w:space="0"/>
                    <w:right w:val="single" w:color="000000" w:sz="4" w:space="0"/>
                  </w:tcBorders>
                  <w:vAlign w:val="center"/>
                </w:tcPr>
                <w:p w14:paraId="3FBBDD7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6"/>
                      <w:position w:val="8"/>
                      <w:sz w:val="21"/>
                      <w:szCs w:val="21"/>
                    </w:rPr>
                    <w:t>检测</w:t>
                  </w:r>
                </w:p>
                <w:p w14:paraId="3ADF9B6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4"/>
                      <w:sz w:val="21"/>
                      <w:szCs w:val="21"/>
                    </w:rPr>
                    <w:t>项目</w:t>
                  </w:r>
                </w:p>
              </w:tc>
              <w:tc>
                <w:tcPr>
                  <w:tcW w:w="3860" w:type="dxa"/>
                  <w:tcBorders>
                    <w:left w:val="single" w:color="000000" w:sz="4" w:space="0"/>
                    <w:right w:val="single" w:color="000000" w:sz="4" w:space="0"/>
                  </w:tcBorders>
                  <w:vAlign w:val="center"/>
                </w:tcPr>
                <w:p w14:paraId="6776887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8"/>
                      <w:sz w:val="21"/>
                      <w:szCs w:val="21"/>
                    </w:rPr>
                    <w:t>检测方法</w:t>
                  </w:r>
                </w:p>
              </w:tc>
              <w:tc>
                <w:tcPr>
                  <w:tcW w:w="0" w:type="auto"/>
                  <w:tcBorders>
                    <w:left w:val="single" w:color="000000" w:sz="4" w:space="0"/>
                    <w:right w:val="single" w:color="000000" w:sz="4" w:space="0"/>
                  </w:tcBorders>
                  <w:vAlign w:val="center"/>
                </w:tcPr>
                <w:p w14:paraId="324BF70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7"/>
                      <w:position w:val="8"/>
                      <w:sz w:val="21"/>
                      <w:szCs w:val="21"/>
                    </w:rPr>
                    <w:t>检测</w:t>
                  </w:r>
                  <w:r>
                    <w:rPr>
                      <w:rFonts w:hint="default" w:ascii="Times New Roman" w:hAnsi="Times New Roman" w:eastAsia="宋体" w:cs="Times New Roman"/>
                      <w:b/>
                      <w:bCs/>
                      <w:color w:val="000000" w:themeColor="text1"/>
                      <w:spacing w:val="6"/>
                      <w:position w:val="8"/>
                      <w:sz w:val="21"/>
                      <w:szCs w:val="21"/>
                    </w:rPr>
                    <w:t>和</w:t>
                  </w:r>
                </w:p>
                <w:p w14:paraId="3A91AFF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8"/>
                      <w:sz w:val="21"/>
                      <w:szCs w:val="21"/>
                    </w:rPr>
                    <w:t>分析设</w:t>
                  </w:r>
                  <w:r>
                    <w:rPr>
                      <w:rFonts w:hint="default" w:ascii="Times New Roman" w:hAnsi="Times New Roman" w:eastAsia="宋体" w:cs="Times New Roman"/>
                      <w:b/>
                      <w:bCs/>
                      <w:color w:val="000000" w:themeColor="text1"/>
                      <w:spacing w:val="7"/>
                      <w:sz w:val="21"/>
                      <w:szCs w:val="21"/>
                    </w:rPr>
                    <w:t>备</w:t>
                  </w:r>
                </w:p>
              </w:tc>
              <w:tc>
                <w:tcPr>
                  <w:tcW w:w="0" w:type="auto"/>
                  <w:tcBorders>
                    <w:left w:val="single" w:color="000000" w:sz="4" w:space="0"/>
                    <w:right w:val="single" w:color="000000" w:sz="4" w:space="0"/>
                  </w:tcBorders>
                  <w:vAlign w:val="center"/>
                </w:tcPr>
                <w:p w14:paraId="7453E7E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lang w:val="en-US" w:eastAsia="zh-CN"/>
                    </w:rPr>
                  </w:pPr>
                  <w:r>
                    <w:rPr>
                      <w:rFonts w:hint="eastAsia" w:ascii="Times New Roman" w:hAnsi="Times New Roman" w:cs="Times New Roman"/>
                      <w:b/>
                      <w:bCs/>
                      <w:color w:val="000000" w:themeColor="text1"/>
                      <w:spacing w:val="5"/>
                      <w:position w:val="8"/>
                      <w:sz w:val="21"/>
                      <w:szCs w:val="21"/>
                      <w:lang w:val="en-US" w:eastAsia="zh-CN"/>
                    </w:rPr>
                    <w:t>管理设备编号</w:t>
                  </w:r>
                </w:p>
              </w:tc>
            </w:tr>
            <w:tr w14:paraId="10B82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0" w:type="auto"/>
                  <w:vMerge w:val="restart"/>
                  <w:tcBorders>
                    <w:bottom w:val="nil"/>
                    <w:right w:val="single" w:color="000000" w:sz="4" w:space="0"/>
                  </w:tcBorders>
                  <w:vAlign w:val="center"/>
                </w:tcPr>
                <w:p w14:paraId="2F60E5C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p w14:paraId="5EA476E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3"/>
                      <w:sz w:val="21"/>
                      <w:szCs w:val="21"/>
                    </w:rPr>
                  </w:pPr>
                  <w:r>
                    <w:rPr>
                      <w:rFonts w:hint="default" w:ascii="Times New Roman" w:hAnsi="Times New Roman" w:eastAsia="宋体" w:cs="Times New Roman"/>
                      <w:color w:val="000000" w:themeColor="text1"/>
                      <w:spacing w:val="4"/>
                      <w:sz w:val="21"/>
                      <w:szCs w:val="21"/>
                    </w:rPr>
                    <w:t>水</w:t>
                  </w:r>
                  <w:r>
                    <w:rPr>
                      <w:rFonts w:hint="default" w:ascii="Times New Roman" w:hAnsi="Times New Roman" w:eastAsia="宋体" w:cs="Times New Roman"/>
                      <w:color w:val="000000" w:themeColor="text1"/>
                      <w:spacing w:val="3"/>
                      <w:sz w:val="21"/>
                      <w:szCs w:val="21"/>
                    </w:rPr>
                    <w:t>和</w:t>
                  </w:r>
                </w:p>
                <w:p w14:paraId="7770A2F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rPr>
                    <w:t>废水</w:t>
                  </w:r>
                </w:p>
              </w:tc>
              <w:tc>
                <w:tcPr>
                  <w:tcW w:w="1147" w:type="dxa"/>
                  <w:tcBorders>
                    <w:left w:val="single" w:color="000000" w:sz="4" w:space="0"/>
                    <w:right w:val="single" w:color="000000" w:sz="4" w:space="0"/>
                  </w:tcBorders>
                  <w:vAlign w:val="center"/>
                </w:tcPr>
                <w:p w14:paraId="29C530E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pH</w:t>
                  </w:r>
                  <w:r>
                    <w:rPr>
                      <w:rFonts w:hint="default" w:ascii="Times New Roman" w:hAnsi="Times New Roman" w:eastAsia="宋体" w:cs="Times New Roman"/>
                      <w:color w:val="000000" w:themeColor="text1"/>
                      <w:spacing w:val="11"/>
                      <w:sz w:val="21"/>
                      <w:szCs w:val="21"/>
                    </w:rPr>
                    <w:t>值</w:t>
                  </w:r>
                </w:p>
              </w:tc>
              <w:tc>
                <w:tcPr>
                  <w:tcW w:w="3860" w:type="dxa"/>
                  <w:tcBorders>
                    <w:left w:val="single" w:color="000000" w:sz="4" w:space="0"/>
                    <w:right w:val="single" w:color="000000" w:sz="4" w:space="0"/>
                  </w:tcBorders>
                  <w:vAlign w:val="center"/>
                </w:tcPr>
                <w:p w14:paraId="7CF52EB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5"/>
                      <w:sz w:val="21"/>
                      <w:szCs w:val="21"/>
                      <w:lang w:val="en-US" w:eastAsia="zh-CN"/>
                    </w:rPr>
                  </w:pPr>
                  <w:r>
                    <w:rPr>
                      <w:rFonts w:hint="default" w:ascii="Times New Roman" w:hAnsi="Times New Roman" w:eastAsia="宋体" w:cs="Times New Roman"/>
                      <w:color w:val="000000" w:themeColor="text1"/>
                      <w:sz w:val="21"/>
                      <w:szCs w:val="21"/>
                    </w:rPr>
                    <w:t>HJ</w:t>
                  </w:r>
                  <w:r>
                    <w:rPr>
                      <w:rFonts w:hint="default" w:ascii="Times New Roman" w:hAnsi="Times New Roman" w:eastAsia="宋体" w:cs="Times New Roman"/>
                      <w:color w:val="000000" w:themeColor="text1"/>
                      <w:spacing w:val="5"/>
                      <w:sz w:val="21"/>
                      <w:szCs w:val="21"/>
                    </w:rPr>
                    <w:t>11水质 pH值的测定</w:t>
                  </w:r>
                  <w:r>
                    <w:rPr>
                      <w:rFonts w:hint="default" w:ascii="Times New Roman" w:hAnsi="Times New Roman" w:eastAsia="宋体" w:cs="Times New Roman"/>
                      <w:color w:val="000000" w:themeColor="text1"/>
                      <w:spacing w:val="5"/>
                      <w:sz w:val="21"/>
                      <w:szCs w:val="21"/>
                      <w:lang w:val="en-US" w:eastAsia="zh-CN"/>
                    </w:rPr>
                    <w:t xml:space="preserve"> </w:t>
                  </w:r>
                </w:p>
                <w:p w14:paraId="6CB7689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rPr>
                    <w:t>电极法 HJ 1147-2020</w:t>
                  </w:r>
                </w:p>
              </w:tc>
              <w:tc>
                <w:tcPr>
                  <w:tcW w:w="0" w:type="auto"/>
                  <w:tcBorders>
                    <w:left w:val="single" w:color="000000" w:sz="4" w:space="0"/>
                    <w:right w:val="single" w:color="000000" w:sz="4" w:space="0"/>
                  </w:tcBorders>
                  <w:vAlign w:val="center"/>
                </w:tcPr>
                <w:p w14:paraId="270D7E9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eastAsia="zh-CN"/>
                    </w:rPr>
                    <w:t>便携式</w:t>
                  </w:r>
                  <w:r>
                    <w:rPr>
                      <w:rFonts w:hint="default" w:ascii="Times New Roman" w:hAnsi="Times New Roman" w:eastAsia="宋体" w:cs="Times New Roman"/>
                      <w:color w:val="000000" w:themeColor="text1"/>
                      <w:sz w:val="21"/>
                      <w:szCs w:val="21"/>
                      <w:lang w:val="en-US" w:eastAsia="zh-CN"/>
                    </w:rPr>
                    <w:t>多参数分析仪</w:t>
                  </w:r>
                </w:p>
                <w:p w14:paraId="3066C7F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DZB-712</w:t>
                  </w:r>
                  <w:r>
                    <w:rPr>
                      <w:rFonts w:hint="default" w:ascii="Times New Roman" w:hAnsi="Times New Roman" w:eastAsia="宋体" w:cs="Times New Roman"/>
                      <w:color w:val="000000" w:themeColor="text1"/>
                      <w:sz w:val="21"/>
                      <w:szCs w:val="21"/>
                    </w:rPr>
                    <w:t>型</w:t>
                  </w:r>
                </w:p>
              </w:tc>
              <w:tc>
                <w:tcPr>
                  <w:tcW w:w="0" w:type="auto"/>
                  <w:tcBorders>
                    <w:left w:val="single" w:color="000000" w:sz="4" w:space="0"/>
                    <w:right w:val="single" w:color="000000" w:sz="4" w:space="0"/>
                  </w:tcBorders>
                  <w:vAlign w:val="center"/>
                </w:tcPr>
                <w:p w14:paraId="21F38C0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8"/>
                      <w:sz w:val="21"/>
                      <w:szCs w:val="21"/>
                    </w:rPr>
                    <w:t>0</w:t>
                  </w:r>
                  <w:r>
                    <w:rPr>
                      <w:rFonts w:hint="default" w:ascii="Times New Roman" w:hAnsi="Times New Roman" w:eastAsia="宋体" w:cs="Times New Roman"/>
                      <w:color w:val="000000" w:themeColor="text1"/>
                      <w:spacing w:val="5"/>
                      <w:sz w:val="21"/>
                      <w:szCs w:val="21"/>
                    </w:rPr>
                    <w:t>.</w:t>
                  </w:r>
                  <w:r>
                    <w:rPr>
                      <w:rFonts w:hint="default" w:ascii="Times New Roman" w:hAnsi="Times New Roman" w:eastAsia="宋体" w:cs="Times New Roman"/>
                      <w:color w:val="000000" w:themeColor="text1"/>
                      <w:spacing w:val="5"/>
                      <w:sz w:val="21"/>
                      <w:szCs w:val="21"/>
                      <w:lang w:val="en-US" w:eastAsia="zh-CN"/>
                    </w:rPr>
                    <w:t>SCKJ/XC-002</w:t>
                  </w:r>
                </w:p>
              </w:tc>
            </w:tr>
            <w:tr w14:paraId="3DD03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0" w:type="auto"/>
                  <w:vMerge w:val="continue"/>
                  <w:tcBorders>
                    <w:top w:val="nil"/>
                    <w:bottom w:val="nil"/>
                    <w:right w:val="single" w:color="000000" w:sz="4" w:space="0"/>
                  </w:tcBorders>
                  <w:vAlign w:val="center"/>
                </w:tcPr>
                <w:p w14:paraId="00E1806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restart"/>
                  <w:tcBorders>
                    <w:left w:val="single" w:color="000000" w:sz="4" w:space="0"/>
                    <w:bottom w:val="nil"/>
                    <w:right w:val="single" w:color="000000" w:sz="4" w:space="0"/>
                  </w:tcBorders>
                  <w:vAlign w:val="center"/>
                </w:tcPr>
                <w:p w14:paraId="5D0F282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悬浮物</w:t>
                  </w:r>
                </w:p>
              </w:tc>
              <w:tc>
                <w:tcPr>
                  <w:tcW w:w="3860" w:type="dxa"/>
                  <w:vMerge w:val="restart"/>
                  <w:tcBorders>
                    <w:left w:val="single" w:color="000000" w:sz="4" w:space="0"/>
                    <w:bottom w:val="nil"/>
                    <w:right w:val="single" w:color="000000" w:sz="4" w:space="0"/>
                  </w:tcBorders>
                  <w:vAlign w:val="center"/>
                </w:tcPr>
                <w:p w14:paraId="3D64620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Style w:val="43"/>
                      <w:rFonts w:hint="default" w:ascii="Times New Roman" w:hAnsi="Times New Roman" w:eastAsia="宋体" w:cs="Times New Roman"/>
                      <w:b w:val="0"/>
                      <w:bCs w:val="0"/>
                      <w:color w:val="000000" w:themeColor="text1"/>
                      <w:sz w:val="21"/>
                      <w:szCs w:val="21"/>
                      <w:u w:val="none"/>
                    </w:rPr>
                    <w:t>水质 悬浮物的测定 重量法 GB 11901-89</w:t>
                  </w:r>
                </w:p>
              </w:tc>
              <w:tc>
                <w:tcPr>
                  <w:tcW w:w="0" w:type="auto"/>
                  <w:tcBorders>
                    <w:left w:val="single" w:color="000000" w:sz="4" w:space="0"/>
                    <w:right w:val="single" w:color="000000" w:sz="2" w:space="0"/>
                  </w:tcBorders>
                  <w:vAlign w:val="center"/>
                </w:tcPr>
                <w:p w14:paraId="1B43623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Style w:val="43"/>
                      <w:rFonts w:hint="default" w:ascii="Times New Roman" w:hAnsi="Times New Roman" w:eastAsia="宋体" w:cs="Times New Roman"/>
                      <w:b w:val="0"/>
                      <w:bCs w:val="0"/>
                      <w:color w:val="000000" w:themeColor="text1"/>
                      <w:sz w:val="21"/>
                      <w:szCs w:val="21"/>
                      <w:u w:val="none"/>
                      <w:lang w:val="en-US" w:eastAsia="zh-CN"/>
                    </w:rPr>
                    <w:t>分析天平FA124</w:t>
                  </w:r>
                </w:p>
              </w:tc>
              <w:tc>
                <w:tcPr>
                  <w:tcW w:w="1462" w:type="dxa"/>
                  <w:tcBorders>
                    <w:left w:val="single" w:color="000000" w:sz="2" w:space="0"/>
                    <w:bottom w:val="single" w:color="000000" w:sz="2" w:space="0"/>
                    <w:right w:val="single" w:color="000000" w:sz="2" w:space="0"/>
                  </w:tcBorders>
                  <w:vAlign w:val="center"/>
                </w:tcPr>
                <w:p w14:paraId="5815A860">
                  <w:pPr>
                    <w:pStyle w:val="86"/>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SCKJ/SY-010</w:t>
                  </w:r>
                </w:p>
              </w:tc>
            </w:tr>
            <w:tr w14:paraId="1D0F7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0" w:type="auto"/>
                  <w:vMerge w:val="continue"/>
                  <w:tcBorders>
                    <w:top w:val="nil"/>
                    <w:bottom w:val="nil"/>
                    <w:right w:val="single" w:color="000000" w:sz="4" w:space="0"/>
                  </w:tcBorders>
                  <w:vAlign w:val="center"/>
                </w:tcPr>
                <w:p w14:paraId="5066CBA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continue"/>
                  <w:tcBorders>
                    <w:top w:val="nil"/>
                    <w:left w:val="single" w:color="000000" w:sz="4" w:space="0"/>
                    <w:right w:val="single" w:color="000000" w:sz="4" w:space="0"/>
                  </w:tcBorders>
                  <w:vAlign w:val="center"/>
                </w:tcPr>
                <w:p w14:paraId="0903338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3860" w:type="dxa"/>
                  <w:vMerge w:val="continue"/>
                  <w:tcBorders>
                    <w:top w:val="nil"/>
                    <w:left w:val="single" w:color="000000" w:sz="4" w:space="0"/>
                    <w:right w:val="single" w:color="000000" w:sz="4" w:space="0"/>
                  </w:tcBorders>
                  <w:vAlign w:val="center"/>
                </w:tcPr>
                <w:p w14:paraId="06FD2CF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0" w:type="auto"/>
                  <w:tcBorders>
                    <w:left w:val="single" w:color="000000" w:sz="4" w:space="0"/>
                    <w:right w:val="single" w:color="000000" w:sz="2" w:space="0"/>
                  </w:tcBorders>
                  <w:vAlign w:val="center"/>
                </w:tcPr>
                <w:p w14:paraId="04FDCA7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Style w:val="43"/>
                      <w:rFonts w:hint="default" w:ascii="Times New Roman" w:hAnsi="Times New Roman" w:eastAsia="宋体" w:cs="Times New Roman"/>
                      <w:b w:val="0"/>
                      <w:bCs w:val="0"/>
                      <w:color w:val="000000" w:themeColor="text1"/>
                      <w:sz w:val="21"/>
                      <w:szCs w:val="21"/>
                      <w:u w:val="none"/>
                      <w:lang w:val="en-US" w:eastAsia="zh-CN"/>
                    </w:rPr>
                    <w:t>鼓风干燥箱LC-101-OB</w:t>
                  </w:r>
                </w:p>
              </w:tc>
              <w:tc>
                <w:tcPr>
                  <w:tcW w:w="1462" w:type="dxa"/>
                  <w:tcBorders>
                    <w:top w:val="single" w:color="000000" w:sz="2" w:space="0"/>
                    <w:left w:val="single" w:color="000000" w:sz="2" w:space="0"/>
                    <w:right w:val="single" w:color="000000" w:sz="2" w:space="0"/>
                  </w:tcBorders>
                  <w:vAlign w:val="center"/>
                </w:tcPr>
                <w:p w14:paraId="695331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SCKJ/SY-003</w:t>
                  </w:r>
                </w:p>
              </w:tc>
            </w:tr>
            <w:tr w14:paraId="27DDC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0" w:type="auto"/>
                  <w:vMerge w:val="continue"/>
                  <w:tcBorders>
                    <w:top w:val="nil"/>
                    <w:bottom w:val="nil"/>
                    <w:right w:val="single" w:color="000000" w:sz="4" w:space="0"/>
                  </w:tcBorders>
                  <w:vAlign w:val="center"/>
                </w:tcPr>
                <w:p w14:paraId="6991274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0178E80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化学需氧量</w:t>
                  </w:r>
                </w:p>
              </w:tc>
              <w:tc>
                <w:tcPr>
                  <w:tcW w:w="3860" w:type="dxa"/>
                  <w:tcBorders>
                    <w:left w:val="single" w:color="000000" w:sz="4" w:space="0"/>
                    <w:right w:val="single" w:color="000000" w:sz="4" w:space="0"/>
                  </w:tcBorders>
                  <w:vAlign w:val="center"/>
                </w:tcPr>
                <w:p w14:paraId="6DB5803B">
                  <w:pPr>
                    <w:keepNext w:val="0"/>
                    <w:keepLines w:val="0"/>
                    <w:pageBreakBefore w:val="0"/>
                    <w:widowControl/>
                    <w:kinsoku/>
                    <w:wordWrap/>
                    <w:overflowPunct/>
                    <w:topLinePunct w:val="0"/>
                    <w:autoSpaceDE/>
                    <w:autoSpaceDN/>
                    <w:bidi w:val="0"/>
                    <w:ind w:left="0" w:lef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化学需氧量的测定 重铬酸盐法</w:t>
                  </w:r>
                </w:p>
                <w:p w14:paraId="396DC02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828-2017</w:t>
                  </w:r>
                </w:p>
              </w:tc>
              <w:tc>
                <w:tcPr>
                  <w:tcW w:w="0" w:type="auto"/>
                  <w:tcBorders>
                    <w:left w:val="single" w:color="000000" w:sz="4" w:space="0"/>
                    <w:right w:val="single" w:color="000000" w:sz="4" w:space="0"/>
                  </w:tcBorders>
                  <w:vAlign w:val="center"/>
                </w:tcPr>
                <w:p w14:paraId="14080C7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滴定管</w:t>
                  </w:r>
                </w:p>
              </w:tc>
              <w:tc>
                <w:tcPr>
                  <w:tcW w:w="0" w:type="auto"/>
                  <w:tcBorders>
                    <w:left w:val="single" w:color="000000" w:sz="4" w:space="0"/>
                    <w:right w:val="single" w:color="000000" w:sz="4" w:space="0"/>
                  </w:tcBorders>
                  <w:vAlign w:val="center"/>
                </w:tcPr>
                <w:p w14:paraId="05A6B2A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50BD</w:t>
                  </w:r>
                  <w:r>
                    <w:rPr>
                      <w:rFonts w:hint="default" w:ascii="Times New Roman" w:hAnsi="Times New Roman" w:eastAsia="宋体" w:cs="Times New Roman"/>
                      <w:color w:val="000000" w:themeColor="text1"/>
                      <w:sz w:val="21"/>
                      <w:szCs w:val="21"/>
                      <w:lang w:val="en-US" w:eastAsia="zh-CN"/>
                    </w:rPr>
                    <w:t>D</w:t>
                  </w:r>
                  <w:r>
                    <w:rPr>
                      <w:rFonts w:hint="default" w:ascii="Times New Roman" w:hAnsi="Times New Roman" w:eastAsia="宋体" w:cs="Times New Roman"/>
                      <w:color w:val="000000" w:themeColor="text1"/>
                      <w:sz w:val="21"/>
                      <w:szCs w:val="21"/>
                    </w:rPr>
                    <w:t>004</w:t>
                  </w:r>
                </w:p>
              </w:tc>
            </w:tr>
            <w:tr w14:paraId="566E3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0" w:type="auto"/>
                  <w:vMerge w:val="continue"/>
                  <w:tcBorders>
                    <w:top w:val="nil"/>
                    <w:bottom w:val="nil"/>
                    <w:right w:val="single" w:color="000000" w:sz="4" w:space="0"/>
                  </w:tcBorders>
                  <w:vAlign w:val="center"/>
                </w:tcPr>
                <w:p w14:paraId="25DAF61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restart"/>
                  <w:tcBorders>
                    <w:left w:val="single" w:color="000000" w:sz="4" w:space="0"/>
                    <w:right w:val="single" w:color="000000" w:sz="4" w:space="0"/>
                  </w:tcBorders>
                  <w:vAlign w:val="center"/>
                </w:tcPr>
                <w:p w14:paraId="7E588DD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 w:val="0"/>
                      <w:bCs w:val="0"/>
                      <w:color w:val="000000" w:themeColor="text1"/>
                      <w:sz w:val="21"/>
                      <w:szCs w:val="21"/>
                    </w:rPr>
                    <w:t>五日生化需氧量</w:t>
                  </w:r>
                </w:p>
              </w:tc>
              <w:tc>
                <w:tcPr>
                  <w:tcW w:w="3860" w:type="dxa"/>
                  <w:vMerge w:val="restart"/>
                  <w:tcBorders>
                    <w:left w:val="single" w:color="000000" w:sz="4" w:space="0"/>
                    <w:right w:val="single" w:color="000000" w:sz="4" w:space="0"/>
                  </w:tcBorders>
                  <w:vAlign w:val="center"/>
                </w:tcPr>
                <w:p w14:paraId="060ED03D">
                  <w:pPr>
                    <w:keepNext w:val="0"/>
                    <w:keepLines w:val="0"/>
                    <w:pageBreakBefore w:val="0"/>
                    <w:widowControl/>
                    <w:kinsoku/>
                    <w:wordWrap/>
                    <w:overflowPunct/>
                    <w:topLinePunct w:val="0"/>
                    <w:autoSpaceDE/>
                    <w:autoSpaceDN/>
                    <w:bidi w:val="0"/>
                    <w:ind w:left="0" w:lef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五日生化需氧量（BOD</w:t>
                  </w:r>
                  <w:r>
                    <w:rPr>
                      <w:rFonts w:hint="default" w:ascii="Times New Roman" w:hAnsi="Times New Roman" w:eastAsia="宋体" w:cs="Times New Roman"/>
                      <w:color w:val="000000" w:themeColor="text1"/>
                      <w:sz w:val="21"/>
                      <w:szCs w:val="21"/>
                      <w:vertAlign w:val="subscript"/>
                    </w:rPr>
                    <w:t>5</w:t>
                  </w:r>
                  <w:r>
                    <w:rPr>
                      <w:rFonts w:hint="default" w:ascii="Times New Roman" w:hAnsi="Times New Roman" w:eastAsia="宋体" w:cs="Times New Roman"/>
                      <w:color w:val="000000" w:themeColor="text1"/>
                      <w:sz w:val="21"/>
                      <w:szCs w:val="21"/>
                    </w:rPr>
                    <w:t>）的测定</w:t>
                  </w:r>
                  <w:r>
                    <w:rPr>
                      <w:rFonts w:hint="default"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稀释与接种法</w:t>
                  </w:r>
                  <w:r>
                    <w:rPr>
                      <w:rFonts w:hint="eastAsia"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HJ 505-2009</w:t>
                  </w:r>
                </w:p>
              </w:tc>
              <w:tc>
                <w:tcPr>
                  <w:tcW w:w="2110" w:type="dxa"/>
                  <w:tcBorders>
                    <w:left w:val="single" w:color="000000" w:sz="4" w:space="0"/>
                    <w:right w:val="single" w:color="000000" w:sz="4" w:space="0"/>
                  </w:tcBorders>
                  <w:vAlign w:val="center"/>
                </w:tcPr>
                <w:p w14:paraId="45DCD6F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生化培养箱</w:t>
                  </w:r>
                </w:p>
              </w:tc>
              <w:tc>
                <w:tcPr>
                  <w:tcW w:w="1462" w:type="dxa"/>
                  <w:tcBorders>
                    <w:left w:val="single" w:color="000000" w:sz="4" w:space="0"/>
                    <w:right w:val="single" w:color="000000" w:sz="4" w:space="0"/>
                  </w:tcBorders>
                  <w:vAlign w:val="center"/>
                </w:tcPr>
                <w:p w14:paraId="1ECFD62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w:t>
                  </w:r>
                  <w:r>
                    <w:rPr>
                      <w:rFonts w:hint="default" w:ascii="Times New Roman" w:hAnsi="Times New Roman" w:eastAsia="宋体" w:cs="Times New Roman"/>
                      <w:color w:val="000000" w:themeColor="text1"/>
                      <w:sz w:val="21"/>
                      <w:szCs w:val="21"/>
                      <w:lang w:val="en-US" w:eastAsia="zh-CN"/>
                    </w:rPr>
                    <w:t>43</w:t>
                  </w:r>
                </w:p>
              </w:tc>
            </w:tr>
            <w:tr w14:paraId="10860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0" w:type="auto"/>
                  <w:vMerge w:val="continue"/>
                  <w:tcBorders>
                    <w:bottom w:val="nil"/>
                    <w:right w:val="single" w:color="000000" w:sz="4" w:space="0"/>
                  </w:tcBorders>
                  <w:vAlign w:val="center"/>
                </w:tcPr>
                <w:p w14:paraId="1FDC61C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rPr>
                  </w:pPr>
                </w:p>
              </w:tc>
              <w:tc>
                <w:tcPr>
                  <w:tcW w:w="1147" w:type="dxa"/>
                  <w:vMerge w:val="continue"/>
                  <w:tcBorders>
                    <w:left w:val="single" w:color="000000" w:sz="4" w:space="0"/>
                    <w:right w:val="single" w:color="000000" w:sz="4" w:space="0"/>
                  </w:tcBorders>
                  <w:vAlign w:val="center"/>
                </w:tcPr>
                <w:p w14:paraId="66F2C5D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rPr>
                  </w:pPr>
                </w:p>
              </w:tc>
              <w:tc>
                <w:tcPr>
                  <w:tcW w:w="3860" w:type="dxa"/>
                  <w:vMerge w:val="continue"/>
                  <w:tcBorders>
                    <w:left w:val="single" w:color="000000" w:sz="4" w:space="0"/>
                    <w:right w:val="single" w:color="000000" w:sz="4" w:space="0"/>
                  </w:tcBorders>
                  <w:vAlign w:val="center"/>
                </w:tcPr>
                <w:p w14:paraId="67E6AC4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rPr>
                  </w:pPr>
                </w:p>
              </w:tc>
              <w:tc>
                <w:tcPr>
                  <w:tcW w:w="0" w:type="auto"/>
                  <w:tcBorders>
                    <w:left w:val="single" w:color="000000" w:sz="4" w:space="0"/>
                    <w:right w:val="single" w:color="000000" w:sz="4" w:space="0"/>
                  </w:tcBorders>
                  <w:vAlign w:val="center"/>
                </w:tcPr>
                <w:p w14:paraId="1D83D9F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滴定管</w:t>
                  </w:r>
                </w:p>
              </w:tc>
              <w:tc>
                <w:tcPr>
                  <w:tcW w:w="1462" w:type="dxa"/>
                  <w:tcBorders>
                    <w:left w:val="single" w:color="000000" w:sz="4" w:space="0"/>
                    <w:right w:val="single" w:color="000000" w:sz="4" w:space="0"/>
                  </w:tcBorders>
                  <w:vAlign w:val="center"/>
                </w:tcPr>
                <w:p w14:paraId="718F72B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highlight w:val="none"/>
                      <w:lang w:val="en-US" w:eastAsia="zh-CN"/>
                    </w:rPr>
                    <w:t>50ZDD004</w:t>
                  </w:r>
                </w:p>
              </w:tc>
            </w:tr>
            <w:tr w14:paraId="7F02F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bottom w:val="nil"/>
                    <w:right w:val="single" w:color="000000" w:sz="4" w:space="0"/>
                  </w:tcBorders>
                  <w:vAlign w:val="center"/>
                </w:tcPr>
                <w:p w14:paraId="44ABEB6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6BD4765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3"/>
                      <w:sz w:val="21"/>
                      <w:szCs w:val="21"/>
                    </w:rPr>
                    <w:t>总</w:t>
                  </w:r>
                  <w:r>
                    <w:rPr>
                      <w:rFonts w:hint="default" w:ascii="Times New Roman" w:hAnsi="Times New Roman" w:eastAsia="宋体" w:cs="Times New Roman"/>
                      <w:color w:val="000000" w:themeColor="text1"/>
                      <w:spacing w:val="-2"/>
                      <w:sz w:val="21"/>
                      <w:szCs w:val="21"/>
                    </w:rPr>
                    <w:t>磷</w:t>
                  </w:r>
                </w:p>
              </w:tc>
              <w:tc>
                <w:tcPr>
                  <w:tcW w:w="3860" w:type="dxa"/>
                  <w:tcBorders>
                    <w:left w:val="single" w:color="000000" w:sz="4" w:space="0"/>
                    <w:right w:val="single" w:color="000000" w:sz="4" w:space="0"/>
                  </w:tcBorders>
                  <w:vAlign w:val="center"/>
                </w:tcPr>
                <w:p w14:paraId="2F33E48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总磷的测定 钼酸铵分光光度法</w:t>
                  </w:r>
                </w:p>
                <w:p w14:paraId="7BE66B7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GB 11893-89</w:t>
                  </w:r>
                </w:p>
              </w:tc>
              <w:tc>
                <w:tcPr>
                  <w:tcW w:w="0" w:type="auto"/>
                  <w:tcBorders>
                    <w:left w:val="single" w:color="000000" w:sz="4" w:space="0"/>
                    <w:right w:val="single" w:color="000000" w:sz="4" w:space="0"/>
                  </w:tcBorders>
                  <w:vAlign w:val="center"/>
                </w:tcPr>
                <w:p w14:paraId="2CB0975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紫外可见分光光度计</w:t>
                  </w:r>
                </w:p>
                <w:p w14:paraId="10817E1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lang w:val="en-US" w:eastAsia="zh-CN" w:bidi="he-IL"/>
                    </w:rPr>
                    <w:t>UV-6000</w:t>
                  </w:r>
                </w:p>
              </w:tc>
              <w:tc>
                <w:tcPr>
                  <w:tcW w:w="0" w:type="auto"/>
                  <w:tcBorders>
                    <w:left w:val="single" w:color="000000" w:sz="4" w:space="0"/>
                    <w:right w:val="single" w:color="000000" w:sz="4" w:space="0"/>
                  </w:tcBorders>
                  <w:vAlign w:val="center"/>
                </w:tcPr>
                <w:p w14:paraId="2B28CBF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w:t>
                  </w:r>
                  <w:r>
                    <w:rPr>
                      <w:rFonts w:hint="default" w:ascii="Times New Roman" w:hAnsi="Times New Roman" w:eastAsia="宋体" w:cs="Times New Roman"/>
                      <w:color w:val="000000" w:themeColor="text1"/>
                      <w:sz w:val="21"/>
                      <w:szCs w:val="21"/>
                      <w:lang w:val="en-US" w:eastAsia="zh-CN"/>
                    </w:rPr>
                    <w:t>106</w:t>
                  </w:r>
                </w:p>
              </w:tc>
            </w:tr>
            <w:tr w14:paraId="6A83D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0" w:type="auto"/>
                  <w:vMerge w:val="continue"/>
                  <w:tcBorders>
                    <w:top w:val="nil"/>
                    <w:bottom w:val="nil"/>
                    <w:right w:val="single" w:color="000000" w:sz="4" w:space="0"/>
                  </w:tcBorders>
                  <w:vAlign w:val="center"/>
                </w:tcPr>
                <w:p w14:paraId="0C32AEB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44740CD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2"/>
                      <w:sz w:val="21"/>
                      <w:szCs w:val="21"/>
                    </w:rPr>
                    <w:t>总氮</w:t>
                  </w:r>
                </w:p>
              </w:tc>
              <w:tc>
                <w:tcPr>
                  <w:tcW w:w="3860" w:type="dxa"/>
                  <w:tcBorders>
                    <w:left w:val="single" w:color="000000" w:sz="4" w:space="0"/>
                    <w:right w:val="single" w:color="000000" w:sz="4" w:space="0"/>
                  </w:tcBorders>
                  <w:vAlign w:val="center"/>
                </w:tcPr>
                <w:p w14:paraId="6329808B">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Cs/>
                      <w:color w:val="000000" w:themeColor="text1"/>
                      <w:sz w:val="21"/>
                      <w:szCs w:val="21"/>
                    </w:rPr>
                    <w:t>水质 总氮的测定 碱性过硫酸钾消解-紫外</w:t>
                  </w:r>
                  <w:r>
                    <w:rPr>
                      <w:rFonts w:hint="default" w:ascii="Times New Roman" w:hAnsi="Times New Roman" w:eastAsia="宋体" w:cs="Times New Roman"/>
                      <w:bCs/>
                      <w:color w:val="000000" w:themeColor="text1"/>
                      <w:sz w:val="21"/>
                      <w:szCs w:val="21"/>
                      <w:lang w:val="en-US" w:eastAsia="zh-CN"/>
                    </w:rPr>
                    <w:t xml:space="preserve">  </w:t>
                  </w:r>
                  <w:r>
                    <w:rPr>
                      <w:rFonts w:hint="default" w:ascii="Times New Roman" w:hAnsi="Times New Roman" w:eastAsia="宋体" w:cs="Times New Roman"/>
                      <w:bCs/>
                      <w:color w:val="000000" w:themeColor="text1"/>
                      <w:sz w:val="21"/>
                      <w:szCs w:val="21"/>
                    </w:rPr>
                    <w:t>分光光度法</w:t>
                  </w:r>
                  <w:r>
                    <w:rPr>
                      <w:rFonts w:hint="eastAsia" w:ascii="Times New Roman" w:hAnsi="Times New Roman" w:eastAsia="宋体" w:cs="Times New Roman"/>
                      <w:bCs/>
                      <w:color w:val="000000" w:themeColor="text1"/>
                      <w:sz w:val="21"/>
                      <w:szCs w:val="21"/>
                      <w:lang w:val="en-US" w:eastAsia="zh-CN"/>
                    </w:rPr>
                    <w:t xml:space="preserve">  </w:t>
                  </w:r>
                  <w:r>
                    <w:rPr>
                      <w:rFonts w:hint="default" w:ascii="Times New Roman" w:hAnsi="Times New Roman" w:eastAsia="宋体" w:cs="Times New Roman"/>
                      <w:bCs/>
                      <w:color w:val="000000" w:themeColor="text1"/>
                      <w:sz w:val="21"/>
                      <w:szCs w:val="21"/>
                    </w:rPr>
                    <w:t>HJ 636-2012</w:t>
                  </w:r>
                </w:p>
              </w:tc>
              <w:tc>
                <w:tcPr>
                  <w:tcW w:w="0" w:type="auto"/>
                  <w:tcBorders>
                    <w:left w:val="single" w:color="000000" w:sz="4" w:space="0"/>
                    <w:right w:val="single" w:color="000000" w:sz="4" w:space="0"/>
                  </w:tcBorders>
                  <w:vAlign w:val="center"/>
                </w:tcPr>
                <w:p w14:paraId="4623CB4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紫外可见分光光度计</w:t>
                  </w:r>
                </w:p>
                <w:p w14:paraId="55F61EE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lang w:val="en-US" w:eastAsia="zh-CN" w:bidi="he-IL"/>
                    </w:rPr>
                    <w:t>UV-6000</w:t>
                  </w:r>
                </w:p>
              </w:tc>
              <w:tc>
                <w:tcPr>
                  <w:tcW w:w="0" w:type="auto"/>
                  <w:tcBorders>
                    <w:left w:val="single" w:color="000000" w:sz="4" w:space="0"/>
                    <w:right w:val="single" w:color="000000" w:sz="4" w:space="0"/>
                  </w:tcBorders>
                  <w:vAlign w:val="center"/>
                </w:tcPr>
                <w:p w14:paraId="1107F85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w:t>
                  </w:r>
                  <w:r>
                    <w:rPr>
                      <w:rFonts w:hint="default" w:ascii="Times New Roman" w:hAnsi="Times New Roman" w:eastAsia="宋体" w:cs="Times New Roman"/>
                      <w:color w:val="000000" w:themeColor="text1"/>
                      <w:sz w:val="21"/>
                      <w:szCs w:val="21"/>
                      <w:lang w:val="en-US" w:eastAsia="zh-CN"/>
                    </w:rPr>
                    <w:t>106</w:t>
                  </w:r>
                </w:p>
              </w:tc>
            </w:tr>
            <w:tr w14:paraId="5E322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0" w:type="auto"/>
                  <w:vMerge w:val="continue"/>
                  <w:tcBorders>
                    <w:top w:val="nil"/>
                    <w:bottom w:val="nil"/>
                    <w:right w:val="single" w:color="000000" w:sz="4" w:space="0"/>
                  </w:tcBorders>
                  <w:vAlign w:val="center"/>
                </w:tcPr>
                <w:p w14:paraId="245C7CC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21BF573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 w:val="0"/>
                      <w:bCs w:val="0"/>
                      <w:color w:val="000000" w:themeColor="text1"/>
                      <w:kern w:val="0"/>
                      <w:sz w:val="21"/>
                      <w:szCs w:val="21"/>
                    </w:rPr>
                    <w:t>氨氮</w:t>
                  </w:r>
                </w:p>
              </w:tc>
              <w:tc>
                <w:tcPr>
                  <w:tcW w:w="3860" w:type="dxa"/>
                  <w:tcBorders>
                    <w:left w:val="single" w:color="000000" w:sz="4" w:space="0"/>
                    <w:right w:val="single" w:color="000000" w:sz="4" w:space="0"/>
                  </w:tcBorders>
                  <w:vAlign w:val="center"/>
                </w:tcPr>
                <w:p w14:paraId="743A92D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氨氮的测定 纳氏试剂分光光度法</w:t>
                  </w:r>
                </w:p>
                <w:p w14:paraId="79A2431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535-2009</w:t>
                  </w:r>
                </w:p>
              </w:tc>
              <w:tc>
                <w:tcPr>
                  <w:tcW w:w="0" w:type="auto"/>
                  <w:tcBorders>
                    <w:left w:val="single" w:color="000000" w:sz="4" w:space="0"/>
                    <w:right w:val="single" w:color="000000" w:sz="4" w:space="0"/>
                  </w:tcBorders>
                  <w:vAlign w:val="center"/>
                </w:tcPr>
                <w:p w14:paraId="4EC4A372">
                  <w:pPr>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紫外/可见分光光度计</w:t>
                  </w:r>
                </w:p>
                <w:p w14:paraId="44F949A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UV-5200PC</w:t>
                  </w:r>
                </w:p>
              </w:tc>
              <w:tc>
                <w:tcPr>
                  <w:tcW w:w="0" w:type="auto"/>
                  <w:tcBorders>
                    <w:left w:val="single" w:color="000000" w:sz="4" w:space="0"/>
                    <w:right w:val="single" w:color="000000" w:sz="4" w:space="0"/>
                  </w:tcBorders>
                  <w:vAlign w:val="center"/>
                </w:tcPr>
                <w:p w14:paraId="5919792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YQ-008</w:t>
                  </w:r>
                </w:p>
              </w:tc>
            </w:tr>
            <w:tr w14:paraId="4A2A1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bottom w:val="nil"/>
                    <w:right w:val="single" w:color="000000" w:sz="4" w:space="0"/>
                  </w:tcBorders>
                  <w:vAlign w:val="center"/>
                </w:tcPr>
                <w:p w14:paraId="0D0FAFB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5487C73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 w:val="0"/>
                      <w:bCs w:val="0"/>
                      <w:color w:val="000000" w:themeColor="text1"/>
                      <w:sz w:val="21"/>
                      <w:szCs w:val="21"/>
                    </w:rPr>
                    <w:t>石油类</w:t>
                  </w:r>
                </w:p>
              </w:tc>
              <w:tc>
                <w:tcPr>
                  <w:tcW w:w="3860" w:type="dxa"/>
                  <w:tcBorders>
                    <w:left w:val="single" w:color="000000" w:sz="4" w:space="0"/>
                    <w:right w:val="single" w:color="000000" w:sz="4" w:space="0"/>
                  </w:tcBorders>
                  <w:vAlign w:val="center"/>
                </w:tcPr>
                <w:p w14:paraId="6EF12C34">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fldChar w:fldCharType="begin"/>
                  </w:r>
                  <w:r>
                    <w:rPr>
                      <w:rFonts w:hint="default" w:ascii="Times New Roman" w:hAnsi="Times New Roman" w:eastAsia="宋体" w:cs="Times New Roman"/>
                      <w:color w:val="000000" w:themeColor="text1"/>
                      <w:sz w:val="21"/>
                      <w:szCs w:val="21"/>
                    </w:rPr>
                    <w:instrText xml:space="preserve">HYPERLINK "http://kjs.mee.gov.cn/hjbhbz/bzwb/jcffbz/201810/W020181016353509735851.pdf"</w:instrText>
                  </w:r>
                  <w:r>
                    <w:rPr>
                      <w:rFonts w:hint="default" w:ascii="Times New Roman" w:hAnsi="Times New Roman" w:eastAsia="宋体" w:cs="Times New Roman"/>
                      <w:color w:val="000000" w:themeColor="text1"/>
                      <w:sz w:val="21"/>
                      <w:szCs w:val="21"/>
                    </w:rPr>
                    <w:fldChar w:fldCharType="separate"/>
                  </w:r>
                  <w:r>
                    <w:rPr>
                      <w:rFonts w:hint="default" w:ascii="Times New Roman" w:hAnsi="Times New Roman" w:eastAsia="宋体" w:cs="Times New Roman"/>
                      <w:color w:val="000000" w:themeColor="text1"/>
                      <w:sz w:val="21"/>
                      <w:szCs w:val="21"/>
                    </w:rPr>
                    <w:t xml:space="preserve">水质 石油类的测定 紫外分光光度法 </w:t>
                  </w:r>
                </w:p>
                <w:p w14:paraId="782EFDC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970-2018</w:t>
                  </w:r>
                  <w:r>
                    <w:rPr>
                      <w:rFonts w:hint="default" w:ascii="Times New Roman" w:hAnsi="Times New Roman" w:eastAsia="宋体" w:cs="Times New Roman"/>
                      <w:color w:val="000000" w:themeColor="text1"/>
                      <w:sz w:val="21"/>
                      <w:szCs w:val="21"/>
                    </w:rPr>
                    <w:fldChar w:fldCharType="end"/>
                  </w:r>
                </w:p>
              </w:tc>
              <w:tc>
                <w:tcPr>
                  <w:tcW w:w="2110" w:type="dxa"/>
                  <w:tcBorders>
                    <w:left w:val="single" w:color="000000" w:sz="4" w:space="0"/>
                    <w:right w:val="single" w:color="000000" w:sz="4" w:space="0"/>
                  </w:tcBorders>
                  <w:vAlign w:val="center"/>
                </w:tcPr>
                <w:p w14:paraId="685EAE65">
                  <w:pPr>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紫外/可见分光光度计</w:t>
                  </w:r>
                </w:p>
                <w:p w14:paraId="2F6E2B1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UV-5200PC</w:t>
                  </w:r>
                </w:p>
              </w:tc>
              <w:tc>
                <w:tcPr>
                  <w:tcW w:w="1462" w:type="dxa"/>
                  <w:tcBorders>
                    <w:left w:val="single" w:color="000000" w:sz="4" w:space="0"/>
                    <w:right w:val="single" w:color="000000" w:sz="4" w:space="0"/>
                  </w:tcBorders>
                  <w:vAlign w:val="center"/>
                </w:tcPr>
                <w:p w14:paraId="68CC6A7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YQ-008</w:t>
                  </w:r>
                </w:p>
              </w:tc>
            </w:tr>
            <w:tr w14:paraId="3D858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bottom w:val="nil"/>
                    <w:right w:val="single" w:color="000000" w:sz="4" w:space="0"/>
                  </w:tcBorders>
                  <w:vAlign w:val="center"/>
                </w:tcPr>
                <w:p w14:paraId="74A6A13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5DA65C3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1"/>
                      <w:sz w:val="21"/>
                      <w:szCs w:val="21"/>
                    </w:rPr>
                    <w:t>动</w:t>
                  </w:r>
                  <w:r>
                    <w:rPr>
                      <w:rFonts w:hint="default" w:ascii="Times New Roman" w:hAnsi="Times New Roman" w:eastAsia="宋体" w:cs="Times New Roman"/>
                      <w:color w:val="000000" w:themeColor="text1"/>
                      <w:spacing w:val="7"/>
                      <w:sz w:val="21"/>
                      <w:szCs w:val="21"/>
                    </w:rPr>
                    <w:t>植物油类</w:t>
                  </w:r>
                </w:p>
              </w:tc>
              <w:tc>
                <w:tcPr>
                  <w:tcW w:w="3860" w:type="dxa"/>
                  <w:tcBorders>
                    <w:left w:val="single" w:color="000000" w:sz="4" w:space="0"/>
                    <w:right w:val="single" w:color="000000" w:sz="4" w:space="0"/>
                  </w:tcBorders>
                  <w:vAlign w:val="center"/>
                </w:tcPr>
                <w:p w14:paraId="15F1C641">
                  <w:pPr>
                    <w:keepNext w:val="0"/>
                    <w:keepLines w:val="0"/>
                    <w:pageBreakBefore w:val="0"/>
                    <w:widowControl/>
                    <w:kinsoku/>
                    <w:wordWrap/>
                    <w:overflowPunct/>
                    <w:topLinePunct w:val="0"/>
                    <w:autoSpaceDE/>
                    <w:autoSpaceDN/>
                    <w:bidi w:val="0"/>
                    <w:ind w:left="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rPr>
                    <w:t>水质</w:t>
                  </w:r>
                  <w:r>
                    <w:rPr>
                      <w:rFonts w:hint="default"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石油类和动植物油类的测定</w:t>
                  </w:r>
                  <w:r>
                    <w:rPr>
                      <w:rFonts w:hint="default" w:ascii="Times New Roman" w:hAnsi="Times New Roman" w:eastAsia="宋体" w:cs="Times New Roman"/>
                      <w:color w:val="000000" w:themeColor="text1"/>
                      <w:sz w:val="21"/>
                      <w:szCs w:val="21"/>
                      <w:lang w:val="en-US" w:eastAsia="zh-CN"/>
                    </w:rPr>
                    <w:t xml:space="preserve"> </w:t>
                  </w:r>
                </w:p>
                <w:p w14:paraId="5607A102">
                  <w:pPr>
                    <w:keepNext w:val="0"/>
                    <w:keepLines w:val="0"/>
                    <w:pageBreakBefore w:val="0"/>
                    <w:widowControl/>
                    <w:kinsoku/>
                    <w:wordWrap/>
                    <w:overflowPunct/>
                    <w:topLinePunct w:val="0"/>
                    <w:autoSpaceDE/>
                    <w:autoSpaceDN/>
                    <w:bidi w:val="0"/>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红外分光光度法</w:t>
                  </w:r>
                  <w:r>
                    <w:rPr>
                      <w:rFonts w:hint="eastAsia"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HJ 637-2018</w:t>
                  </w:r>
                </w:p>
              </w:tc>
              <w:tc>
                <w:tcPr>
                  <w:tcW w:w="0" w:type="auto"/>
                  <w:tcBorders>
                    <w:left w:val="single" w:color="000000" w:sz="4" w:space="0"/>
                    <w:right w:val="single" w:color="000000" w:sz="4" w:space="0"/>
                  </w:tcBorders>
                  <w:vAlign w:val="center"/>
                </w:tcPr>
                <w:p w14:paraId="73456C18">
                  <w:pPr>
                    <w:keepNext w:val="0"/>
                    <w:keepLines w:val="0"/>
                    <w:pageBreakBefore w:val="0"/>
                    <w:widowControl/>
                    <w:kinsoku/>
                    <w:wordWrap/>
                    <w:overflowPunct/>
                    <w:topLinePunct w:val="0"/>
                    <w:autoSpaceDE/>
                    <w:autoSpaceDN/>
                    <w:bidi w:val="0"/>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红外测油仪OIL480</w:t>
                  </w:r>
                </w:p>
              </w:tc>
              <w:tc>
                <w:tcPr>
                  <w:tcW w:w="0" w:type="auto"/>
                  <w:tcBorders>
                    <w:left w:val="single" w:color="000000" w:sz="4" w:space="0"/>
                    <w:right w:val="single" w:color="000000" w:sz="4" w:space="0"/>
                  </w:tcBorders>
                  <w:vAlign w:val="center"/>
                </w:tcPr>
                <w:p w14:paraId="61D4D3A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YQ-064</w:t>
                  </w:r>
                </w:p>
              </w:tc>
            </w:tr>
            <w:tr w14:paraId="203C1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right w:val="single" w:color="000000" w:sz="4" w:space="0"/>
                  </w:tcBorders>
                  <w:vAlign w:val="center"/>
                </w:tcPr>
                <w:p w14:paraId="6CD7211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5E15673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粪大肠菌群</w:t>
                  </w:r>
                </w:p>
              </w:tc>
              <w:tc>
                <w:tcPr>
                  <w:tcW w:w="3860" w:type="dxa"/>
                  <w:tcBorders>
                    <w:left w:val="single" w:color="000000" w:sz="4" w:space="0"/>
                    <w:right w:val="single" w:color="000000" w:sz="4" w:space="0"/>
                  </w:tcBorders>
                  <w:vAlign w:val="center"/>
                </w:tcPr>
                <w:p w14:paraId="79DB29DD">
                  <w:pPr>
                    <w:keepNext w:val="0"/>
                    <w:keepLines w:val="0"/>
                    <w:pageBreakBefore w:val="0"/>
                    <w:widowControl/>
                    <w:kinsoku/>
                    <w:wordWrap/>
                    <w:overflowPunct/>
                    <w:topLinePunct w:val="0"/>
                    <w:autoSpaceDE/>
                    <w:autoSpaceDN/>
                    <w:bidi w:val="0"/>
                    <w:adjustRightInd/>
                    <w:snapToGrid/>
                    <w:spacing w:line="240" w:lineRule="auto"/>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粪大肠菌群的测定 多管发酵法</w:t>
                  </w:r>
                </w:p>
                <w:p w14:paraId="29D7EA0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347.2-2018</w:t>
                  </w:r>
                </w:p>
              </w:tc>
              <w:tc>
                <w:tcPr>
                  <w:tcW w:w="0" w:type="auto"/>
                  <w:tcBorders>
                    <w:left w:val="single" w:color="000000" w:sz="4" w:space="0"/>
                    <w:right w:val="single" w:color="000000" w:sz="4" w:space="0"/>
                  </w:tcBorders>
                  <w:vAlign w:val="center"/>
                </w:tcPr>
                <w:p w14:paraId="57D536BD">
                  <w:pPr>
                    <w:keepNext w:val="0"/>
                    <w:keepLines w:val="0"/>
                    <w:pageBreakBefore w:val="0"/>
                    <w:widowControl/>
                    <w:kinsoku/>
                    <w:wordWrap/>
                    <w:overflowPunct/>
                    <w:topLinePunct w:val="0"/>
                    <w:autoSpaceDE/>
                    <w:autoSpaceDN/>
                    <w:bidi w:val="0"/>
                    <w:adjustRightInd/>
                    <w:snapToGrid/>
                    <w:spacing w:line="240" w:lineRule="auto"/>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恒温恒湿箱HWS-150B</w:t>
                  </w:r>
                </w:p>
              </w:tc>
              <w:tc>
                <w:tcPr>
                  <w:tcW w:w="0" w:type="auto"/>
                  <w:tcBorders>
                    <w:left w:val="single" w:color="000000" w:sz="4" w:space="0"/>
                    <w:right w:val="single" w:color="000000" w:sz="4" w:space="0"/>
                  </w:tcBorders>
                  <w:vAlign w:val="center"/>
                </w:tcPr>
                <w:p w14:paraId="38A355C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YQ-027</w:t>
                  </w:r>
                </w:p>
              </w:tc>
            </w:tr>
            <w:tr w14:paraId="7327B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0" w:type="auto"/>
                  <w:vMerge w:val="restart"/>
                  <w:tcBorders>
                    <w:bottom w:val="nil"/>
                    <w:right w:val="single" w:color="000000" w:sz="4" w:space="0"/>
                  </w:tcBorders>
                  <w:vAlign w:val="center"/>
                </w:tcPr>
                <w:p w14:paraId="711F939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1"/>
                      <w:sz w:val="21"/>
                      <w:szCs w:val="21"/>
                    </w:rPr>
                    <w:t>噪</w:t>
                  </w:r>
                  <w:r>
                    <w:rPr>
                      <w:rFonts w:hint="default" w:ascii="Times New Roman" w:hAnsi="Times New Roman" w:eastAsia="宋体" w:cs="Times New Roman"/>
                      <w:color w:val="000000" w:themeColor="text1"/>
                      <w:sz w:val="21"/>
                      <w:szCs w:val="21"/>
                    </w:rPr>
                    <w:t>声</w:t>
                  </w:r>
                </w:p>
              </w:tc>
              <w:tc>
                <w:tcPr>
                  <w:tcW w:w="1147" w:type="dxa"/>
                  <w:vMerge w:val="restart"/>
                  <w:tcBorders>
                    <w:left w:val="single" w:color="000000" w:sz="4" w:space="0"/>
                    <w:bottom w:val="nil"/>
                    <w:right w:val="single" w:color="000000" w:sz="4" w:space="0"/>
                  </w:tcBorders>
                  <w:vAlign w:val="center"/>
                </w:tcPr>
                <w:p w14:paraId="56EFEF8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7"/>
                      <w:sz w:val="21"/>
                      <w:szCs w:val="21"/>
                    </w:rPr>
                    <w:t>社会生</w:t>
                  </w:r>
                  <w:r>
                    <w:rPr>
                      <w:rFonts w:hint="default" w:ascii="Times New Roman" w:hAnsi="Times New Roman" w:eastAsia="宋体" w:cs="Times New Roman"/>
                      <w:color w:val="000000" w:themeColor="text1"/>
                      <w:spacing w:val="6"/>
                      <w:sz w:val="21"/>
                      <w:szCs w:val="21"/>
                    </w:rPr>
                    <w:t>活</w:t>
                  </w:r>
                  <w:r>
                    <w:rPr>
                      <w:rFonts w:hint="default" w:ascii="Times New Roman" w:hAnsi="Times New Roman" w:eastAsia="宋体" w:cs="Times New Roman"/>
                      <w:color w:val="000000" w:themeColor="text1"/>
                      <w:spacing w:val="8"/>
                      <w:sz w:val="21"/>
                      <w:szCs w:val="21"/>
                    </w:rPr>
                    <w:t>环</w:t>
                  </w:r>
                  <w:r>
                    <w:rPr>
                      <w:rFonts w:hint="default" w:ascii="Times New Roman" w:hAnsi="Times New Roman" w:eastAsia="宋体" w:cs="Times New Roman"/>
                      <w:color w:val="000000" w:themeColor="text1"/>
                      <w:spacing w:val="7"/>
                      <w:sz w:val="21"/>
                      <w:szCs w:val="21"/>
                    </w:rPr>
                    <w:t>境噪声</w:t>
                  </w:r>
                </w:p>
              </w:tc>
              <w:tc>
                <w:tcPr>
                  <w:tcW w:w="3860" w:type="dxa"/>
                  <w:vMerge w:val="restart"/>
                  <w:tcBorders>
                    <w:left w:val="single" w:color="000000" w:sz="4" w:space="0"/>
                    <w:bottom w:val="nil"/>
                    <w:right w:val="single" w:color="000000" w:sz="4" w:space="0"/>
                  </w:tcBorders>
                  <w:vAlign w:val="center"/>
                </w:tcPr>
                <w:p w14:paraId="7E17D5C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Style w:val="43"/>
                      <w:rFonts w:hint="default" w:ascii="Times New Roman" w:hAnsi="Times New Roman" w:eastAsia="宋体" w:cs="Times New Roman"/>
                      <w:b w:val="0"/>
                      <w:bCs w:val="0"/>
                      <w:color w:val="000000" w:themeColor="text1"/>
                      <w:sz w:val="21"/>
                      <w:szCs w:val="21"/>
                      <w:highlight w:val="none"/>
                      <w:u w:val="none"/>
                    </w:rPr>
                  </w:pPr>
                  <w:r>
                    <w:rPr>
                      <w:rStyle w:val="43"/>
                      <w:rFonts w:hint="default" w:ascii="Times New Roman" w:hAnsi="Times New Roman" w:eastAsia="宋体" w:cs="Times New Roman"/>
                      <w:b w:val="0"/>
                      <w:bCs w:val="0"/>
                      <w:color w:val="000000" w:themeColor="text1"/>
                      <w:sz w:val="21"/>
                      <w:szCs w:val="21"/>
                      <w:highlight w:val="none"/>
                      <w:u w:val="none"/>
                    </w:rPr>
                    <w:t>社会生活环境噪声排放标准</w:t>
                  </w:r>
                </w:p>
                <w:p w14:paraId="6784137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eastAsia="zh-CN"/>
                    </w:rPr>
                  </w:pPr>
                  <w:r>
                    <w:rPr>
                      <w:rStyle w:val="43"/>
                      <w:rFonts w:hint="default" w:ascii="Times New Roman" w:hAnsi="Times New Roman" w:eastAsia="宋体" w:cs="Times New Roman"/>
                      <w:b w:val="0"/>
                      <w:bCs w:val="0"/>
                      <w:color w:val="000000" w:themeColor="text1"/>
                      <w:sz w:val="21"/>
                      <w:szCs w:val="21"/>
                      <w:highlight w:val="none"/>
                      <w:u w:val="none"/>
                    </w:rPr>
                    <w:t>GB 22337-2008</w:t>
                  </w:r>
                </w:p>
              </w:tc>
              <w:tc>
                <w:tcPr>
                  <w:tcW w:w="0" w:type="auto"/>
                  <w:tcBorders>
                    <w:left w:val="single" w:color="000000" w:sz="4" w:space="0"/>
                    <w:right w:val="single" w:color="000000" w:sz="2" w:space="0"/>
                  </w:tcBorders>
                  <w:vAlign w:val="center"/>
                </w:tcPr>
                <w:p w14:paraId="06439E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vertAlign w:val="baseline"/>
                      <w:lang w:val="en-US" w:eastAsia="zh-CN"/>
                    </w:rPr>
                    <w:t>声级计</w:t>
                  </w:r>
                  <w:r>
                    <w:rPr>
                      <w:rFonts w:hint="default" w:ascii="Times New Roman" w:hAnsi="Times New Roman" w:eastAsia="宋体" w:cs="Times New Roman"/>
                      <w:i w:val="0"/>
                      <w:iCs w:val="0"/>
                      <w:color w:val="000000" w:themeColor="text1"/>
                      <w:kern w:val="0"/>
                      <w:sz w:val="21"/>
                      <w:szCs w:val="21"/>
                      <w:u w:val="none"/>
                      <w:lang w:val="en-US" w:eastAsia="zh-CN" w:bidi="ar"/>
                    </w:rPr>
                    <w:t>AWA5688</w:t>
                  </w:r>
                </w:p>
              </w:tc>
              <w:tc>
                <w:tcPr>
                  <w:tcW w:w="1462" w:type="dxa"/>
                  <w:tcBorders>
                    <w:left w:val="single" w:color="000000" w:sz="2" w:space="0"/>
                    <w:bottom w:val="single" w:color="000000" w:sz="2" w:space="0"/>
                    <w:right w:val="single" w:color="000000" w:sz="2" w:space="0"/>
                  </w:tcBorders>
                  <w:vAlign w:val="center"/>
                </w:tcPr>
                <w:p w14:paraId="0A52516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kern w:val="0"/>
                      <w:sz w:val="21"/>
                      <w:szCs w:val="21"/>
                      <w:lang w:val="en-US" w:eastAsia="zh-CN" w:bidi="ar"/>
                    </w:rPr>
                    <w:t>SCKJ/XC-0</w:t>
                  </w:r>
                  <w:r>
                    <w:rPr>
                      <w:rFonts w:hint="eastAsia" w:ascii="Times New Roman" w:hAnsi="Times New Roman" w:eastAsia="宋体" w:cs="Times New Roman"/>
                      <w:color w:val="000000" w:themeColor="text1"/>
                      <w:kern w:val="0"/>
                      <w:sz w:val="21"/>
                      <w:szCs w:val="21"/>
                      <w:lang w:val="en-US" w:eastAsia="zh-CN" w:bidi="ar"/>
                    </w:rPr>
                    <w:t>40</w:t>
                  </w:r>
                </w:p>
              </w:tc>
            </w:tr>
            <w:tr w14:paraId="5C307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0" w:type="auto"/>
                  <w:vMerge w:val="continue"/>
                  <w:tcBorders>
                    <w:top w:val="nil"/>
                    <w:bottom w:val="nil"/>
                    <w:right w:val="single" w:color="000000" w:sz="4" w:space="0"/>
                  </w:tcBorders>
                  <w:vAlign w:val="center"/>
                </w:tcPr>
                <w:p w14:paraId="4F1291B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continue"/>
                  <w:tcBorders>
                    <w:top w:val="nil"/>
                    <w:left w:val="single" w:color="000000" w:sz="4" w:space="0"/>
                    <w:bottom w:val="nil"/>
                    <w:right w:val="single" w:color="000000" w:sz="4" w:space="0"/>
                  </w:tcBorders>
                  <w:vAlign w:val="center"/>
                </w:tcPr>
                <w:p w14:paraId="75B0583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3860" w:type="dxa"/>
                  <w:vMerge w:val="continue"/>
                  <w:tcBorders>
                    <w:top w:val="nil"/>
                    <w:left w:val="single" w:color="000000" w:sz="4" w:space="0"/>
                    <w:bottom w:val="nil"/>
                    <w:right w:val="single" w:color="000000" w:sz="4" w:space="0"/>
                  </w:tcBorders>
                  <w:vAlign w:val="center"/>
                </w:tcPr>
                <w:p w14:paraId="5F75488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0" w:type="auto"/>
                  <w:tcBorders>
                    <w:left w:val="single" w:color="000000" w:sz="4" w:space="0"/>
                    <w:right w:val="single" w:color="000000" w:sz="2" w:space="0"/>
                  </w:tcBorders>
                  <w:vAlign w:val="center"/>
                </w:tcPr>
                <w:p w14:paraId="16619DE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lang w:val="en-US" w:eastAsia="zh-CN"/>
                    </w:rPr>
                    <w:t>声校准器</w:t>
                  </w:r>
                  <w:r>
                    <w:rPr>
                      <w:rFonts w:hint="default" w:ascii="Times New Roman" w:hAnsi="Times New Roman" w:eastAsia="宋体" w:cs="Times New Roman"/>
                      <w:color w:val="000000" w:themeColor="text1"/>
                      <w:kern w:val="2"/>
                      <w:sz w:val="21"/>
                      <w:szCs w:val="21"/>
                      <w:lang w:val="en-US" w:eastAsia="zh-CN" w:bidi="ar-SA"/>
                    </w:rPr>
                    <w:t>AWA6022A</w:t>
                  </w:r>
                </w:p>
              </w:tc>
              <w:tc>
                <w:tcPr>
                  <w:tcW w:w="1462" w:type="dxa"/>
                  <w:tcBorders>
                    <w:top w:val="single" w:color="000000" w:sz="2" w:space="0"/>
                    <w:left w:val="single" w:color="000000" w:sz="2" w:space="0"/>
                    <w:bottom w:val="single" w:color="000000" w:sz="2" w:space="0"/>
                    <w:right w:val="single" w:color="000000" w:sz="2" w:space="0"/>
                  </w:tcBorders>
                  <w:vAlign w:val="center"/>
                </w:tcPr>
                <w:p w14:paraId="550157AB">
                  <w:pPr>
                    <w:pStyle w:val="86"/>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SCKJ/XC-0</w:t>
                  </w:r>
                  <w:r>
                    <w:rPr>
                      <w:rFonts w:hint="eastAsia" w:ascii="Times New Roman" w:hAnsi="Times New Roman" w:eastAsia="宋体" w:cs="Times New Roman"/>
                      <w:color w:val="000000" w:themeColor="text1"/>
                      <w:kern w:val="0"/>
                      <w:sz w:val="21"/>
                      <w:szCs w:val="21"/>
                      <w:lang w:val="en-US" w:eastAsia="zh-CN" w:bidi="ar"/>
                    </w:rPr>
                    <w:t>4</w:t>
                  </w:r>
                  <w:r>
                    <w:rPr>
                      <w:rFonts w:hint="default" w:ascii="Times New Roman" w:hAnsi="Times New Roman" w:eastAsia="宋体" w:cs="Times New Roman"/>
                      <w:color w:val="000000" w:themeColor="text1"/>
                      <w:kern w:val="0"/>
                      <w:sz w:val="21"/>
                      <w:szCs w:val="21"/>
                      <w:lang w:val="en-US" w:eastAsia="zh-CN" w:bidi="ar"/>
                    </w:rPr>
                    <w:t>1</w:t>
                  </w:r>
                </w:p>
              </w:tc>
            </w:tr>
            <w:tr w14:paraId="2102E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0" w:type="auto"/>
                  <w:vMerge w:val="continue"/>
                  <w:tcBorders>
                    <w:top w:val="nil"/>
                    <w:right w:val="single" w:color="000000" w:sz="4" w:space="0"/>
                  </w:tcBorders>
                  <w:vAlign w:val="center"/>
                </w:tcPr>
                <w:p w14:paraId="6F5D288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continue"/>
                  <w:tcBorders>
                    <w:top w:val="nil"/>
                    <w:left w:val="single" w:color="000000" w:sz="4" w:space="0"/>
                    <w:right w:val="single" w:color="000000" w:sz="4" w:space="0"/>
                  </w:tcBorders>
                  <w:vAlign w:val="center"/>
                </w:tcPr>
                <w:p w14:paraId="56B6128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3860" w:type="dxa"/>
                  <w:vMerge w:val="continue"/>
                  <w:tcBorders>
                    <w:top w:val="nil"/>
                    <w:left w:val="single" w:color="000000" w:sz="4" w:space="0"/>
                    <w:right w:val="single" w:color="000000" w:sz="4" w:space="0"/>
                  </w:tcBorders>
                  <w:vAlign w:val="center"/>
                </w:tcPr>
                <w:p w14:paraId="0FBB32B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0" w:type="auto"/>
                  <w:tcBorders>
                    <w:left w:val="single" w:color="000000" w:sz="4" w:space="0"/>
                    <w:right w:val="single" w:color="000000" w:sz="2" w:space="0"/>
                  </w:tcBorders>
                  <w:vAlign w:val="center"/>
                </w:tcPr>
                <w:p w14:paraId="41E7BDD9">
                  <w:pPr>
                    <w:pStyle w:val="19"/>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shd w:val="clear" w:color="auto" w:fill="auto"/>
                      <w:lang w:val="en-US" w:eastAsia="zh-CN"/>
                    </w:rPr>
                    <w:t>风速风向仪PLC-1602</w:t>
                  </w:r>
                  <w:r>
                    <w:rPr>
                      <w:rFonts w:hint="eastAsia" w:ascii="Times New Roman" w:hAnsi="Times New Roman" w:eastAsia="宋体" w:cs="Times New Roman"/>
                      <w:color w:val="000000" w:themeColor="text1"/>
                      <w:sz w:val="21"/>
                      <w:szCs w:val="21"/>
                      <w:shd w:val="clear" w:color="auto" w:fill="auto"/>
                      <w:lang w:val="en-US" w:eastAsia="zh-CN"/>
                    </w:rPr>
                    <w:t>5</w:t>
                  </w:r>
                </w:p>
              </w:tc>
              <w:tc>
                <w:tcPr>
                  <w:tcW w:w="1462" w:type="dxa"/>
                  <w:tcBorders>
                    <w:top w:val="single" w:color="000000" w:sz="2" w:space="0"/>
                    <w:left w:val="single" w:color="000000" w:sz="2" w:space="0"/>
                    <w:right w:val="single" w:color="000000" w:sz="2" w:space="0"/>
                  </w:tcBorders>
                  <w:vAlign w:val="center"/>
                </w:tcPr>
                <w:p w14:paraId="1D75ED5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SCKJ/XC-0</w:t>
                  </w:r>
                  <w:r>
                    <w:rPr>
                      <w:rFonts w:hint="eastAsia" w:ascii="Times New Roman" w:hAnsi="Times New Roman" w:eastAsia="宋体" w:cs="Times New Roman"/>
                      <w:color w:val="000000" w:themeColor="text1"/>
                      <w:kern w:val="0"/>
                      <w:sz w:val="21"/>
                      <w:szCs w:val="21"/>
                      <w:lang w:val="en-US" w:eastAsia="zh-CN" w:bidi="ar"/>
                    </w:rPr>
                    <w:t>31</w:t>
                  </w:r>
                </w:p>
              </w:tc>
            </w:tr>
          </w:tbl>
          <w:p w14:paraId="286E5144">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2、监测单位质量认证及人员能力</w:t>
            </w:r>
          </w:p>
          <w:p w14:paraId="3F848F17">
            <w:pPr>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highlight w:val="none"/>
              </w:rPr>
              <w:t>本项目竣工验收监测委托</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rPr>
              <w:t>进行。</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lang w:val="en-US" w:eastAsia="zh-CN"/>
              </w:rPr>
              <w:t>具有云南省市场监督管理局颁发的检验检测机构资质认定证书</w:t>
            </w:r>
            <w:r>
              <w:rPr>
                <w:rFonts w:hint="default" w:ascii="Times New Roman" w:hAnsi="Times New Roman" w:cs="Times New Roman"/>
                <w:color w:val="000000" w:themeColor="text1"/>
                <w:sz w:val="24"/>
                <w:szCs w:val="24"/>
                <w:highlight w:val="none"/>
              </w:rPr>
              <w:t>，证书编号：2</w:t>
            </w:r>
            <w:r>
              <w:rPr>
                <w:rFonts w:hint="default" w:ascii="Times New Roman" w:hAnsi="Times New Roman" w:cs="Times New Roman"/>
                <w:color w:val="000000" w:themeColor="text1"/>
                <w:sz w:val="24"/>
                <w:szCs w:val="24"/>
                <w:highlight w:val="none"/>
                <w:lang w:val="en-US" w:eastAsia="zh-CN"/>
              </w:rPr>
              <w:t>42512050050</w:t>
            </w:r>
            <w:r>
              <w:rPr>
                <w:rFonts w:hint="default" w:ascii="Times New Roman" w:hAnsi="Times New Roman" w:cs="Times New Roman"/>
                <w:color w:val="000000" w:themeColor="text1"/>
                <w:sz w:val="24"/>
                <w:szCs w:val="24"/>
                <w:highlight w:val="none"/>
              </w:rPr>
              <w:t>，经营范围包括检测服务；环境保护监测；环保咨询服务；专业设计服务；水利相关咨询服务；安全咨询服务；机械电气设备销售；节能管理服务；技术服务、技术开发、技术咨询、技术交流、技术转让、技术推广。（除依法须经批准的项目外，凭营业执照依法自主开展经营活动）。本项目参加验收监测的现场监测人员、实验室分析人员均为通过专业培训及考核后持证上岗的工作人员。</w:t>
            </w:r>
          </w:p>
          <w:p w14:paraId="1A7D6959">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3、质量控制和质量保证</w:t>
            </w:r>
          </w:p>
          <w:p w14:paraId="67FF1C5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项目监测过程中的质量保证措施按国家环境保护总局颁发的《环境监测质量管理规定》和《环境监测质量管理技术导则》（HJ630-2011）的要求进行，实施全过程质量控制。具体质控要求如下：</w:t>
            </w:r>
          </w:p>
          <w:p w14:paraId="30C421A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（1）监测过程中生产工况负荷满足验收监测技术规范要求；合理布设监测点位，保证各监测点位布设的科学性和可比性。</w:t>
            </w:r>
          </w:p>
          <w:p w14:paraId="7F501FCB">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（2）监测分析方法采用国家有关部门颁布的标准（或推荐）分析方法，监测人员经过考核并持有合格证书。</w:t>
            </w:r>
          </w:p>
          <w:p w14:paraId="0A489ADD">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（3）监测数据严格实行三级审核制度。</w:t>
            </w:r>
          </w:p>
          <w:p w14:paraId="6CE3EB67">
            <w:pPr>
              <w:spacing w:line="360" w:lineRule="auto"/>
              <w:ind w:firstLine="480" w:firstLineChars="200"/>
              <w:rPr>
                <w:rFonts w:ascii="Times New Roman" w:hAnsi="Times New Roman"/>
                <w:color w:val="000000" w:themeColor="text1"/>
                <w:sz w:val="24"/>
              </w:rPr>
            </w:pPr>
            <w:r>
              <w:rPr>
                <w:rFonts w:ascii="Times New Roman" w:hAnsi="Times New Roman"/>
                <w:color w:val="000000" w:themeColor="text1"/>
                <w:sz w:val="24"/>
              </w:rPr>
              <w:t>（4）气体监测分析过程中的质量保证和质量控制</w:t>
            </w:r>
          </w:p>
          <w:p w14:paraId="3688F35D">
            <w:pPr>
              <w:spacing w:line="360" w:lineRule="auto"/>
              <w:ind w:firstLine="480" w:firstLineChars="200"/>
              <w:rPr>
                <w:rFonts w:ascii="Times New Roman" w:hAnsi="Times New Roman"/>
                <w:color w:val="000000" w:themeColor="text1"/>
                <w:sz w:val="24"/>
              </w:rPr>
            </w:pPr>
            <w:r>
              <w:rPr>
                <w:rFonts w:hint="eastAsia" w:ascii="Times New Roman" w:hAnsi="Times New Roman" w:cs="宋体"/>
                <w:color w:val="000000" w:themeColor="text1"/>
                <w:sz w:val="24"/>
                <w:lang w:val="en-US" w:eastAsia="zh-CN"/>
              </w:rPr>
              <w:t>1）</w:t>
            </w:r>
            <w:r>
              <w:rPr>
                <w:rFonts w:ascii="Times New Roman" w:hAnsi="Times New Roman"/>
                <w:color w:val="000000" w:themeColor="text1"/>
                <w:sz w:val="24"/>
              </w:rPr>
              <w:t>选择合适的方法尽量避免或减少被测排放物中共存污染物对目标化合物的干扰。方法检出限满足要求。</w:t>
            </w:r>
          </w:p>
          <w:p w14:paraId="09FEADA0">
            <w:pPr>
              <w:spacing w:line="360" w:lineRule="auto"/>
              <w:ind w:firstLine="480" w:firstLineChars="200"/>
              <w:rPr>
                <w:rFonts w:ascii="Times New Roman" w:hAnsi="Times New Roman"/>
                <w:color w:val="000000" w:themeColor="text1"/>
                <w:sz w:val="24"/>
              </w:rPr>
            </w:pPr>
            <w:r>
              <w:rPr>
                <w:rFonts w:hint="eastAsia" w:ascii="Times New Roman" w:hAnsi="Times New Roman"/>
                <w:color w:val="000000" w:themeColor="text1"/>
                <w:sz w:val="24"/>
                <w:lang w:val="en-US" w:eastAsia="zh-CN"/>
              </w:rPr>
              <w:t>2）</w:t>
            </w:r>
            <w:r>
              <w:rPr>
                <w:rFonts w:ascii="Times New Roman" w:hAnsi="Times New Roman"/>
                <w:color w:val="000000" w:themeColor="text1"/>
                <w:sz w:val="24"/>
              </w:rPr>
              <w:t>被测排放物的浓度</w:t>
            </w:r>
            <w:r>
              <w:rPr>
                <w:rFonts w:hint="eastAsia" w:ascii="Times New Roman" w:hAnsi="Times New Roman"/>
                <w:color w:val="000000" w:themeColor="text1"/>
                <w:sz w:val="24"/>
              </w:rPr>
              <w:t>要在</w:t>
            </w:r>
            <w:r>
              <w:rPr>
                <w:rFonts w:ascii="Times New Roman" w:hAnsi="Times New Roman"/>
                <w:color w:val="000000" w:themeColor="text1"/>
                <w:sz w:val="24"/>
              </w:rPr>
              <w:t>仪器量程的有效范围（即：30%～70%之间）。</w:t>
            </w:r>
          </w:p>
          <w:p w14:paraId="2A5FEC60">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olor w:val="000000" w:themeColor="text1"/>
                <w:sz w:val="24"/>
                <w:lang w:val="en-US" w:eastAsia="zh-CN"/>
              </w:rPr>
              <w:t>3）</w:t>
            </w:r>
            <w:r>
              <w:rPr>
                <w:rFonts w:ascii="Times New Roman" w:hAnsi="Times New Roman"/>
                <w:color w:val="000000" w:themeColor="text1"/>
                <w:sz w:val="24"/>
              </w:rPr>
              <w:t>大气采样器在进入现场前对采样器流量计等进行校核。废气监测（分析）仪器在监测前按监测因子分别用标准气体和流量对其进行校核（标定），在监测时应保证其采样流量的准确。</w:t>
            </w:r>
          </w:p>
          <w:p w14:paraId="5C4B815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5</w:t>
            </w:r>
            <w:r>
              <w:rPr>
                <w:rFonts w:hint="default" w:ascii="Times New Roman" w:hAnsi="Times New Roman" w:cs="Times New Roman"/>
                <w:color w:val="000000" w:themeColor="text1"/>
                <w:sz w:val="24"/>
                <w:szCs w:val="24"/>
              </w:rPr>
              <w:t>）水质监测分析过程中的质量保证和质量控制</w:t>
            </w:r>
          </w:p>
          <w:p w14:paraId="03251755">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水样的采集、运输、保存、实验室分析和数据计算的全过程均按《环境水质监测质量保证手册》（第四版）等的要求进行。选择的方法检出限应满足要求。采样过程中应采集一定比例的平行样；实验室分析过程一般应使用标准物质、空白试验、平行双样测定、加标回收率测定等质控措施，并对质控数据分析，附质控数据分析表。</w:t>
            </w:r>
          </w:p>
          <w:p w14:paraId="1A1603C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6</w:t>
            </w:r>
            <w:r>
              <w:rPr>
                <w:rFonts w:hint="default" w:ascii="Times New Roman" w:hAnsi="Times New Roman" w:cs="Times New Roman"/>
                <w:color w:val="000000" w:themeColor="text1"/>
                <w:sz w:val="24"/>
                <w:szCs w:val="24"/>
              </w:rPr>
              <w:t>）噪声监测分析过程的质量保证和质量控制</w:t>
            </w:r>
          </w:p>
          <w:p w14:paraId="54B4DB3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声级计在监测前后用标准发生源进行校准，测量前后</w:t>
            </w:r>
            <w:r>
              <w:rPr>
                <w:rFonts w:hint="eastAsia" w:ascii="Times New Roman" w:hAnsi="Times New Roman" w:cs="Times New Roman"/>
                <w:color w:val="000000" w:themeColor="text1"/>
                <w:sz w:val="24"/>
                <w:szCs w:val="24"/>
                <w:lang w:val="en-US" w:eastAsia="zh-CN"/>
              </w:rPr>
              <w:t>仪器</w:t>
            </w:r>
            <w:r>
              <w:rPr>
                <w:rFonts w:hint="default" w:ascii="Times New Roman" w:hAnsi="Times New Roman" w:cs="Times New Roman"/>
                <w:color w:val="000000" w:themeColor="text1"/>
                <w:sz w:val="24"/>
                <w:szCs w:val="24"/>
              </w:rPr>
              <w:t>的灵敏程度相差不大于0.5dB，若大于0.5dB监测数据无效。</w:t>
            </w:r>
          </w:p>
        </w:tc>
      </w:tr>
    </w:tbl>
    <w:p w14:paraId="75AC42BA">
      <w:pPr>
        <w:spacing w:line="360" w:lineRule="auto"/>
        <w:outlineLvl w:val="0"/>
        <w:rPr>
          <w:rFonts w:hint="default" w:ascii="Times New Roman" w:hAnsi="Times New Roman" w:cs="Times New Roman"/>
          <w:b/>
          <w:bCs/>
          <w:color w:val="000000" w:themeColor="text1"/>
          <w:sz w:val="28"/>
          <w:szCs w:val="28"/>
        </w:rPr>
      </w:pPr>
      <w:r>
        <w:rPr>
          <w:rFonts w:hint="default" w:ascii="Times New Roman" w:hAnsi="Times New Roman" w:cs="Times New Roman"/>
          <w:b/>
          <w:bCs/>
          <w:color w:val="000000" w:themeColor="text1"/>
          <w:sz w:val="30"/>
        </w:rPr>
        <w:br w:type="page"/>
      </w:r>
      <w:bookmarkStart w:id="31" w:name="_Toc525117867"/>
      <w:bookmarkStart w:id="32" w:name="_Toc527116046"/>
      <w:r>
        <w:rPr>
          <w:rFonts w:hint="default" w:ascii="Times New Roman" w:hAnsi="Times New Roman" w:cs="Times New Roman"/>
          <w:b/>
          <w:bCs/>
          <w:color w:val="000000" w:themeColor="text1"/>
          <w:sz w:val="28"/>
          <w:szCs w:val="28"/>
        </w:rPr>
        <w:t>表六</w:t>
      </w:r>
      <w:bookmarkEnd w:id="31"/>
      <w:bookmarkEnd w:id="32"/>
    </w:p>
    <w:tbl>
      <w:tblPr>
        <w:tblStyle w:val="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46"/>
      </w:tblGrid>
      <w:tr w14:paraId="7F189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tcPr>
          <w:p w14:paraId="1857FB57">
            <w:pPr>
              <w:spacing w:line="360" w:lineRule="auto"/>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验收监测内容：</w:t>
            </w:r>
          </w:p>
          <w:p w14:paraId="0A43188F">
            <w:pPr>
              <w:spacing w:line="360" w:lineRule="auto"/>
              <w:ind w:firstLine="482" w:firstLineChars="200"/>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val="en-US" w:eastAsia="zh-CN"/>
              </w:rPr>
              <w:t>1、</w:t>
            </w:r>
            <w:r>
              <w:rPr>
                <w:rFonts w:hint="default" w:ascii="Times New Roman" w:hAnsi="Times New Roman" w:cs="Times New Roman"/>
                <w:b/>
                <w:color w:val="000000" w:themeColor="text1"/>
                <w:sz w:val="24"/>
                <w:szCs w:val="24"/>
              </w:rPr>
              <w:t>环境影响报告表中提出的监测计划落实情况</w:t>
            </w:r>
          </w:p>
          <w:p w14:paraId="1E03BEB9">
            <w:pPr>
              <w:spacing w:line="360" w:lineRule="auto"/>
              <w:ind w:firstLine="480" w:firstLineChars="200"/>
              <w:rPr>
                <w:rFonts w:hint="default" w:ascii="Times New Roman" w:hAnsi="Times New Roman" w:cs="Times New Roman" w:eastAsiaTheme="minorEastAsia"/>
                <w:color w:val="000000" w:themeColor="text1"/>
                <w:sz w:val="24"/>
                <w:szCs w:val="24"/>
                <w:lang w:val="en-US" w:eastAsia="zh-CN"/>
              </w:rPr>
            </w:pPr>
            <w:r>
              <w:rPr>
                <w:rFonts w:hint="default" w:ascii="Times New Roman" w:hAnsi="Times New Roman" w:cs="Times New Roman"/>
                <w:color w:val="000000" w:themeColor="text1"/>
                <w:sz w:val="24"/>
                <w:szCs w:val="24"/>
              </w:rPr>
              <w:t>本项目已按照《腾冲市“</w:t>
            </w:r>
            <w:r>
              <w:rPr>
                <w:rFonts w:hint="eastAsia" w:ascii="Times New Roman" w:hAnsi="Times New Roman" w:cs="Times New Roman"/>
                <w:color w:val="000000" w:themeColor="text1"/>
                <w:sz w:val="24"/>
                <w:szCs w:val="24"/>
                <w:lang w:val="en-US" w:eastAsia="zh-CN"/>
              </w:rPr>
              <w:t>顺颐府</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住宅</w:t>
            </w:r>
            <w:r>
              <w:rPr>
                <w:rFonts w:hint="default" w:ascii="Times New Roman" w:hAnsi="Times New Roman" w:cs="Times New Roman"/>
                <w:color w:val="000000" w:themeColor="text1"/>
                <w:sz w:val="24"/>
                <w:szCs w:val="24"/>
              </w:rPr>
              <w:t>建设项目</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一期</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环境影响报告表》中列出的监测计划一览表相关要求。“报告表”中要求本项目对施工期进行监测，但是由于施工期间该部分内容管理不善，未对施工期进行监测，</w:t>
            </w:r>
            <w:r>
              <w:rPr>
                <w:rFonts w:hint="default" w:ascii="Times New Roman" w:hAnsi="Times New Roman" w:cs="Times New Roman"/>
                <w:color w:val="000000" w:themeColor="text1"/>
                <w:sz w:val="24"/>
                <w:szCs w:val="24"/>
                <w:lang w:eastAsia="zh-CN"/>
              </w:rPr>
              <w:t>但结合实际调查落实</w:t>
            </w:r>
            <w:r>
              <w:rPr>
                <w:rFonts w:hint="default" w:ascii="Times New Roman" w:hAnsi="Times New Roman" w:cs="Times New Roman"/>
                <w:color w:val="000000" w:themeColor="text1"/>
                <w:sz w:val="24"/>
                <w:szCs w:val="24"/>
              </w:rPr>
              <w:t>，本项目在施工期间未出现环境污染事件，也未发生环境投诉事件，对环境影响不大。</w:t>
            </w:r>
            <w:r>
              <w:rPr>
                <w:rFonts w:hint="eastAsia" w:ascii="Times New Roman" w:hAnsi="Times New Roman" w:cs="Times New Roman"/>
                <w:color w:val="000000" w:themeColor="text1"/>
                <w:sz w:val="24"/>
                <w:szCs w:val="24"/>
                <w:lang w:val="en-US" w:eastAsia="zh-CN"/>
              </w:rPr>
              <w:t>我公司</w:t>
            </w:r>
            <w:r>
              <w:rPr>
                <w:rFonts w:hint="default" w:ascii="Times New Roman" w:hAnsi="Times New Roman" w:cs="Times New Roman"/>
                <w:color w:val="000000" w:themeColor="text1"/>
                <w:sz w:val="24"/>
                <w:szCs w:val="24"/>
              </w:rPr>
              <w:t>按照“报告表”的要求</w:t>
            </w:r>
            <w:r>
              <w:rPr>
                <w:rFonts w:hint="eastAsia" w:ascii="Times New Roman" w:hAnsi="Times New Roman" w:cs="Times New Roman"/>
                <w:color w:val="000000" w:themeColor="text1"/>
                <w:sz w:val="24"/>
                <w:szCs w:val="24"/>
                <w:lang w:val="en-US" w:eastAsia="zh-CN"/>
              </w:rPr>
              <w:t>委</w:t>
            </w:r>
            <w:r>
              <w:rPr>
                <w:rFonts w:hint="default" w:ascii="Times New Roman" w:hAnsi="Times New Roman" w:cs="Times New Roman"/>
                <w:color w:val="000000" w:themeColor="text1"/>
                <w:sz w:val="24"/>
                <w:szCs w:val="24"/>
              </w:rPr>
              <w:t>托</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rPr>
              <w:t>对项目进行竣工验收监测，具体监测结果见</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highlight w:val="none"/>
              </w:rPr>
              <w:t>出具的监测报告（</w:t>
            </w:r>
            <w:r>
              <w:rPr>
                <w:rFonts w:hint="eastAsia" w:ascii="Times New Roman" w:hAnsi="Times New Roman" w:cs="Times New Roman"/>
                <w:color w:val="000000" w:themeColor="text1"/>
                <w:sz w:val="24"/>
                <w:szCs w:val="24"/>
                <w:highlight w:val="none"/>
                <w:lang w:val="en-US" w:eastAsia="zh-CN"/>
              </w:rPr>
              <w:t>SCKJ25030502</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rPr>
              <w:t>。项目建设过程中未对施工期进行监测，但监测内容与环评要求基本一致。</w:t>
            </w:r>
            <w:r>
              <w:rPr>
                <w:rFonts w:hint="eastAsia" w:ascii="Times New Roman" w:hAnsi="Times New Roman" w:cs="Times New Roman"/>
                <w:color w:val="000000" w:themeColor="text1"/>
                <w:sz w:val="24"/>
                <w:szCs w:val="24"/>
                <w:lang w:val="en-US" w:eastAsia="zh-CN"/>
              </w:rPr>
              <w:t>项目环评要求的废水验收监测包括</w:t>
            </w:r>
            <w:r>
              <w:rPr>
                <w:rFonts w:hint="default" w:ascii="Times New Roman" w:hAnsi="Times New Roman" w:cs="Times New Roman" w:eastAsiaTheme="minorEastAsia"/>
                <w:color w:val="000000" w:themeColor="text1"/>
                <w:sz w:val="24"/>
                <w:szCs w:val="24"/>
              </w:rPr>
              <w:t>污水处理站进出口、</w:t>
            </w:r>
            <w:r>
              <w:rPr>
                <w:rFonts w:hint="eastAsia" w:ascii="Times New Roman" w:hAnsi="Times New Roman" w:cs="Times New Roman" w:eastAsiaTheme="minorEastAsia"/>
                <w:color w:val="000000" w:themeColor="text1"/>
                <w:sz w:val="24"/>
                <w:szCs w:val="24"/>
                <w:lang w:val="en-US" w:eastAsia="zh-CN"/>
              </w:rPr>
              <w:t>防渗</w:t>
            </w:r>
            <w:r>
              <w:rPr>
                <w:rFonts w:hint="default" w:ascii="Times New Roman" w:hAnsi="Times New Roman" w:cs="Times New Roman" w:eastAsiaTheme="minorEastAsia"/>
                <w:color w:val="000000" w:themeColor="text1"/>
                <w:sz w:val="24"/>
                <w:szCs w:val="24"/>
              </w:rPr>
              <w:t>监测孔</w:t>
            </w:r>
            <w:r>
              <w:rPr>
                <w:rFonts w:hint="eastAsia" w:ascii="Times New Roman" w:hAnsi="Times New Roman" w:cs="Times New Roman" w:eastAsiaTheme="minorEastAsia"/>
                <w:color w:val="000000" w:themeColor="text1"/>
                <w:sz w:val="24"/>
                <w:szCs w:val="24"/>
                <w:lang w:val="en-US" w:eastAsia="zh-CN"/>
              </w:rPr>
              <w:t>两个点位，防渗</w:t>
            </w:r>
            <w:r>
              <w:rPr>
                <w:rFonts w:hint="default" w:ascii="Times New Roman" w:hAnsi="Times New Roman" w:cs="Times New Roman" w:eastAsiaTheme="minorEastAsia"/>
                <w:color w:val="000000" w:themeColor="text1"/>
                <w:sz w:val="24"/>
                <w:szCs w:val="24"/>
              </w:rPr>
              <w:t>监测孔</w:t>
            </w:r>
            <w:r>
              <w:rPr>
                <w:rFonts w:hint="eastAsia" w:ascii="Times New Roman" w:hAnsi="Times New Roman" w:cs="Times New Roman" w:eastAsiaTheme="minorEastAsia"/>
                <w:color w:val="000000" w:themeColor="text1"/>
                <w:sz w:val="24"/>
                <w:szCs w:val="24"/>
                <w:lang w:val="en-US" w:eastAsia="zh-CN"/>
              </w:rPr>
              <w:t>的主要作用为监测项目污水处理站是否泄漏，若无泄漏则防渗监测孔无污水，因此本次废水验收监测数据仅有污水处理站进出口。</w:t>
            </w:r>
          </w:p>
          <w:p w14:paraId="58055249">
            <w:pPr>
              <w:numPr>
                <w:ilvl w:val="0"/>
                <w:numId w:val="0"/>
              </w:numPr>
              <w:spacing w:line="360" w:lineRule="auto"/>
              <w:ind w:firstLine="482" w:firstLineChars="200"/>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val="en-US" w:eastAsia="zh-CN"/>
              </w:rPr>
              <w:t>2、</w:t>
            </w:r>
            <w:r>
              <w:rPr>
                <w:rFonts w:hint="default" w:ascii="Times New Roman" w:hAnsi="Times New Roman" w:cs="Times New Roman"/>
                <w:b/>
                <w:color w:val="000000" w:themeColor="text1"/>
                <w:sz w:val="24"/>
                <w:szCs w:val="24"/>
              </w:rPr>
              <w:t>监测内容</w:t>
            </w:r>
          </w:p>
          <w:p w14:paraId="7AA9BA8F">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竣工验收监测</w:t>
            </w:r>
          </w:p>
          <w:p w14:paraId="29E01A4F">
            <w:pPr>
              <w:spacing w:line="360" w:lineRule="auto"/>
              <w:ind w:firstLine="480" w:firstLineChars="200"/>
              <w:outlineLvl w:val="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（1）噪声监测</w:t>
            </w:r>
          </w:p>
          <w:p w14:paraId="7994A2A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监测点位：</w:t>
            </w:r>
            <w:r>
              <w:rPr>
                <w:rFonts w:hint="default" w:ascii="Times New Roman" w:hAnsi="Times New Roman" w:cs="Times New Roman"/>
                <w:b w:val="0"/>
                <w:bCs/>
                <w:color w:val="000000" w:themeColor="text1"/>
                <w:sz w:val="24"/>
              </w:rPr>
              <w:t>共设</w:t>
            </w:r>
            <w:r>
              <w:rPr>
                <w:rFonts w:hint="default" w:ascii="Times New Roman" w:hAnsi="Times New Roman" w:cs="Times New Roman"/>
                <w:b w:val="0"/>
                <w:bCs/>
                <w:color w:val="000000" w:themeColor="text1"/>
                <w:sz w:val="24"/>
                <w:lang w:val="en-US" w:eastAsia="zh-CN"/>
              </w:rPr>
              <w:t>4</w:t>
            </w:r>
            <w:r>
              <w:rPr>
                <w:rFonts w:hint="default" w:ascii="Times New Roman" w:hAnsi="Times New Roman" w:cs="Times New Roman"/>
                <w:b w:val="0"/>
                <w:bCs/>
                <w:color w:val="000000" w:themeColor="text1"/>
                <w:sz w:val="24"/>
              </w:rPr>
              <w:t>个点位</w:t>
            </w:r>
            <w:r>
              <w:rPr>
                <w:rFonts w:hint="default" w:ascii="Times New Roman" w:hAnsi="Times New Roman" w:cs="Times New Roman"/>
                <w:b w:val="0"/>
                <w:bCs/>
                <w:color w:val="000000" w:themeColor="text1"/>
                <w:sz w:val="24"/>
                <w:lang w:eastAsia="zh-CN"/>
              </w:rPr>
              <w:t>，</w:t>
            </w:r>
            <w:r>
              <w:rPr>
                <w:rFonts w:hint="default" w:ascii="Times New Roman" w:hAnsi="Times New Roman" w:cs="Times New Roman"/>
                <w:b w:val="0"/>
                <w:bCs/>
                <w:color w:val="000000" w:themeColor="text1"/>
                <w:sz w:val="24"/>
                <w:lang w:val="en-US" w:eastAsia="zh-CN"/>
              </w:rPr>
              <w:t>分别为</w:t>
            </w:r>
            <w:r>
              <w:rPr>
                <w:rFonts w:hint="default" w:ascii="Times New Roman" w:hAnsi="Times New Roman" w:eastAsia="宋体" w:cs="Times New Roman"/>
                <w:color w:val="000000" w:themeColor="text1"/>
                <w:sz w:val="24"/>
              </w:rPr>
              <w:t>1#项目东侧边界1m处、2#项目南侧边界1m处、3#项目西侧边界1m处、4#项目北侧边界1m处</w:t>
            </w:r>
            <w:r>
              <w:rPr>
                <w:rFonts w:hint="default" w:ascii="Times New Roman" w:hAnsi="Times New Roman" w:eastAsia="宋体" w:cs="Times New Roman"/>
                <w:color w:val="000000" w:themeColor="text1"/>
                <w:sz w:val="24"/>
                <w:lang w:eastAsia="zh-CN"/>
              </w:rPr>
              <w:t>。</w:t>
            </w:r>
          </w:p>
          <w:p w14:paraId="55E8940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监测项目：等效连续A声级；</w:t>
            </w:r>
          </w:p>
          <w:p w14:paraId="734DE46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监测频率：连续监测2天，每天昼夜各监测1次。</w:t>
            </w:r>
          </w:p>
          <w:p w14:paraId="7575B7B3">
            <w:pPr>
              <w:spacing w:line="360" w:lineRule="auto"/>
              <w:ind w:firstLine="480" w:firstLineChars="200"/>
              <w:rPr>
                <w:rFonts w:hint="default" w:ascii="Times New Roman" w:hAnsi="Times New Roman" w:cs="Times New Roman"/>
                <w:b/>
                <w:bCs/>
                <w:color w:val="000000" w:themeColor="text1"/>
                <w:kern w:val="0"/>
                <w:sz w:val="28"/>
                <w:szCs w:val="28"/>
              </w:rPr>
            </w:pPr>
            <w:r>
              <w:rPr>
                <w:rFonts w:hint="default" w:ascii="Times New Roman" w:hAnsi="Times New Roman" w:cs="Times New Roman"/>
                <w:color w:val="000000" w:themeColor="text1"/>
                <w:sz w:val="24"/>
                <w:szCs w:val="24"/>
              </w:rPr>
              <w:t>执行标准：</w:t>
            </w:r>
            <w:r>
              <w:rPr>
                <w:rFonts w:hint="default" w:ascii="Times New Roman" w:hAnsi="Times New Roman" w:cs="Times New Roman" w:eastAsiaTheme="minorEastAsia"/>
                <w:color w:val="000000" w:themeColor="text1"/>
                <w:sz w:val="24"/>
                <w:szCs w:val="24"/>
              </w:rPr>
              <w:t>按《社会生活环境噪声排放标准》（GB22337-2008）</w:t>
            </w:r>
            <w:r>
              <w:rPr>
                <w:rFonts w:hint="default" w:ascii="Times New Roman" w:hAnsi="Times New Roman" w:cs="Times New Roman" w:eastAsiaTheme="minorEastAsia"/>
                <w:color w:val="000000" w:themeColor="text1"/>
                <w:sz w:val="24"/>
              </w:rPr>
              <w:t>及</w:t>
            </w:r>
            <w:r>
              <w:rPr>
                <w:rFonts w:hint="default" w:ascii="Times New Roman" w:hAnsi="Times New Roman" w:cs="Times New Roman"/>
                <w:b w:val="0"/>
                <w:bCs/>
                <w:color w:val="000000" w:themeColor="text1"/>
                <w:sz w:val="24"/>
              </w:rPr>
              <w:t>《工业企业厂界环境噪声排放标准》（GB12348-2008）</w:t>
            </w:r>
            <w:r>
              <w:rPr>
                <w:rFonts w:hint="default" w:ascii="Times New Roman" w:hAnsi="Times New Roman" w:cs="Times New Roman"/>
                <w:b w:val="0"/>
                <w:bCs/>
                <w:color w:val="000000" w:themeColor="text1"/>
                <w:sz w:val="24"/>
                <w:szCs w:val="24"/>
                <w:lang w:val="en-US" w:eastAsia="zh-CN"/>
              </w:rPr>
              <w:t>2</w:t>
            </w:r>
            <w:r>
              <w:rPr>
                <w:rFonts w:hint="default" w:ascii="Times New Roman" w:hAnsi="Times New Roman" w:cs="Times New Roman"/>
                <w:b w:val="0"/>
                <w:bCs/>
                <w:color w:val="000000" w:themeColor="text1"/>
                <w:sz w:val="24"/>
                <w:szCs w:val="24"/>
              </w:rPr>
              <w:t>类标准</w:t>
            </w:r>
            <w:r>
              <w:rPr>
                <w:rFonts w:hint="default" w:ascii="Times New Roman" w:hAnsi="Times New Roman" w:cs="Times New Roman"/>
                <w:color w:val="000000" w:themeColor="text1"/>
                <w:sz w:val="24"/>
                <w:szCs w:val="24"/>
                <w:highlight w:val="none"/>
              </w:rPr>
              <w:t>。</w:t>
            </w:r>
          </w:p>
          <w:p w14:paraId="59A47AFF">
            <w:pPr>
              <w:spacing w:line="360" w:lineRule="auto"/>
              <w:ind w:firstLine="480" w:firstLineChars="200"/>
              <w:outlineLvl w:val="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（2）废水监测计划</w:t>
            </w:r>
          </w:p>
          <w:p w14:paraId="5EEBF26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监测点位：共设</w:t>
            </w:r>
            <w:r>
              <w:rPr>
                <w:rFonts w:hint="default"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rPr>
              <w:t>个点位，</w:t>
            </w:r>
            <w:r>
              <w:rPr>
                <w:rFonts w:hint="default" w:ascii="Times New Roman" w:hAnsi="Times New Roman" w:cs="Times New Roman"/>
                <w:color w:val="000000" w:themeColor="text1"/>
                <w:sz w:val="24"/>
                <w:szCs w:val="24"/>
                <w:lang w:val="en-US" w:eastAsia="zh-CN"/>
              </w:rPr>
              <w:t>分别为</w:t>
            </w:r>
            <w:r>
              <w:rPr>
                <w:rFonts w:hint="default" w:ascii="Times New Roman" w:hAnsi="Times New Roman" w:cs="Times New Roman" w:eastAsiaTheme="minorEastAsia"/>
                <w:color w:val="000000" w:themeColor="text1"/>
                <w:sz w:val="24"/>
                <w:szCs w:val="24"/>
              </w:rPr>
              <w:t>污水处理站进出口、监测孔</w:t>
            </w:r>
            <w:r>
              <w:rPr>
                <w:rFonts w:hint="default" w:ascii="Times New Roman" w:hAnsi="Times New Roman" w:cs="Times New Roman"/>
                <w:color w:val="000000" w:themeColor="text1"/>
                <w:sz w:val="24"/>
                <w:szCs w:val="24"/>
              </w:rPr>
              <w:t>；</w:t>
            </w:r>
          </w:p>
          <w:p w14:paraId="662CF43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监测项目：</w:t>
            </w:r>
          </w:p>
          <w:p w14:paraId="0339D9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kern w:val="2"/>
                <w:sz w:val="24"/>
                <w:szCs w:val="24"/>
                <w:lang w:val="en-US" w:eastAsia="zh-CN" w:bidi="ar-SA"/>
              </w:rPr>
              <w:t>1）污水处理站进出口</w:t>
            </w:r>
            <w:r>
              <w:rPr>
                <w:rFonts w:hint="default" w:ascii="Times New Roman" w:hAnsi="Times New Roman" w:cs="Times New Roman"/>
                <w:color w:val="000000" w:themeColor="text1"/>
                <w:sz w:val="24"/>
                <w:szCs w:val="24"/>
              </w:rPr>
              <w:t>：pH、CODcr、BOD</w:t>
            </w:r>
            <w:r>
              <w:rPr>
                <w:rFonts w:hint="default" w:ascii="Times New Roman" w:hAnsi="Times New Roman" w:cs="Times New Roman"/>
                <w:color w:val="000000" w:themeColor="text1"/>
                <w:sz w:val="24"/>
                <w:szCs w:val="24"/>
                <w:vertAlign w:val="subscript"/>
              </w:rPr>
              <w:t>5</w:t>
            </w:r>
            <w:r>
              <w:rPr>
                <w:rFonts w:hint="default" w:ascii="Times New Roman" w:hAnsi="Times New Roman" w:cs="Times New Roman"/>
                <w:color w:val="000000" w:themeColor="text1"/>
                <w:sz w:val="24"/>
                <w:szCs w:val="24"/>
              </w:rPr>
              <w:t>、SS、TN、TP、氨氮、</w:t>
            </w:r>
            <w:r>
              <w:rPr>
                <w:rFonts w:hint="default" w:ascii="Times New Roman" w:hAnsi="Times New Roman" w:cs="Times New Roman"/>
                <w:color w:val="000000" w:themeColor="text1"/>
                <w:sz w:val="24"/>
                <w:szCs w:val="24"/>
                <w:lang w:val="en-US" w:eastAsia="zh-CN"/>
              </w:rPr>
              <w:t>粪</w:t>
            </w:r>
            <w:r>
              <w:rPr>
                <w:rFonts w:hint="default" w:ascii="Times New Roman" w:hAnsi="Times New Roman" w:cs="Times New Roman"/>
                <w:color w:val="000000" w:themeColor="text1"/>
                <w:sz w:val="24"/>
                <w:szCs w:val="24"/>
              </w:rPr>
              <w:t>大肠菌群、动植物油、石油类共10项</w:t>
            </w:r>
            <w:r>
              <w:rPr>
                <w:rFonts w:hint="default" w:ascii="Times New Roman" w:hAnsi="Times New Roman" w:cs="Times New Roman"/>
                <w:color w:val="000000" w:themeColor="text1"/>
                <w:sz w:val="24"/>
                <w:szCs w:val="24"/>
                <w:highlight w:val="none"/>
              </w:rPr>
              <w:t>；</w:t>
            </w:r>
          </w:p>
          <w:p w14:paraId="74002B27">
            <w:pPr>
              <w:tabs>
                <w:tab w:val="left" w:pos="6749"/>
              </w:tabs>
              <w:spacing w:line="360" w:lineRule="auto"/>
              <w:ind w:firstLine="480"/>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cs="Times New Roman"/>
                <w:color w:val="000000" w:themeColor="text1"/>
                <w:sz w:val="24"/>
                <w:szCs w:val="24"/>
                <w:highlight w:val="none"/>
                <w:lang w:val="en-US" w:eastAsia="zh-CN"/>
              </w:rPr>
              <w:t>2）监测孔</w:t>
            </w:r>
            <w:r>
              <w:rPr>
                <w:rFonts w:hint="default" w:ascii="Times New Roman" w:hAnsi="Times New Roman" w:cs="Times New Roman"/>
                <w:color w:val="000000" w:themeColor="text1"/>
                <w:sz w:val="24"/>
                <w:szCs w:val="24"/>
                <w:highlight w:val="none"/>
              </w:rPr>
              <w:t>：pH、CODcr、BOD</w:t>
            </w:r>
            <w:r>
              <w:rPr>
                <w:rFonts w:hint="default" w:ascii="Times New Roman" w:hAnsi="Times New Roman" w:cs="Times New Roman"/>
                <w:color w:val="000000" w:themeColor="text1"/>
                <w:sz w:val="24"/>
                <w:szCs w:val="24"/>
                <w:highlight w:val="none"/>
                <w:vertAlign w:val="subscript"/>
              </w:rPr>
              <w:t>5</w:t>
            </w:r>
            <w:r>
              <w:rPr>
                <w:rFonts w:hint="default" w:ascii="Times New Roman" w:hAnsi="Times New Roman" w:cs="Times New Roman"/>
                <w:color w:val="000000" w:themeColor="text1"/>
                <w:sz w:val="24"/>
                <w:szCs w:val="24"/>
                <w:highlight w:val="none"/>
              </w:rPr>
              <w:t>、氨氮、</w:t>
            </w:r>
            <w:r>
              <w:rPr>
                <w:rFonts w:hint="default" w:ascii="Times New Roman" w:hAnsi="Times New Roman" w:cs="Times New Roman"/>
                <w:color w:val="000000" w:themeColor="text1"/>
                <w:sz w:val="24"/>
                <w:szCs w:val="24"/>
                <w:highlight w:val="none"/>
                <w:lang w:val="en-US" w:eastAsia="zh-CN"/>
              </w:rPr>
              <w:t>粪</w:t>
            </w:r>
            <w:r>
              <w:rPr>
                <w:rFonts w:hint="default" w:ascii="Times New Roman" w:hAnsi="Times New Roman" w:cs="Times New Roman"/>
                <w:color w:val="000000" w:themeColor="text1"/>
                <w:sz w:val="24"/>
                <w:szCs w:val="24"/>
                <w:highlight w:val="none"/>
              </w:rPr>
              <w:t>大肠菌群</w:t>
            </w:r>
            <w:r>
              <w:rPr>
                <w:rFonts w:hint="default" w:ascii="Times New Roman" w:hAnsi="Times New Roman" w:cs="Times New Roman"/>
                <w:color w:val="000000" w:themeColor="text1"/>
                <w:sz w:val="24"/>
                <w:szCs w:val="24"/>
                <w:highlight w:val="none"/>
                <w:lang w:val="en-US" w:eastAsia="zh-CN"/>
              </w:rPr>
              <w:t>共5项；</w:t>
            </w:r>
          </w:p>
          <w:p w14:paraId="6F90C58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监测频率：连续监测2天，每天采样3次；</w:t>
            </w:r>
          </w:p>
          <w:p w14:paraId="49EC166E">
            <w:pPr>
              <w:spacing w:line="360" w:lineRule="auto"/>
              <w:ind w:firstLine="480" w:firstLineChars="200"/>
              <w:rPr>
                <w:rFonts w:hint="default" w:ascii="Times New Roman" w:hAnsi="Times New Roman" w:cs="Times New Roman"/>
                <w:color w:val="000000" w:themeColor="text1"/>
                <w:sz w:val="24"/>
                <w:szCs w:val="24"/>
                <w:highlight w:val="none"/>
                <w:lang w:val="en-US" w:eastAsia="zh-CN"/>
              </w:rPr>
            </w:pPr>
            <w:r>
              <w:rPr>
                <w:rFonts w:hint="default" w:ascii="Times New Roman" w:hAnsi="Times New Roman" w:cs="Times New Roman"/>
                <w:color w:val="000000" w:themeColor="text1"/>
                <w:sz w:val="24"/>
                <w:szCs w:val="24"/>
              </w:rPr>
              <w:t>执行标准：</w:t>
            </w:r>
            <w:r>
              <w:rPr>
                <w:rFonts w:hint="default" w:ascii="Times New Roman" w:hAnsi="Times New Roman" w:cs="Times New Roman" w:eastAsiaTheme="minorEastAsia"/>
                <w:color w:val="000000" w:themeColor="text1"/>
                <w:sz w:val="24"/>
                <w:szCs w:val="24"/>
              </w:rPr>
              <w:t>按照《水和废水监测分析方法（第四版）》中相关规定监测；</w:t>
            </w:r>
            <w:r>
              <w:rPr>
                <w:rFonts w:hint="default" w:ascii="Times New Roman" w:hAnsi="Times New Roman" w:cs="Times New Roman"/>
                <w:color w:val="000000" w:themeColor="text1"/>
                <w:sz w:val="24"/>
                <w:szCs w:val="24"/>
                <w:highlight w:val="none"/>
                <w:lang w:val="en-US" w:eastAsia="zh-CN"/>
              </w:rPr>
              <w:t>执行《城市污水再生利用 城市杂用水水质》（GB/T18920-2020）城市绿化水质标准及《城镇污水处理厂污染物排放标准》（GB18918-2002）一级A标准。</w:t>
            </w:r>
          </w:p>
          <w:p w14:paraId="1CA4E2DA">
            <w:pPr>
              <w:pStyle w:val="2"/>
              <w:rPr>
                <w:rFonts w:hint="default" w:ascii="Times New Roman" w:hAnsi="Times New Roman" w:cs="Times New Roman"/>
                <w:color w:val="000000" w:themeColor="text1"/>
                <w:sz w:val="24"/>
                <w:szCs w:val="24"/>
                <w:highlight w:val="none"/>
                <w:lang w:val="en-US" w:eastAsia="zh-CN"/>
              </w:rPr>
            </w:pPr>
          </w:p>
          <w:p w14:paraId="5D8BE2F9">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7113D3F1">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21026D4D">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11A4E5BE">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7CF08704">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3AFFCC21">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173D8540">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062FF19B">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5ACBA79C">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08DD586C">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0A75B878">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1D18DA3E">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706EC9C3">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5B8BB432">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1A92D6CC">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4AA0B5E5">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09A19A98">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778B6014">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634ABABB">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7784A4D9">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62AF29D1">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726B9DFB">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5F4FBC75">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6681636A">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66B3A9D9">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1D4ED1C0">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p w14:paraId="50CDD7F0">
            <w:pPr>
              <w:pStyle w:val="3"/>
              <w:keepNext/>
              <w:keepLines/>
              <w:widowControl w:val="0"/>
              <w:numPr>
                <w:ilvl w:val="1"/>
                <w:numId w:val="0"/>
              </w:numPr>
              <w:autoSpaceDE w:val="0"/>
              <w:autoSpaceDN w:val="0"/>
              <w:adjustRightInd w:val="0"/>
              <w:spacing w:before="0" w:after="0" w:line="440" w:lineRule="exact"/>
              <w:jc w:val="both"/>
              <w:outlineLvl w:val="1"/>
              <w:rPr>
                <w:rFonts w:hint="default" w:ascii="Times New Roman" w:hAnsi="Times New Roman" w:cs="Times New Roman"/>
                <w:color w:val="000000" w:themeColor="text1"/>
                <w:sz w:val="24"/>
                <w:szCs w:val="24"/>
                <w:highlight w:val="none"/>
                <w:lang w:val="en-US" w:eastAsia="zh-CN"/>
              </w:rPr>
            </w:pPr>
          </w:p>
        </w:tc>
      </w:tr>
    </w:tbl>
    <w:p w14:paraId="20C5792A">
      <w:pPr>
        <w:spacing w:line="360" w:lineRule="auto"/>
        <w:outlineLvl w:val="0"/>
        <w:rPr>
          <w:rFonts w:hint="default" w:ascii="Times New Roman" w:hAnsi="Times New Roman" w:cs="Times New Roman"/>
          <w:b/>
          <w:bCs/>
          <w:color w:val="000000" w:themeColor="text1"/>
          <w:sz w:val="28"/>
          <w:szCs w:val="28"/>
        </w:rPr>
      </w:pPr>
      <w:bookmarkStart w:id="33" w:name="_Toc527116047"/>
      <w:r>
        <w:rPr>
          <w:rFonts w:hint="default" w:ascii="Times New Roman" w:hAnsi="Times New Roman" w:cs="Times New Roman"/>
          <w:b/>
          <w:bCs/>
          <w:color w:val="000000" w:themeColor="text1"/>
          <w:sz w:val="28"/>
          <w:szCs w:val="28"/>
        </w:rPr>
        <w:br w:type="page"/>
      </w:r>
      <w:r>
        <w:rPr>
          <w:rFonts w:hint="default" w:ascii="Times New Roman" w:hAnsi="Times New Roman" w:cs="Times New Roman"/>
          <w:b/>
          <w:bCs/>
          <w:color w:val="000000" w:themeColor="text1"/>
          <w:sz w:val="28"/>
          <w:szCs w:val="28"/>
        </w:rPr>
        <w:t>表七</w:t>
      </w:r>
      <w:bookmarkEnd w:id="33"/>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46"/>
      </w:tblGrid>
      <w:tr w14:paraId="7497F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vAlign w:val="center"/>
          </w:tcPr>
          <w:p w14:paraId="2C81321E">
            <w:pPr>
              <w:spacing w:line="360" w:lineRule="auto"/>
              <w:rPr>
                <w:rFonts w:hint="default" w:ascii="Times New Roman" w:hAnsi="Times New Roman" w:cs="Times New Roman"/>
                <w:b/>
                <w:color w:val="000000" w:themeColor="text1"/>
                <w:sz w:val="28"/>
                <w:szCs w:val="28"/>
                <w:shd w:val="clear" w:color="auto" w:fill="FFFFFF"/>
              </w:rPr>
            </w:pPr>
            <w:r>
              <w:rPr>
                <w:rFonts w:hint="default" w:ascii="Times New Roman" w:hAnsi="Times New Roman" w:cs="Times New Roman"/>
                <w:b/>
                <w:color w:val="000000" w:themeColor="text1"/>
                <w:sz w:val="28"/>
                <w:szCs w:val="28"/>
                <w:shd w:val="clear" w:color="auto" w:fill="FFFFFF"/>
              </w:rPr>
              <w:t>验收监测期间生产工况记录：</w:t>
            </w:r>
          </w:p>
          <w:p w14:paraId="35B72597">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根据国家环境保护相关规定，验收监测应在主体工程运行</w:t>
            </w:r>
            <w:r>
              <w:rPr>
                <w:rFonts w:hint="eastAsia" w:ascii="Times New Roman" w:hAnsi="Times New Roman" w:cs="Times New Roman"/>
                <w:color w:val="000000" w:themeColor="text1"/>
                <w:sz w:val="24"/>
                <w:szCs w:val="24"/>
                <w:lang w:eastAsia="zh-CN"/>
              </w:rPr>
              <w:t>稳定</w:t>
            </w:r>
            <w:r>
              <w:rPr>
                <w:rFonts w:hint="default" w:ascii="Times New Roman" w:hAnsi="Times New Roman" w:cs="Times New Roman"/>
                <w:color w:val="000000" w:themeColor="text1"/>
                <w:sz w:val="24"/>
                <w:szCs w:val="24"/>
              </w:rPr>
              <w:t>情况下、应在运行的环境保护措施运行正常的条件下进行，对运行的环境保护措施和尚无污染负荷的环保措施，验收监测采取注明实际监测工况与检查相结合的方法进行。</w:t>
            </w:r>
          </w:p>
          <w:p w14:paraId="2B7F673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1、验收监测时间：</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highlight w:val="none"/>
              </w:rPr>
              <w:t>于202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日</w:t>
            </w:r>
            <w:r>
              <w:rPr>
                <w:rFonts w:hint="default" w:ascii="Times New Roman" w:hAnsi="Times New Roman" w:cs="Times New Roman"/>
                <w:color w:val="000000" w:themeColor="text1"/>
                <w:sz w:val="24"/>
                <w:szCs w:val="24"/>
              </w:rPr>
              <w:t>已对项目进行了废水、噪声监测。监测期间，项目处于试运行阶段，主体工程及各项环保设施运转正常。</w:t>
            </w:r>
          </w:p>
          <w:p w14:paraId="6587DB8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2、监测期间工况：监测期间，项目处于试运行阶段，主体工程</w:t>
            </w:r>
            <w:r>
              <w:rPr>
                <w:rFonts w:hint="eastAsia" w:ascii="Times New Roman" w:hAnsi="Times New Roman" w:cs="Times New Roman"/>
                <w:color w:val="000000" w:themeColor="text1"/>
                <w:sz w:val="24"/>
                <w:szCs w:val="24"/>
                <w:lang w:eastAsia="zh-CN"/>
              </w:rPr>
              <w:t>运行状</w:t>
            </w:r>
            <w:r>
              <w:rPr>
                <w:rFonts w:hint="default" w:ascii="Times New Roman" w:hAnsi="Times New Roman" w:cs="Times New Roman"/>
                <w:color w:val="000000" w:themeColor="text1"/>
                <w:sz w:val="24"/>
                <w:szCs w:val="24"/>
              </w:rPr>
              <w:t>况</w:t>
            </w:r>
            <w:r>
              <w:rPr>
                <w:rFonts w:hint="eastAsia" w:ascii="Times New Roman" w:hAnsi="Times New Roman" w:cs="Times New Roman"/>
                <w:color w:val="000000" w:themeColor="text1"/>
                <w:sz w:val="24"/>
                <w:szCs w:val="24"/>
                <w:lang w:val="en-US" w:eastAsia="zh-CN"/>
              </w:rPr>
              <w:t>稳</w:t>
            </w:r>
            <w:r>
              <w:rPr>
                <w:rFonts w:hint="default" w:ascii="Times New Roman" w:hAnsi="Times New Roman" w:cs="Times New Roman"/>
                <w:color w:val="000000" w:themeColor="text1"/>
                <w:sz w:val="24"/>
                <w:szCs w:val="24"/>
              </w:rPr>
              <w:t>定、各项环保设施运转正常，工况稳定，符合建设项目竣工环境保护验收监测中相关要求。项目监测期间实际工况见表7-1。</w:t>
            </w:r>
          </w:p>
          <w:p w14:paraId="7E2549D2">
            <w:pPr>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表7-1  监测期间工况一览表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7"/>
              <w:gridCol w:w="1631"/>
              <w:gridCol w:w="2127"/>
              <w:gridCol w:w="2185"/>
              <w:gridCol w:w="1177"/>
            </w:tblGrid>
            <w:tr w14:paraId="1D2F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Align w:val="center"/>
                </w:tcPr>
                <w:p w14:paraId="40294899">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类别</w:t>
                  </w:r>
                </w:p>
              </w:tc>
              <w:tc>
                <w:tcPr>
                  <w:tcW w:w="1631" w:type="dxa"/>
                  <w:vAlign w:val="center"/>
                </w:tcPr>
                <w:p w14:paraId="5FD71AAD">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设计入住户数（户）</w:t>
                  </w:r>
                </w:p>
              </w:tc>
              <w:tc>
                <w:tcPr>
                  <w:tcW w:w="2127" w:type="dxa"/>
                  <w:vAlign w:val="center"/>
                </w:tcPr>
                <w:p w14:paraId="3F904B4B">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监测日期</w:t>
                  </w:r>
                </w:p>
              </w:tc>
              <w:tc>
                <w:tcPr>
                  <w:tcW w:w="2185" w:type="dxa"/>
                  <w:vAlign w:val="center"/>
                </w:tcPr>
                <w:p w14:paraId="40A7FF86">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监测期间实际（户）</w:t>
                  </w:r>
                </w:p>
              </w:tc>
              <w:tc>
                <w:tcPr>
                  <w:tcW w:w="1177" w:type="dxa"/>
                  <w:vAlign w:val="center"/>
                </w:tcPr>
                <w:p w14:paraId="549E1245">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营运负荷（%）</w:t>
                  </w:r>
                </w:p>
              </w:tc>
            </w:tr>
            <w:tr w14:paraId="29035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Merge w:val="restart"/>
                  <w:vAlign w:val="center"/>
                </w:tcPr>
                <w:p w14:paraId="382015C2">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入住户数</w:t>
                  </w:r>
                </w:p>
              </w:tc>
              <w:tc>
                <w:tcPr>
                  <w:tcW w:w="1631" w:type="dxa"/>
                  <w:vMerge w:val="restart"/>
                  <w:vAlign w:val="center"/>
                </w:tcPr>
                <w:p w14:paraId="40B5D80E">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283</w:t>
                  </w:r>
                </w:p>
              </w:tc>
              <w:tc>
                <w:tcPr>
                  <w:tcW w:w="2127" w:type="dxa"/>
                  <w:vAlign w:val="center"/>
                </w:tcPr>
                <w:p w14:paraId="7D94117D">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202</w:t>
                  </w:r>
                  <w:r>
                    <w:rPr>
                      <w:rFonts w:hint="eastAsia" w:ascii="Times New Roman" w:hAnsi="Times New Roman" w:cs="Times New Roman"/>
                      <w:bCs/>
                      <w:color w:val="000000" w:themeColor="text1"/>
                      <w:szCs w:val="21"/>
                      <w:highlight w:val="none"/>
                      <w:lang w:val="en-US" w:eastAsia="zh-CN"/>
                    </w:rPr>
                    <w:t>5</w:t>
                  </w:r>
                  <w:r>
                    <w:rPr>
                      <w:rFonts w:hint="default" w:ascii="Times New Roman" w:hAnsi="Times New Roman" w:cs="Times New Roman"/>
                      <w:bCs/>
                      <w:color w:val="000000" w:themeColor="text1"/>
                      <w:szCs w:val="21"/>
                      <w:highlight w:val="none"/>
                    </w:rPr>
                    <w:t>年</w:t>
                  </w:r>
                  <w:r>
                    <w:rPr>
                      <w:rFonts w:hint="eastAsia" w:ascii="Times New Roman" w:hAnsi="Times New Roman" w:cs="Times New Roman"/>
                      <w:bCs/>
                      <w:color w:val="000000" w:themeColor="text1"/>
                      <w:szCs w:val="21"/>
                      <w:highlight w:val="none"/>
                      <w:lang w:val="en-US" w:eastAsia="zh-CN"/>
                    </w:rPr>
                    <w:t>3</w:t>
                  </w:r>
                  <w:r>
                    <w:rPr>
                      <w:rFonts w:hint="default" w:ascii="Times New Roman" w:hAnsi="Times New Roman" w:cs="Times New Roman"/>
                      <w:bCs/>
                      <w:color w:val="000000" w:themeColor="text1"/>
                      <w:szCs w:val="21"/>
                      <w:highlight w:val="none"/>
                    </w:rPr>
                    <w:t>月</w:t>
                  </w:r>
                  <w:r>
                    <w:rPr>
                      <w:rFonts w:hint="eastAsia" w:ascii="Times New Roman" w:hAnsi="Times New Roman" w:cs="Times New Roman"/>
                      <w:bCs/>
                      <w:color w:val="000000" w:themeColor="text1"/>
                      <w:szCs w:val="21"/>
                      <w:highlight w:val="none"/>
                      <w:lang w:val="en-US" w:eastAsia="zh-CN"/>
                    </w:rPr>
                    <w:t>8</w:t>
                  </w:r>
                  <w:r>
                    <w:rPr>
                      <w:rFonts w:hint="default" w:ascii="Times New Roman" w:hAnsi="Times New Roman" w:cs="Times New Roman"/>
                      <w:bCs/>
                      <w:color w:val="000000" w:themeColor="text1"/>
                      <w:szCs w:val="21"/>
                      <w:highlight w:val="none"/>
                    </w:rPr>
                    <w:t>日</w:t>
                  </w:r>
                </w:p>
              </w:tc>
              <w:tc>
                <w:tcPr>
                  <w:tcW w:w="2185" w:type="dxa"/>
                  <w:vAlign w:val="center"/>
                </w:tcPr>
                <w:p w14:paraId="117F2848">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28</w:t>
                  </w:r>
                </w:p>
              </w:tc>
              <w:tc>
                <w:tcPr>
                  <w:tcW w:w="1177" w:type="dxa"/>
                  <w:vAlign w:val="center"/>
                </w:tcPr>
                <w:p w14:paraId="28E8B185">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9.9</w:t>
                  </w:r>
                </w:p>
              </w:tc>
            </w:tr>
            <w:tr w14:paraId="352D2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Merge w:val="continue"/>
                  <w:vAlign w:val="center"/>
                </w:tcPr>
                <w:p w14:paraId="519A46C6">
                  <w:pPr>
                    <w:spacing w:line="276" w:lineRule="auto"/>
                    <w:jc w:val="center"/>
                    <w:rPr>
                      <w:rFonts w:hint="default" w:ascii="Times New Roman" w:hAnsi="Times New Roman" w:cs="Times New Roman"/>
                      <w:bCs/>
                      <w:color w:val="000000" w:themeColor="text1"/>
                      <w:szCs w:val="21"/>
                      <w:highlight w:val="none"/>
                    </w:rPr>
                  </w:pPr>
                </w:p>
              </w:tc>
              <w:tc>
                <w:tcPr>
                  <w:tcW w:w="1631" w:type="dxa"/>
                  <w:vMerge w:val="continue"/>
                  <w:vAlign w:val="center"/>
                </w:tcPr>
                <w:p w14:paraId="0D0E57B6">
                  <w:pPr>
                    <w:spacing w:line="276" w:lineRule="auto"/>
                    <w:jc w:val="center"/>
                    <w:rPr>
                      <w:rFonts w:hint="default" w:ascii="Times New Roman" w:hAnsi="Times New Roman" w:cs="Times New Roman"/>
                      <w:bCs/>
                      <w:color w:val="000000" w:themeColor="text1"/>
                      <w:szCs w:val="21"/>
                      <w:highlight w:val="none"/>
                    </w:rPr>
                  </w:pPr>
                </w:p>
              </w:tc>
              <w:tc>
                <w:tcPr>
                  <w:tcW w:w="2127" w:type="dxa"/>
                  <w:vAlign w:val="center"/>
                </w:tcPr>
                <w:p w14:paraId="69358FD4">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202</w:t>
                  </w:r>
                  <w:r>
                    <w:rPr>
                      <w:rFonts w:hint="eastAsia" w:ascii="Times New Roman" w:hAnsi="Times New Roman" w:cs="Times New Roman"/>
                      <w:bCs/>
                      <w:color w:val="000000" w:themeColor="text1"/>
                      <w:szCs w:val="21"/>
                      <w:highlight w:val="none"/>
                      <w:lang w:val="en-US" w:eastAsia="zh-CN"/>
                    </w:rPr>
                    <w:t>5</w:t>
                  </w:r>
                  <w:r>
                    <w:rPr>
                      <w:rFonts w:hint="default" w:ascii="Times New Roman" w:hAnsi="Times New Roman" w:cs="Times New Roman"/>
                      <w:bCs/>
                      <w:color w:val="000000" w:themeColor="text1"/>
                      <w:szCs w:val="21"/>
                      <w:highlight w:val="none"/>
                    </w:rPr>
                    <w:t>年</w:t>
                  </w:r>
                  <w:r>
                    <w:rPr>
                      <w:rFonts w:hint="eastAsia" w:ascii="Times New Roman" w:hAnsi="Times New Roman" w:cs="Times New Roman"/>
                      <w:bCs/>
                      <w:color w:val="000000" w:themeColor="text1"/>
                      <w:szCs w:val="21"/>
                      <w:highlight w:val="none"/>
                      <w:lang w:val="en-US" w:eastAsia="zh-CN"/>
                    </w:rPr>
                    <w:t>3</w:t>
                  </w:r>
                  <w:r>
                    <w:rPr>
                      <w:rFonts w:hint="default" w:ascii="Times New Roman" w:hAnsi="Times New Roman" w:cs="Times New Roman"/>
                      <w:bCs/>
                      <w:color w:val="000000" w:themeColor="text1"/>
                      <w:szCs w:val="21"/>
                      <w:highlight w:val="none"/>
                    </w:rPr>
                    <w:t>月</w:t>
                  </w:r>
                  <w:r>
                    <w:rPr>
                      <w:rFonts w:hint="eastAsia" w:ascii="Times New Roman" w:hAnsi="Times New Roman" w:cs="Times New Roman"/>
                      <w:bCs/>
                      <w:color w:val="000000" w:themeColor="text1"/>
                      <w:szCs w:val="21"/>
                      <w:highlight w:val="none"/>
                      <w:lang w:val="en-US" w:eastAsia="zh-CN"/>
                    </w:rPr>
                    <w:t>9</w:t>
                  </w:r>
                  <w:r>
                    <w:rPr>
                      <w:rFonts w:hint="default" w:ascii="Times New Roman" w:hAnsi="Times New Roman" w:cs="Times New Roman"/>
                      <w:bCs/>
                      <w:color w:val="000000" w:themeColor="text1"/>
                      <w:szCs w:val="21"/>
                      <w:highlight w:val="none"/>
                    </w:rPr>
                    <w:t>日</w:t>
                  </w:r>
                </w:p>
              </w:tc>
              <w:tc>
                <w:tcPr>
                  <w:tcW w:w="2185" w:type="dxa"/>
                  <w:vAlign w:val="center"/>
                </w:tcPr>
                <w:p w14:paraId="367EA0C4">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28</w:t>
                  </w:r>
                </w:p>
              </w:tc>
              <w:tc>
                <w:tcPr>
                  <w:tcW w:w="1177" w:type="dxa"/>
                  <w:vAlign w:val="center"/>
                </w:tcPr>
                <w:p w14:paraId="6C002B55">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9.9</w:t>
                  </w:r>
                </w:p>
              </w:tc>
            </w:tr>
          </w:tbl>
          <w:p w14:paraId="723C173D">
            <w:pPr>
              <w:spacing w:line="360" w:lineRule="auto"/>
              <w:ind w:firstLine="480" w:firstLineChars="200"/>
              <w:rPr>
                <w:rFonts w:hint="default" w:ascii="Times New Roman" w:hAnsi="Times New Roman" w:cs="Times New Roman"/>
                <w:color w:val="000000" w:themeColor="text1"/>
                <w:sz w:val="24"/>
                <w:szCs w:val="24"/>
              </w:rPr>
            </w:pPr>
          </w:p>
        </w:tc>
      </w:tr>
      <w:tr w14:paraId="765F7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00" w:type="pct"/>
            <w:vAlign w:val="center"/>
          </w:tcPr>
          <w:p w14:paraId="17308D34">
            <w:pPr>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b/>
                <w:color w:val="000000" w:themeColor="text1"/>
                <w:sz w:val="28"/>
                <w:szCs w:val="28"/>
                <w:shd w:val="clear" w:color="auto" w:fill="FFFFFF"/>
              </w:rPr>
              <w:t>验收监测结果</w:t>
            </w:r>
          </w:p>
          <w:p w14:paraId="528F7F0E">
            <w:pPr>
              <w:spacing w:line="360" w:lineRule="auto"/>
              <w:ind w:firstLine="562" w:firstLineChars="200"/>
              <w:rPr>
                <w:rFonts w:hint="default" w:ascii="Times New Roman" w:hAnsi="Times New Roman" w:cs="Times New Roman"/>
                <w:b/>
                <w:color w:val="000000" w:themeColor="text1"/>
                <w:sz w:val="28"/>
                <w:szCs w:val="28"/>
                <w:shd w:val="clear" w:color="auto" w:fill="FFFFFF"/>
              </w:rPr>
            </w:pPr>
            <w:r>
              <w:rPr>
                <w:rFonts w:hint="default" w:ascii="Times New Roman" w:hAnsi="Times New Roman" w:cs="Times New Roman"/>
                <w:b/>
                <w:color w:val="000000" w:themeColor="text1"/>
                <w:sz w:val="28"/>
                <w:szCs w:val="28"/>
                <w:shd w:val="clear" w:color="auto" w:fill="FFFFFF"/>
              </w:rPr>
              <w:t>1</w:t>
            </w:r>
            <w:r>
              <w:rPr>
                <w:rFonts w:hint="eastAsia" w:ascii="Times New Roman" w:hAnsi="Times New Roman" w:cs="Times New Roman"/>
                <w:b/>
                <w:color w:val="000000" w:themeColor="text1"/>
                <w:sz w:val="28"/>
                <w:szCs w:val="28"/>
                <w:shd w:val="clear" w:color="auto" w:fill="FFFFFF"/>
                <w:lang w:eastAsia="zh-CN"/>
              </w:rPr>
              <w:t>、</w:t>
            </w:r>
            <w:r>
              <w:rPr>
                <w:rFonts w:hint="default" w:ascii="Times New Roman" w:hAnsi="Times New Roman" w:cs="Times New Roman"/>
                <w:b/>
                <w:color w:val="000000" w:themeColor="text1"/>
                <w:sz w:val="28"/>
                <w:szCs w:val="28"/>
                <w:shd w:val="clear" w:color="auto" w:fill="FFFFFF"/>
              </w:rPr>
              <w:t>竣工验收监测结果</w:t>
            </w:r>
          </w:p>
          <w:p w14:paraId="1A278CFB">
            <w:pPr>
              <w:autoSpaceDE w:val="0"/>
              <w:autoSpaceDN w:val="0"/>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（1）废水监测结果与评价</w:t>
            </w:r>
          </w:p>
          <w:p w14:paraId="621BE58A">
            <w:pPr>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表7-2</w:t>
            </w:r>
            <w:r>
              <w:rPr>
                <w:rFonts w:hint="eastAsia" w:ascii="Times New Roman" w:hAnsi="Times New Roman" w:cs="Times New Roman"/>
                <w:b/>
                <w:color w:val="000000" w:themeColor="text1"/>
                <w:sz w:val="24"/>
                <w:szCs w:val="24"/>
                <w:highlight w:val="none"/>
                <w:lang w:val="en-US" w:eastAsia="zh-CN"/>
              </w:rPr>
              <w:t xml:space="preserve"> </w:t>
            </w:r>
            <w:r>
              <w:rPr>
                <w:rFonts w:hint="default" w:ascii="Times New Roman" w:hAnsi="Times New Roman" w:cs="Times New Roman"/>
                <w:b/>
                <w:color w:val="000000" w:themeColor="text1"/>
                <w:sz w:val="24"/>
                <w:szCs w:val="24"/>
                <w:highlight w:val="none"/>
              </w:rPr>
              <w:t xml:space="preserve">  </w:t>
            </w:r>
            <w:r>
              <w:rPr>
                <w:rFonts w:hint="eastAsia" w:ascii="Times New Roman" w:hAnsi="Times New Roman" w:cs="Times New Roman"/>
                <w:b/>
                <w:color w:val="000000" w:themeColor="text1"/>
                <w:sz w:val="24"/>
                <w:szCs w:val="24"/>
                <w:highlight w:val="none"/>
                <w:lang w:val="en-US" w:eastAsia="zh-CN"/>
              </w:rPr>
              <w:t>污</w:t>
            </w:r>
            <w:r>
              <w:rPr>
                <w:rFonts w:hint="default" w:ascii="Times New Roman" w:hAnsi="Times New Roman" w:cs="Times New Roman"/>
                <w:b/>
                <w:color w:val="000000" w:themeColor="text1"/>
                <w:sz w:val="24"/>
                <w:szCs w:val="24"/>
                <w:highlight w:val="none"/>
              </w:rPr>
              <w:t>水处理站进口废水监测结果与评价表   单位：mg/L</w:t>
            </w:r>
          </w:p>
          <w:tbl>
            <w:tblPr>
              <w:tblStyle w:val="39"/>
              <w:tblW w:w="8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62"/>
              <w:gridCol w:w="1000"/>
              <w:gridCol w:w="983"/>
              <w:gridCol w:w="967"/>
              <w:gridCol w:w="983"/>
              <w:gridCol w:w="1000"/>
              <w:gridCol w:w="950"/>
              <w:gridCol w:w="1675"/>
            </w:tblGrid>
            <w:tr w14:paraId="3F79D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jc w:val="center"/>
              </w:trPr>
              <w:tc>
                <w:tcPr>
                  <w:tcW w:w="1362" w:type="dxa"/>
                  <w:vAlign w:val="center"/>
                </w:tcPr>
                <w:p w14:paraId="225D086F">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检测点位</w:t>
                  </w:r>
                </w:p>
              </w:tc>
              <w:tc>
                <w:tcPr>
                  <w:tcW w:w="7558" w:type="dxa"/>
                  <w:gridSpan w:val="7"/>
                  <w:vAlign w:val="center"/>
                </w:tcPr>
                <w:p w14:paraId="66889ACB">
                  <w:pPr>
                    <w:keepNext w:val="0"/>
                    <w:keepLines w:val="0"/>
                    <w:pageBreakBefore w:val="0"/>
                    <w:widowControl/>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default" w:ascii="Times New Roman" w:hAnsi="Times New Roman" w:eastAsia="宋体" w:cs="Times New Roman"/>
                      <w:b/>
                      <w:bCs w:val="0"/>
                      <w:color w:val="000000" w:themeColor="text1"/>
                      <w:sz w:val="21"/>
                      <w:szCs w:val="21"/>
                      <w:highlight w:val="none"/>
                      <w:lang w:val="en-US" w:eastAsia="zh-CN"/>
                    </w:rPr>
                    <w:t>污水</w:t>
                  </w:r>
                  <w:r>
                    <w:rPr>
                      <w:rFonts w:hint="default" w:ascii="Times New Roman" w:hAnsi="Times New Roman" w:eastAsia="宋体" w:cs="Times New Roman"/>
                      <w:b/>
                      <w:bCs w:val="0"/>
                      <w:color w:val="000000" w:themeColor="text1"/>
                      <w:sz w:val="21"/>
                      <w:szCs w:val="21"/>
                      <w:highlight w:val="none"/>
                    </w:rPr>
                    <w:t>处理站</w:t>
                  </w:r>
                  <w:r>
                    <w:rPr>
                      <w:rFonts w:hint="eastAsia" w:ascii="Times New Roman" w:hAnsi="Times New Roman" w:eastAsia="宋体" w:cs="Times New Roman"/>
                      <w:b/>
                      <w:bCs w:val="0"/>
                      <w:color w:val="000000" w:themeColor="text1"/>
                      <w:sz w:val="21"/>
                      <w:szCs w:val="21"/>
                      <w:highlight w:val="none"/>
                      <w:lang w:val="en-US" w:eastAsia="zh-CN"/>
                    </w:rPr>
                    <w:t>进</w:t>
                  </w:r>
                  <w:r>
                    <w:rPr>
                      <w:rFonts w:hint="default" w:ascii="Times New Roman" w:hAnsi="Times New Roman" w:eastAsia="宋体" w:cs="Times New Roman"/>
                      <w:b/>
                      <w:bCs w:val="0"/>
                      <w:color w:val="000000" w:themeColor="text1"/>
                      <w:sz w:val="21"/>
                      <w:szCs w:val="21"/>
                      <w:highlight w:val="none"/>
                    </w:rPr>
                    <w:t>口</w:t>
                  </w:r>
                </w:p>
              </w:tc>
            </w:tr>
            <w:tr w14:paraId="60A73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03ACD45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样品编号</w:t>
                  </w:r>
                </w:p>
              </w:tc>
              <w:tc>
                <w:tcPr>
                  <w:tcW w:w="1000" w:type="dxa"/>
                  <w:vAlign w:val="center"/>
                </w:tcPr>
                <w:p w14:paraId="41D935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W25030502FS-1-</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-1</w:t>
                  </w:r>
                </w:p>
              </w:tc>
              <w:tc>
                <w:tcPr>
                  <w:tcW w:w="983" w:type="dxa"/>
                  <w:vAlign w:val="center"/>
                </w:tcPr>
                <w:p w14:paraId="2B47781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W25030502FS-1-</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-2</w:t>
                  </w:r>
                </w:p>
              </w:tc>
              <w:tc>
                <w:tcPr>
                  <w:tcW w:w="967" w:type="dxa"/>
                  <w:vAlign w:val="center"/>
                </w:tcPr>
                <w:p w14:paraId="51C7AFE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W25030502FS-1-</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-3</w:t>
                  </w:r>
                </w:p>
              </w:tc>
              <w:tc>
                <w:tcPr>
                  <w:tcW w:w="983" w:type="dxa"/>
                  <w:vAlign w:val="center"/>
                </w:tcPr>
                <w:p w14:paraId="570A2AC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W25030502FS-1-2-1</w:t>
                  </w:r>
                </w:p>
              </w:tc>
              <w:tc>
                <w:tcPr>
                  <w:tcW w:w="1000" w:type="dxa"/>
                  <w:vAlign w:val="center"/>
                </w:tcPr>
                <w:p w14:paraId="703D6AA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W25030502FS-1-2-2</w:t>
                  </w:r>
                </w:p>
              </w:tc>
              <w:tc>
                <w:tcPr>
                  <w:tcW w:w="950" w:type="dxa"/>
                  <w:vAlign w:val="center"/>
                </w:tcPr>
                <w:p w14:paraId="4C640F3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W25030502FS-1-2-3</w:t>
                  </w:r>
                </w:p>
              </w:tc>
              <w:tc>
                <w:tcPr>
                  <w:tcW w:w="1675" w:type="dxa"/>
                  <w:vMerge w:val="restart"/>
                  <w:vAlign w:val="center"/>
                </w:tcPr>
                <w:p w14:paraId="16ED8CDE">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最大值</w:t>
                  </w:r>
                </w:p>
              </w:tc>
            </w:tr>
            <w:tr w14:paraId="2B1D5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tcBorders>
                    <w:tl2br w:val="single" w:color="auto" w:sz="4" w:space="0"/>
                  </w:tcBorders>
                  <w:vAlign w:val="center"/>
                </w:tcPr>
                <w:p w14:paraId="50B44791">
                  <w:pPr>
                    <w:keepNext w:val="0"/>
                    <w:keepLines w:val="0"/>
                    <w:pageBreakBefore w:val="0"/>
                    <w:kinsoku/>
                    <w:wordWrap/>
                    <w:overflowPunct/>
                    <w:topLinePunct w:val="0"/>
                    <w:autoSpaceDE/>
                    <w:autoSpaceDN/>
                    <w:bidi w:val="0"/>
                    <w:adjustRightInd/>
                    <w:snapToGrid/>
                    <w:spacing w:line="240" w:lineRule="auto"/>
                    <w:ind w:left="0"/>
                    <w:contextualSpacing/>
                    <w:jc w:val="righ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采样日期</w:t>
                  </w:r>
                </w:p>
                <w:p w14:paraId="580AADEC">
                  <w:pPr>
                    <w:keepNext w:val="0"/>
                    <w:keepLines w:val="0"/>
                    <w:pageBreakBefore w:val="0"/>
                    <w:kinsoku/>
                    <w:wordWrap/>
                    <w:overflowPunct/>
                    <w:topLinePunct w:val="0"/>
                    <w:autoSpaceDE/>
                    <w:autoSpaceDN/>
                    <w:bidi w:val="0"/>
                    <w:adjustRightInd/>
                    <w:snapToGrid/>
                    <w:spacing w:line="240" w:lineRule="auto"/>
                    <w:ind w:left="0"/>
                    <w:contextualSpacing/>
                    <w:jc w:val="lef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项目</w:t>
                  </w:r>
                </w:p>
              </w:tc>
              <w:tc>
                <w:tcPr>
                  <w:tcW w:w="2950" w:type="dxa"/>
                  <w:gridSpan w:val="3"/>
                  <w:vAlign w:val="center"/>
                </w:tcPr>
                <w:p w14:paraId="26FC4473">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w:t>
                  </w:r>
                  <w:r>
                    <w:rPr>
                      <w:rFonts w:hint="eastAsia" w:ascii="Times New Roman" w:hAnsi="Times New Roman" w:cs="Times New Roman"/>
                      <w:b/>
                      <w:bCs w:val="0"/>
                      <w:color w:val="000000" w:themeColor="text1"/>
                      <w:sz w:val="21"/>
                      <w:szCs w:val="21"/>
                      <w:highlight w:val="none"/>
                      <w:lang w:val="en-US" w:eastAsia="zh-CN"/>
                    </w:rPr>
                    <w:t>8</w:t>
                  </w:r>
                </w:p>
              </w:tc>
              <w:tc>
                <w:tcPr>
                  <w:tcW w:w="2933" w:type="dxa"/>
                  <w:gridSpan w:val="3"/>
                  <w:vAlign w:val="center"/>
                </w:tcPr>
                <w:p w14:paraId="78791343">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2025.03.09</w:t>
                  </w:r>
                </w:p>
              </w:tc>
              <w:tc>
                <w:tcPr>
                  <w:tcW w:w="1675" w:type="dxa"/>
                  <w:vMerge w:val="continue"/>
                  <w:vAlign w:val="center"/>
                </w:tcPr>
                <w:p w14:paraId="176A0823">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r>
            <w:tr w14:paraId="2A7EB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4B1987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bCs/>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pH（无量纲）</w:t>
                  </w:r>
                </w:p>
              </w:tc>
              <w:tc>
                <w:tcPr>
                  <w:tcW w:w="1000" w:type="dxa"/>
                  <w:vAlign w:val="center"/>
                </w:tcPr>
                <w:p w14:paraId="365F77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8.1</w:t>
                  </w:r>
                </w:p>
              </w:tc>
              <w:tc>
                <w:tcPr>
                  <w:tcW w:w="983" w:type="dxa"/>
                  <w:vAlign w:val="center"/>
                </w:tcPr>
                <w:p w14:paraId="685102E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8.3</w:t>
                  </w:r>
                </w:p>
              </w:tc>
              <w:tc>
                <w:tcPr>
                  <w:tcW w:w="967" w:type="dxa"/>
                  <w:vAlign w:val="center"/>
                </w:tcPr>
                <w:p w14:paraId="069799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8.2</w:t>
                  </w:r>
                </w:p>
              </w:tc>
              <w:tc>
                <w:tcPr>
                  <w:tcW w:w="983" w:type="dxa"/>
                  <w:vAlign w:val="center"/>
                </w:tcPr>
                <w:p w14:paraId="2365D6B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7.8</w:t>
                  </w:r>
                </w:p>
              </w:tc>
              <w:tc>
                <w:tcPr>
                  <w:tcW w:w="1000" w:type="dxa"/>
                  <w:vAlign w:val="center"/>
                </w:tcPr>
                <w:p w14:paraId="5BDBC8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7.5</w:t>
                  </w:r>
                </w:p>
              </w:tc>
              <w:tc>
                <w:tcPr>
                  <w:tcW w:w="950" w:type="dxa"/>
                  <w:vAlign w:val="center"/>
                </w:tcPr>
                <w:p w14:paraId="0F980E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7.7</w:t>
                  </w:r>
                </w:p>
              </w:tc>
              <w:tc>
                <w:tcPr>
                  <w:tcW w:w="1675" w:type="dxa"/>
                  <w:vAlign w:val="center"/>
                </w:tcPr>
                <w:p w14:paraId="024BD012">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8.3</w:t>
                  </w:r>
                </w:p>
              </w:tc>
            </w:tr>
            <w:tr w14:paraId="31518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4F6F39FD">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lang w:val="en-US" w:eastAsia="zh-CN" w:bidi="ar-SA"/>
                    </w:rPr>
                    <w:t>悬浮物</w:t>
                  </w:r>
                </w:p>
              </w:tc>
              <w:tc>
                <w:tcPr>
                  <w:tcW w:w="1000" w:type="dxa"/>
                  <w:vAlign w:val="center"/>
                </w:tcPr>
                <w:p w14:paraId="3CCC92C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77</w:t>
                  </w:r>
                </w:p>
              </w:tc>
              <w:tc>
                <w:tcPr>
                  <w:tcW w:w="983" w:type="dxa"/>
                  <w:vAlign w:val="center"/>
                </w:tcPr>
                <w:p w14:paraId="6B59F80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73</w:t>
                  </w:r>
                </w:p>
              </w:tc>
              <w:tc>
                <w:tcPr>
                  <w:tcW w:w="967" w:type="dxa"/>
                  <w:vAlign w:val="center"/>
                </w:tcPr>
                <w:p w14:paraId="2D4DCDF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72</w:t>
                  </w:r>
                </w:p>
              </w:tc>
              <w:tc>
                <w:tcPr>
                  <w:tcW w:w="983" w:type="dxa"/>
                  <w:vAlign w:val="center"/>
                </w:tcPr>
                <w:p w14:paraId="30BAF90A">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76</w:t>
                  </w:r>
                </w:p>
              </w:tc>
              <w:tc>
                <w:tcPr>
                  <w:tcW w:w="1000" w:type="dxa"/>
                  <w:vAlign w:val="center"/>
                </w:tcPr>
                <w:p w14:paraId="2D61BA82">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73</w:t>
                  </w:r>
                </w:p>
              </w:tc>
              <w:tc>
                <w:tcPr>
                  <w:tcW w:w="950" w:type="dxa"/>
                  <w:vAlign w:val="center"/>
                </w:tcPr>
                <w:p w14:paraId="1216C001">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81</w:t>
                  </w:r>
                </w:p>
              </w:tc>
              <w:tc>
                <w:tcPr>
                  <w:tcW w:w="1675" w:type="dxa"/>
                  <w:vAlign w:val="center"/>
                </w:tcPr>
                <w:p w14:paraId="1AEB6F7D">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81</w:t>
                  </w:r>
                </w:p>
              </w:tc>
            </w:tr>
            <w:tr w14:paraId="2AD93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7AD8596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化学需氧量</w:t>
                  </w:r>
                  <w:r>
                    <w:rPr>
                      <w:rFonts w:hint="default" w:ascii="Times New Roman" w:hAnsi="Times New Roman" w:eastAsia="宋体" w:cs="Times New Roman"/>
                      <w:color w:val="000000" w:themeColor="text1"/>
                      <w:sz w:val="21"/>
                      <w:szCs w:val="21"/>
                      <w:lang w:val="en-US" w:eastAsia="zh-CN"/>
                    </w:rPr>
                    <w:t>*</w:t>
                  </w:r>
                </w:p>
              </w:tc>
              <w:tc>
                <w:tcPr>
                  <w:tcW w:w="1000" w:type="dxa"/>
                  <w:vAlign w:val="center"/>
                </w:tcPr>
                <w:p w14:paraId="29E660ED">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vertAlign w:val="baseline"/>
                      <w:lang w:val="en-US" w:eastAsia="zh-CN" w:bidi="he-IL"/>
                    </w:rPr>
                    <w:t>250</w:t>
                  </w:r>
                </w:p>
              </w:tc>
              <w:tc>
                <w:tcPr>
                  <w:tcW w:w="983" w:type="dxa"/>
                  <w:vAlign w:val="center"/>
                </w:tcPr>
                <w:p w14:paraId="5F1C3355">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264</w:t>
                  </w:r>
                </w:p>
              </w:tc>
              <w:tc>
                <w:tcPr>
                  <w:tcW w:w="967" w:type="dxa"/>
                  <w:vAlign w:val="center"/>
                </w:tcPr>
                <w:p w14:paraId="6724135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234</w:t>
                  </w:r>
                </w:p>
              </w:tc>
              <w:tc>
                <w:tcPr>
                  <w:tcW w:w="983" w:type="dxa"/>
                  <w:vAlign w:val="center"/>
                </w:tcPr>
                <w:p w14:paraId="34CA9774">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vertAlign w:val="baseline"/>
                      <w:lang w:val="en-US" w:eastAsia="zh-CN" w:bidi="ar-SA"/>
                    </w:rPr>
                    <w:t>244</w:t>
                  </w:r>
                </w:p>
              </w:tc>
              <w:tc>
                <w:tcPr>
                  <w:tcW w:w="1000" w:type="dxa"/>
                  <w:vAlign w:val="center"/>
                </w:tcPr>
                <w:p w14:paraId="0D11F836">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229</w:t>
                  </w:r>
                </w:p>
              </w:tc>
              <w:tc>
                <w:tcPr>
                  <w:tcW w:w="950" w:type="dxa"/>
                  <w:vAlign w:val="center"/>
                </w:tcPr>
                <w:p w14:paraId="4A1CE5B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265</w:t>
                  </w:r>
                </w:p>
              </w:tc>
              <w:tc>
                <w:tcPr>
                  <w:tcW w:w="1675" w:type="dxa"/>
                  <w:vAlign w:val="center"/>
                </w:tcPr>
                <w:p w14:paraId="65C012B1">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26</w:t>
                  </w:r>
                  <w:r>
                    <w:rPr>
                      <w:rFonts w:hint="eastAsia" w:ascii="Times New Roman" w:hAnsi="Times New Roman" w:cs="Times New Roman"/>
                      <w:color w:val="000000" w:themeColor="text1"/>
                      <w:sz w:val="21"/>
                      <w:szCs w:val="21"/>
                      <w:highlight w:val="none"/>
                      <w:lang w:val="en-US" w:eastAsia="zh-CN"/>
                    </w:rPr>
                    <w:t>5</w:t>
                  </w:r>
                </w:p>
              </w:tc>
            </w:tr>
            <w:tr w14:paraId="04BB4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2C834D8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五日生化需氧量</w:t>
                  </w:r>
                  <w:r>
                    <w:rPr>
                      <w:rFonts w:hint="default" w:ascii="Times New Roman" w:hAnsi="Times New Roman" w:eastAsia="宋体" w:cs="Times New Roman"/>
                      <w:color w:val="000000" w:themeColor="text1"/>
                      <w:sz w:val="21"/>
                      <w:szCs w:val="21"/>
                      <w:lang w:val="en-US" w:eastAsia="zh-CN"/>
                    </w:rPr>
                    <w:t>*</w:t>
                  </w:r>
                </w:p>
              </w:tc>
              <w:tc>
                <w:tcPr>
                  <w:tcW w:w="1000" w:type="dxa"/>
                  <w:vAlign w:val="center"/>
                </w:tcPr>
                <w:p w14:paraId="08DDFF3D">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highlight w:val="none"/>
                      <w:lang w:val="en-US" w:eastAsia="zh-CN" w:bidi="he-IL"/>
                    </w:rPr>
                    <w:t>81.9</w:t>
                  </w:r>
                </w:p>
              </w:tc>
              <w:tc>
                <w:tcPr>
                  <w:tcW w:w="983" w:type="dxa"/>
                  <w:vAlign w:val="center"/>
                </w:tcPr>
                <w:p w14:paraId="5580A92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84.7</w:t>
                  </w:r>
                </w:p>
              </w:tc>
              <w:tc>
                <w:tcPr>
                  <w:tcW w:w="967" w:type="dxa"/>
                  <w:vAlign w:val="center"/>
                </w:tcPr>
                <w:p w14:paraId="37797631">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79.3</w:t>
                  </w:r>
                </w:p>
              </w:tc>
              <w:tc>
                <w:tcPr>
                  <w:tcW w:w="983" w:type="dxa"/>
                  <w:vAlign w:val="center"/>
                </w:tcPr>
                <w:p w14:paraId="0A565F5F">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78.1</w:t>
                  </w:r>
                </w:p>
              </w:tc>
              <w:tc>
                <w:tcPr>
                  <w:tcW w:w="1000" w:type="dxa"/>
                  <w:vAlign w:val="center"/>
                </w:tcPr>
                <w:p w14:paraId="6FB6963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84.7</w:t>
                  </w:r>
                </w:p>
              </w:tc>
              <w:tc>
                <w:tcPr>
                  <w:tcW w:w="950" w:type="dxa"/>
                  <w:vAlign w:val="center"/>
                </w:tcPr>
                <w:p w14:paraId="180DC426">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81.0</w:t>
                  </w:r>
                </w:p>
              </w:tc>
              <w:tc>
                <w:tcPr>
                  <w:tcW w:w="1675" w:type="dxa"/>
                  <w:vAlign w:val="center"/>
                </w:tcPr>
                <w:p w14:paraId="76923723">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84.7</w:t>
                  </w:r>
                </w:p>
              </w:tc>
            </w:tr>
            <w:tr w14:paraId="6C814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7F70797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总磷</w:t>
                  </w:r>
                  <w:r>
                    <w:rPr>
                      <w:rFonts w:hint="default" w:ascii="Times New Roman" w:hAnsi="Times New Roman" w:eastAsia="宋体" w:cs="Times New Roman"/>
                      <w:color w:val="000000" w:themeColor="text1"/>
                      <w:sz w:val="21"/>
                      <w:szCs w:val="21"/>
                      <w:lang w:val="en-US" w:eastAsia="zh-CN"/>
                    </w:rPr>
                    <w:t>*</w:t>
                  </w:r>
                </w:p>
              </w:tc>
              <w:tc>
                <w:tcPr>
                  <w:tcW w:w="1000" w:type="dxa"/>
                  <w:vAlign w:val="center"/>
                </w:tcPr>
                <w:p w14:paraId="557E4394">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highlight w:val="none"/>
                      <w:lang w:val="en-US" w:eastAsia="zh-CN" w:bidi="he-IL"/>
                    </w:rPr>
                    <w:t>2.83</w:t>
                  </w:r>
                </w:p>
              </w:tc>
              <w:tc>
                <w:tcPr>
                  <w:tcW w:w="983" w:type="dxa"/>
                  <w:vAlign w:val="center"/>
                </w:tcPr>
                <w:p w14:paraId="3186F0F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2.80</w:t>
                  </w:r>
                </w:p>
              </w:tc>
              <w:tc>
                <w:tcPr>
                  <w:tcW w:w="967" w:type="dxa"/>
                  <w:vAlign w:val="center"/>
                </w:tcPr>
                <w:p w14:paraId="072252F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2.82</w:t>
                  </w:r>
                </w:p>
              </w:tc>
              <w:tc>
                <w:tcPr>
                  <w:tcW w:w="983" w:type="dxa"/>
                  <w:vAlign w:val="center"/>
                </w:tcPr>
                <w:p w14:paraId="23712981">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2.79</w:t>
                  </w:r>
                </w:p>
              </w:tc>
              <w:tc>
                <w:tcPr>
                  <w:tcW w:w="1000" w:type="dxa"/>
                  <w:vAlign w:val="center"/>
                </w:tcPr>
                <w:p w14:paraId="3F0A579D">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2.74</w:t>
                  </w:r>
                </w:p>
              </w:tc>
              <w:tc>
                <w:tcPr>
                  <w:tcW w:w="950" w:type="dxa"/>
                  <w:vAlign w:val="center"/>
                </w:tcPr>
                <w:p w14:paraId="1167AFB1">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2.83</w:t>
                  </w:r>
                </w:p>
              </w:tc>
              <w:tc>
                <w:tcPr>
                  <w:tcW w:w="1675" w:type="dxa"/>
                  <w:vAlign w:val="center"/>
                </w:tcPr>
                <w:p w14:paraId="06B1DA93">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2.83</w:t>
                  </w:r>
                </w:p>
              </w:tc>
            </w:tr>
            <w:tr w14:paraId="6D2B3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01AD705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总氮</w:t>
                  </w:r>
                  <w:r>
                    <w:rPr>
                      <w:rFonts w:hint="default" w:ascii="Times New Roman" w:hAnsi="Times New Roman" w:eastAsia="宋体" w:cs="Times New Roman"/>
                      <w:color w:val="000000" w:themeColor="text1"/>
                      <w:sz w:val="21"/>
                      <w:szCs w:val="21"/>
                      <w:lang w:val="en-US" w:eastAsia="zh-CN"/>
                    </w:rPr>
                    <w:t>*</w:t>
                  </w:r>
                </w:p>
              </w:tc>
              <w:tc>
                <w:tcPr>
                  <w:tcW w:w="1000" w:type="dxa"/>
                  <w:vAlign w:val="center"/>
                </w:tcPr>
                <w:p w14:paraId="0243E8C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57.6</w:t>
                  </w:r>
                </w:p>
              </w:tc>
              <w:tc>
                <w:tcPr>
                  <w:tcW w:w="983" w:type="dxa"/>
                  <w:vAlign w:val="center"/>
                </w:tcPr>
                <w:p w14:paraId="0577CFD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56.5</w:t>
                  </w:r>
                </w:p>
              </w:tc>
              <w:tc>
                <w:tcPr>
                  <w:tcW w:w="967" w:type="dxa"/>
                  <w:vAlign w:val="center"/>
                </w:tcPr>
                <w:p w14:paraId="1935F3E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55.7</w:t>
                  </w:r>
                </w:p>
              </w:tc>
              <w:tc>
                <w:tcPr>
                  <w:tcW w:w="983" w:type="dxa"/>
                  <w:vAlign w:val="center"/>
                </w:tcPr>
                <w:p w14:paraId="31FB4288">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58.4</w:t>
                  </w:r>
                </w:p>
              </w:tc>
              <w:tc>
                <w:tcPr>
                  <w:tcW w:w="1000" w:type="dxa"/>
                  <w:vAlign w:val="center"/>
                </w:tcPr>
                <w:p w14:paraId="2A14AE3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57.8</w:t>
                  </w:r>
                </w:p>
              </w:tc>
              <w:tc>
                <w:tcPr>
                  <w:tcW w:w="950" w:type="dxa"/>
                  <w:vAlign w:val="center"/>
                </w:tcPr>
                <w:p w14:paraId="25DC87E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56.7</w:t>
                  </w:r>
                </w:p>
              </w:tc>
              <w:tc>
                <w:tcPr>
                  <w:tcW w:w="1675" w:type="dxa"/>
                  <w:vAlign w:val="center"/>
                </w:tcPr>
                <w:p w14:paraId="5A84DF7E">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58.4</w:t>
                  </w:r>
                </w:p>
              </w:tc>
            </w:tr>
            <w:tr w14:paraId="4B6B9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3E00170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氨氮</w:t>
                  </w:r>
                  <w:r>
                    <w:rPr>
                      <w:rFonts w:hint="default" w:ascii="Times New Roman" w:hAnsi="Times New Roman" w:eastAsia="宋体" w:cs="Times New Roman"/>
                      <w:color w:val="000000" w:themeColor="text1"/>
                      <w:sz w:val="21"/>
                      <w:szCs w:val="21"/>
                      <w:lang w:val="en-US" w:eastAsia="zh-CN"/>
                    </w:rPr>
                    <w:t>*</w:t>
                  </w:r>
                </w:p>
              </w:tc>
              <w:tc>
                <w:tcPr>
                  <w:tcW w:w="1000" w:type="dxa"/>
                  <w:vAlign w:val="center"/>
                </w:tcPr>
                <w:p w14:paraId="2290E968">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53.2</w:t>
                  </w:r>
                </w:p>
              </w:tc>
              <w:tc>
                <w:tcPr>
                  <w:tcW w:w="983" w:type="dxa"/>
                  <w:vAlign w:val="center"/>
                </w:tcPr>
                <w:p w14:paraId="0C4C63A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50.7</w:t>
                  </w:r>
                </w:p>
              </w:tc>
              <w:tc>
                <w:tcPr>
                  <w:tcW w:w="967" w:type="dxa"/>
                  <w:vAlign w:val="center"/>
                </w:tcPr>
                <w:p w14:paraId="6E4E64F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52.1</w:t>
                  </w:r>
                </w:p>
              </w:tc>
              <w:tc>
                <w:tcPr>
                  <w:tcW w:w="983" w:type="dxa"/>
                  <w:vAlign w:val="center"/>
                </w:tcPr>
                <w:p w14:paraId="032C98C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51.8</w:t>
                  </w:r>
                </w:p>
              </w:tc>
              <w:tc>
                <w:tcPr>
                  <w:tcW w:w="1000" w:type="dxa"/>
                  <w:vAlign w:val="center"/>
                </w:tcPr>
                <w:p w14:paraId="27ADE74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48.9</w:t>
                  </w:r>
                </w:p>
              </w:tc>
              <w:tc>
                <w:tcPr>
                  <w:tcW w:w="950" w:type="dxa"/>
                  <w:vAlign w:val="center"/>
                </w:tcPr>
                <w:p w14:paraId="292A4160">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50.2</w:t>
                  </w:r>
                </w:p>
              </w:tc>
              <w:tc>
                <w:tcPr>
                  <w:tcW w:w="1675" w:type="dxa"/>
                  <w:vAlign w:val="center"/>
                </w:tcPr>
                <w:p w14:paraId="57DCB333">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53.2</w:t>
                  </w:r>
                </w:p>
              </w:tc>
            </w:tr>
            <w:tr w14:paraId="127B5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3977C15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石油类</w:t>
                  </w:r>
                  <w:r>
                    <w:rPr>
                      <w:rFonts w:hint="default" w:ascii="Times New Roman" w:hAnsi="Times New Roman" w:eastAsia="宋体" w:cs="Times New Roman"/>
                      <w:color w:val="000000" w:themeColor="text1"/>
                      <w:sz w:val="21"/>
                      <w:szCs w:val="21"/>
                      <w:lang w:val="en-US" w:eastAsia="zh-CN"/>
                    </w:rPr>
                    <w:t>*</w:t>
                  </w:r>
                </w:p>
              </w:tc>
              <w:tc>
                <w:tcPr>
                  <w:tcW w:w="1000" w:type="dxa"/>
                  <w:vAlign w:val="center"/>
                </w:tcPr>
                <w:p w14:paraId="092D163F">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0.19</w:t>
                  </w:r>
                </w:p>
              </w:tc>
              <w:tc>
                <w:tcPr>
                  <w:tcW w:w="983" w:type="dxa"/>
                  <w:vAlign w:val="center"/>
                </w:tcPr>
                <w:p w14:paraId="47D8381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016</w:t>
                  </w:r>
                </w:p>
              </w:tc>
              <w:tc>
                <w:tcPr>
                  <w:tcW w:w="967" w:type="dxa"/>
                  <w:vAlign w:val="center"/>
                </w:tcPr>
                <w:p w14:paraId="4955D04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0.15</w:t>
                  </w:r>
                </w:p>
              </w:tc>
              <w:tc>
                <w:tcPr>
                  <w:tcW w:w="983" w:type="dxa"/>
                  <w:vAlign w:val="center"/>
                </w:tcPr>
                <w:p w14:paraId="0EF9629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0.15</w:t>
                  </w:r>
                </w:p>
              </w:tc>
              <w:tc>
                <w:tcPr>
                  <w:tcW w:w="1000" w:type="dxa"/>
                  <w:vAlign w:val="center"/>
                </w:tcPr>
                <w:p w14:paraId="6D95880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0.15</w:t>
                  </w:r>
                </w:p>
              </w:tc>
              <w:tc>
                <w:tcPr>
                  <w:tcW w:w="950" w:type="dxa"/>
                  <w:vAlign w:val="center"/>
                </w:tcPr>
                <w:p w14:paraId="22E316D8">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0.15</w:t>
                  </w:r>
                </w:p>
              </w:tc>
              <w:tc>
                <w:tcPr>
                  <w:tcW w:w="1675" w:type="dxa"/>
                  <w:vAlign w:val="center"/>
                </w:tcPr>
                <w:p w14:paraId="458BD05E">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0.19</w:t>
                  </w:r>
                </w:p>
              </w:tc>
            </w:tr>
            <w:tr w14:paraId="48CCD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3BAFFDE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动植物油类</w:t>
                  </w:r>
                  <w:r>
                    <w:rPr>
                      <w:rFonts w:hint="default" w:ascii="Times New Roman" w:hAnsi="Times New Roman" w:eastAsia="宋体" w:cs="Times New Roman"/>
                      <w:color w:val="000000" w:themeColor="text1"/>
                      <w:sz w:val="21"/>
                      <w:szCs w:val="21"/>
                      <w:lang w:val="en-US" w:eastAsia="zh-CN"/>
                    </w:rPr>
                    <w:t>*</w:t>
                  </w:r>
                </w:p>
              </w:tc>
              <w:tc>
                <w:tcPr>
                  <w:tcW w:w="1000" w:type="dxa"/>
                  <w:vAlign w:val="center"/>
                </w:tcPr>
                <w:p w14:paraId="5BE442B8">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2.13</w:t>
                  </w:r>
                </w:p>
              </w:tc>
              <w:tc>
                <w:tcPr>
                  <w:tcW w:w="983" w:type="dxa"/>
                  <w:vAlign w:val="center"/>
                </w:tcPr>
                <w:p w14:paraId="0D43378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2.16</w:t>
                  </w:r>
                </w:p>
              </w:tc>
              <w:tc>
                <w:tcPr>
                  <w:tcW w:w="967" w:type="dxa"/>
                  <w:vAlign w:val="center"/>
                </w:tcPr>
                <w:p w14:paraId="148C853A">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2.14</w:t>
                  </w:r>
                </w:p>
              </w:tc>
              <w:tc>
                <w:tcPr>
                  <w:tcW w:w="983" w:type="dxa"/>
                  <w:vAlign w:val="center"/>
                </w:tcPr>
                <w:p w14:paraId="00F3AB3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2.09</w:t>
                  </w:r>
                </w:p>
              </w:tc>
              <w:tc>
                <w:tcPr>
                  <w:tcW w:w="1000" w:type="dxa"/>
                  <w:vAlign w:val="center"/>
                </w:tcPr>
                <w:p w14:paraId="2B6466A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2.11</w:t>
                  </w:r>
                </w:p>
              </w:tc>
              <w:tc>
                <w:tcPr>
                  <w:tcW w:w="950" w:type="dxa"/>
                  <w:vAlign w:val="center"/>
                </w:tcPr>
                <w:p w14:paraId="0D378EC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2.10</w:t>
                  </w:r>
                </w:p>
              </w:tc>
              <w:tc>
                <w:tcPr>
                  <w:tcW w:w="1675" w:type="dxa"/>
                  <w:vAlign w:val="center"/>
                </w:tcPr>
                <w:p w14:paraId="0C56BE31">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2.1</w:t>
                  </w:r>
                  <w:r>
                    <w:rPr>
                      <w:rFonts w:hint="eastAsia" w:ascii="Times New Roman" w:hAnsi="Times New Roman" w:cs="Times New Roman"/>
                      <w:color w:val="000000" w:themeColor="text1"/>
                      <w:sz w:val="21"/>
                      <w:szCs w:val="21"/>
                      <w:highlight w:val="none"/>
                      <w:lang w:val="en-US" w:eastAsia="zh-CN"/>
                    </w:rPr>
                    <w:t>6</w:t>
                  </w:r>
                </w:p>
              </w:tc>
            </w:tr>
            <w:tr w14:paraId="517FE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1419A78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粪大肠菌群（</w:t>
                  </w:r>
                  <w:r>
                    <w:rPr>
                      <w:rFonts w:hint="default" w:ascii="Times New Roman" w:hAnsi="Times New Roman" w:eastAsia="宋体" w:cs="Times New Roman"/>
                      <w:color w:val="000000" w:themeColor="text1"/>
                      <w:sz w:val="21"/>
                      <w:szCs w:val="21"/>
                    </w:rPr>
                    <w:t>MPN/L</w:t>
                  </w:r>
                  <w:r>
                    <w:rPr>
                      <w:rFonts w:hint="default" w:ascii="Times New Roman" w:hAnsi="Times New Roman" w:eastAsia="宋体" w:cs="Times New Roman"/>
                      <w:color w:val="000000" w:themeColor="text1"/>
                      <w:spacing w:val="-5"/>
                      <w:sz w:val="21"/>
                      <w:szCs w:val="21"/>
                      <w:lang w:val="en-US" w:eastAsia="zh-CN" w:bidi="he-IL"/>
                    </w:rPr>
                    <w:t>）</w:t>
                  </w:r>
                  <w:r>
                    <w:rPr>
                      <w:rFonts w:hint="default" w:ascii="Times New Roman" w:hAnsi="Times New Roman" w:eastAsia="宋体" w:cs="Times New Roman"/>
                      <w:color w:val="000000" w:themeColor="text1"/>
                      <w:sz w:val="21"/>
                      <w:szCs w:val="21"/>
                      <w:lang w:val="en-US" w:eastAsia="zh-CN"/>
                    </w:rPr>
                    <w:t>*</w:t>
                  </w:r>
                </w:p>
              </w:tc>
              <w:tc>
                <w:tcPr>
                  <w:tcW w:w="1000" w:type="dxa"/>
                  <w:vAlign w:val="center"/>
                </w:tcPr>
                <w:p w14:paraId="6BD4E5D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983" w:type="dxa"/>
                  <w:vAlign w:val="center"/>
                </w:tcPr>
                <w:p w14:paraId="7FA8FCB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967" w:type="dxa"/>
                  <w:vAlign w:val="center"/>
                </w:tcPr>
                <w:p w14:paraId="67571FA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983" w:type="dxa"/>
                  <w:vAlign w:val="center"/>
                </w:tcPr>
                <w:p w14:paraId="624B9E5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1000" w:type="dxa"/>
                  <w:vAlign w:val="center"/>
                </w:tcPr>
                <w:p w14:paraId="536FBF3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950" w:type="dxa"/>
                  <w:vAlign w:val="center"/>
                </w:tcPr>
                <w:p w14:paraId="55CB1A6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1675" w:type="dxa"/>
                  <w:vAlign w:val="center"/>
                </w:tcPr>
                <w:p w14:paraId="4EA3D7BE">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ND</w:t>
                  </w:r>
                </w:p>
              </w:tc>
            </w:tr>
            <w:tr w14:paraId="5BC2D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62" w:type="dxa"/>
                  <w:vAlign w:val="center"/>
                </w:tcPr>
                <w:p w14:paraId="4241A5EA">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color w:val="000000" w:themeColor="text1"/>
                      <w:spacing w:val="8"/>
                      <w:position w:val="2"/>
                      <w:sz w:val="21"/>
                      <w:szCs w:val="21"/>
                      <w:highlight w:val="none"/>
                      <w:lang w:val="en-US" w:eastAsia="zh-CN"/>
                    </w:rPr>
                  </w:pPr>
                  <w:r>
                    <w:rPr>
                      <w:rFonts w:hint="eastAsia" w:ascii="Times New Roman" w:hAnsi="Times New Roman" w:eastAsia="宋体" w:cs="Times New Roman"/>
                      <w:color w:val="000000" w:themeColor="text1"/>
                      <w:spacing w:val="8"/>
                      <w:position w:val="2"/>
                      <w:sz w:val="21"/>
                      <w:szCs w:val="21"/>
                      <w:highlight w:val="none"/>
                      <w:lang w:val="en-US" w:eastAsia="zh-CN"/>
                    </w:rPr>
                    <w:t>备注</w:t>
                  </w:r>
                </w:p>
              </w:tc>
              <w:tc>
                <w:tcPr>
                  <w:tcW w:w="7558" w:type="dxa"/>
                  <w:gridSpan w:val="7"/>
                  <w:vAlign w:val="center"/>
                </w:tcPr>
                <w:p w14:paraId="34F4861B">
                  <w:pPr>
                    <w:keepNext w:val="0"/>
                    <w:keepLines w:val="0"/>
                    <w:pageBreakBefore w:val="0"/>
                    <w:kinsoku/>
                    <w:wordWrap/>
                    <w:overflowPunct/>
                    <w:topLinePunct w:val="0"/>
                    <w:autoSpaceDE/>
                    <w:autoSpaceDN/>
                    <w:bidi w:val="0"/>
                    <w:adjustRightInd/>
                    <w:snapToGrid/>
                    <w:spacing w:line="240" w:lineRule="auto"/>
                    <w:ind w:left="0"/>
                    <w:jc w:val="left"/>
                    <w:textAlignment w:val="auto"/>
                    <w:rPr>
                      <w:rFonts w:hint="eastAsia" w:ascii="Times New Roman" w:hAnsi="Times New Roman" w:eastAsia="宋体" w:cs="Times New Roman"/>
                      <w:color w:val="000000" w:themeColor="text1"/>
                      <w:spacing w:val="8"/>
                      <w:position w:val="2"/>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带“*”表示分包项目，分包于云南天倪检测有限公司，证书编号：202512050131，有效期至2026年06月29日，属于无能力分包。</w:t>
                  </w:r>
                </w:p>
              </w:tc>
            </w:tr>
          </w:tbl>
          <w:p w14:paraId="4814A58C">
            <w:pPr>
              <w:spacing w:beforeLines="50"/>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表7-3  </w:t>
            </w:r>
            <w:r>
              <w:rPr>
                <w:rFonts w:hint="eastAsia" w:ascii="Times New Roman" w:hAnsi="Times New Roman" w:cs="Times New Roman"/>
                <w:b/>
                <w:color w:val="000000" w:themeColor="text1"/>
                <w:sz w:val="24"/>
                <w:szCs w:val="24"/>
                <w:highlight w:val="none"/>
                <w:lang w:val="en-US" w:eastAsia="zh-CN"/>
              </w:rPr>
              <w:t>污水</w:t>
            </w:r>
            <w:r>
              <w:rPr>
                <w:rFonts w:hint="default" w:ascii="Times New Roman" w:hAnsi="Times New Roman" w:cs="Times New Roman"/>
                <w:b/>
                <w:color w:val="000000" w:themeColor="text1"/>
                <w:sz w:val="24"/>
                <w:szCs w:val="24"/>
                <w:highlight w:val="none"/>
              </w:rPr>
              <w:t>处理站出口废水监测结果与评价表   单位：mg/L</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5"/>
              <w:gridCol w:w="933"/>
              <w:gridCol w:w="917"/>
              <w:gridCol w:w="883"/>
              <w:gridCol w:w="884"/>
              <w:gridCol w:w="883"/>
              <w:gridCol w:w="917"/>
              <w:gridCol w:w="733"/>
              <w:gridCol w:w="650"/>
              <w:gridCol w:w="425"/>
            </w:tblGrid>
            <w:tr w14:paraId="750D2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B2A8F1C">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检测点位</w:t>
                  </w:r>
                </w:p>
              </w:tc>
              <w:tc>
                <w:tcPr>
                  <w:tcW w:w="4049" w:type="pct"/>
                  <w:gridSpan w:val="9"/>
                  <w:vAlign w:val="center"/>
                </w:tcPr>
                <w:p w14:paraId="3242D6F5">
                  <w:pPr>
                    <w:keepNext w:val="0"/>
                    <w:keepLines w:val="0"/>
                    <w:pageBreakBefore w:val="0"/>
                    <w:widowControl/>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default" w:ascii="Times New Roman" w:hAnsi="Times New Roman" w:eastAsia="宋体" w:cs="Times New Roman"/>
                      <w:b/>
                      <w:bCs w:val="0"/>
                      <w:color w:val="000000" w:themeColor="text1"/>
                      <w:sz w:val="21"/>
                      <w:szCs w:val="21"/>
                      <w:highlight w:val="none"/>
                      <w:lang w:val="en-US" w:eastAsia="zh-CN"/>
                    </w:rPr>
                    <w:t>污水</w:t>
                  </w:r>
                  <w:r>
                    <w:rPr>
                      <w:rFonts w:hint="default" w:ascii="Times New Roman" w:hAnsi="Times New Roman" w:eastAsia="宋体" w:cs="Times New Roman"/>
                      <w:b/>
                      <w:bCs w:val="0"/>
                      <w:color w:val="000000" w:themeColor="text1"/>
                      <w:sz w:val="21"/>
                      <w:szCs w:val="21"/>
                      <w:highlight w:val="none"/>
                    </w:rPr>
                    <w:t>处理站出口</w:t>
                  </w:r>
                </w:p>
              </w:tc>
            </w:tr>
            <w:tr w14:paraId="0D0CB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75566237">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样品编号</w:t>
                  </w:r>
                </w:p>
              </w:tc>
              <w:tc>
                <w:tcPr>
                  <w:tcW w:w="522" w:type="pct"/>
                  <w:vAlign w:val="center"/>
                </w:tcPr>
                <w:p w14:paraId="7FA7179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W25030502FS-2-</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-1</w:t>
                  </w:r>
                </w:p>
              </w:tc>
              <w:tc>
                <w:tcPr>
                  <w:tcW w:w="514" w:type="pct"/>
                  <w:vAlign w:val="center"/>
                </w:tcPr>
                <w:p w14:paraId="5378064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W25030502FS-2-</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-2</w:t>
                  </w:r>
                </w:p>
              </w:tc>
              <w:tc>
                <w:tcPr>
                  <w:tcW w:w="494" w:type="pct"/>
                  <w:vAlign w:val="center"/>
                </w:tcPr>
                <w:p w14:paraId="5C2066D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W25030502FS-2-</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-3</w:t>
                  </w:r>
                </w:p>
              </w:tc>
              <w:tc>
                <w:tcPr>
                  <w:tcW w:w="495" w:type="pct"/>
                  <w:vAlign w:val="center"/>
                </w:tcPr>
                <w:p w14:paraId="47E6072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W25030502FS-2-2-1</w:t>
                  </w:r>
                </w:p>
              </w:tc>
              <w:tc>
                <w:tcPr>
                  <w:tcW w:w="494" w:type="pct"/>
                  <w:vAlign w:val="center"/>
                </w:tcPr>
                <w:p w14:paraId="72D279A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W25030502FS-2-2-2</w:t>
                  </w:r>
                </w:p>
              </w:tc>
              <w:tc>
                <w:tcPr>
                  <w:tcW w:w="514" w:type="pct"/>
                  <w:vAlign w:val="center"/>
                </w:tcPr>
                <w:p w14:paraId="35A8CF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W25030502FS-2-2-3</w:t>
                  </w:r>
                </w:p>
              </w:tc>
              <w:tc>
                <w:tcPr>
                  <w:tcW w:w="410" w:type="pct"/>
                  <w:vMerge w:val="restart"/>
                  <w:vAlign w:val="center"/>
                </w:tcPr>
                <w:p w14:paraId="6C11999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最大值</w:t>
                  </w:r>
                </w:p>
              </w:tc>
              <w:tc>
                <w:tcPr>
                  <w:tcW w:w="364" w:type="pct"/>
                  <w:vMerge w:val="restart"/>
                  <w:vAlign w:val="center"/>
                </w:tcPr>
                <w:p w14:paraId="627B2656">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标准</w:t>
                  </w:r>
                </w:p>
                <w:p w14:paraId="0199AA07">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限值</w:t>
                  </w:r>
                </w:p>
              </w:tc>
              <w:tc>
                <w:tcPr>
                  <w:tcW w:w="238" w:type="pct"/>
                  <w:vMerge w:val="restart"/>
                  <w:vAlign w:val="center"/>
                </w:tcPr>
                <w:p w14:paraId="42C150E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达标情况</w:t>
                  </w:r>
                </w:p>
              </w:tc>
            </w:tr>
            <w:tr w14:paraId="38683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tcBorders>
                    <w:tl2br w:val="single" w:color="auto" w:sz="4" w:space="0"/>
                  </w:tcBorders>
                  <w:vAlign w:val="center"/>
                </w:tcPr>
                <w:p w14:paraId="54FFD69F">
                  <w:pPr>
                    <w:keepNext w:val="0"/>
                    <w:keepLines w:val="0"/>
                    <w:pageBreakBefore w:val="0"/>
                    <w:kinsoku/>
                    <w:wordWrap/>
                    <w:overflowPunct/>
                    <w:topLinePunct w:val="0"/>
                    <w:autoSpaceDE/>
                    <w:autoSpaceDN/>
                    <w:bidi w:val="0"/>
                    <w:adjustRightInd/>
                    <w:snapToGrid/>
                    <w:spacing w:line="240" w:lineRule="auto"/>
                    <w:ind w:left="0"/>
                    <w:contextualSpacing/>
                    <w:jc w:val="righ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采样日期</w:t>
                  </w:r>
                </w:p>
                <w:p w14:paraId="21104862">
                  <w:pPr>
                    <w:keepNext w:val="0"/>
                    <w:keepLines w:val="0"/>
                    <w:pageBreakBefore w:val="0"/>
                    <w:kinsoku/>
                    <w:wordWrap/>
                    <w:overflowPunct/>
                    <w:topLinePunct w:val="0"/>
                    <w:autoSpaceDE/>
                    <w:autoSpaceDN/>
                    <w:bidi w:val="0"/>
                    <w:adjustRightInd/>
                    <w:snapToGrid/>
                    <w:spacing w:line="240" w:lineRule="auto"/>
                    <w:ind w:left="0"/>
                    <w:contextualSpacing/>
                    <w:jc w:val="lef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项目</w:t>
                  </w:r>
                </w:p>
              </w:tc>
              <w:tc>
                <w:tcPr>
                  <w:tcW w:w="1531" w:type="pct"/>
                  <w:gridSpan w:val="3"/>
                  <w:vAlign w:val="center"/>
                </w:tcPr>
                <w:p w14:paraId="19953371">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w:t>
                  </w:r>
                  <w:r>
                    <w:rPr>
                      <w:rFonts w:hint="eastAsia" w:ascii="Times New Roman" w:hAnsi="Times New Roman" w:cs="Times New Roman"/>
                      <w:b/>
                      <w:bCs w:val="0"/>
                      <w:color w:val="000000" w:themeColor="text1"/>
                      <w:sz w:val="21"/>
                      <w:szCs w:val="21"/>
                      <w:highlight w:val="none"/>
                      <w:lang w:val="en-US" w:eastAsia="zh-CN"/>
                    </w:rPr>
                    <w:t>8</w:t>
                  </w:r>
                </w:p>
              </w:tc>
              <w:tc>
                <w:tcPr>
                  <w:tcW w:w="1504" w:type="pct"/>
                  <w:gridSpan w:val="3"/>
                  <w:vAlign w:val="center"/>
                </w:tcPr>
                <w:p w14:paraId="359AC0CD">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2025.03.09</w:t>
                  </w:r>
                </w:p>
              </w:tc>
              <w:tc>
                <w:tcPr>
                  <w:tcW w:w="410" w:type="pct"/>
                  <w:vMerge w:val="continue"/>
                  <w:vAlign w:val="center"/>
                </w:tcPr>
                <w:p w14:paraId="564F48D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c>
                <w:tcPr>
                  <w:tcW w:w="364" w:type="pct"/>
                  <w:vMerge w:val="continue"/>
                  <w:vAlign w:val="center"/>
                </w:tcPr>
                <w:p w14:paraId="0121548E">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c>
                <w:tcPr>
                  <w:tcW w:w="238" w:type="pct"/>
                  <w:vMerge w:val="continue"/>
                  <w:vAlign w:val="center"/>
                </w:tcPr>
                <w:p w14:paraId="449D8198">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r>
            <w:tr w14:paraId="54C1A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736429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bCs/>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pH（无量纲）</w:t>
                  </w:r>
                </w:p>
              </w:tc>
              <w:tc>
                <w:tcPr>
                  <w:tcW w:w="522" w:type="pct"/>
                  <w:vAlign w:val="center"/>
                </w:tcPr>
                <w:p w14:paraId="13CB33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7.9</w:t>
                  </w:r>
                </w:p>
              </w:tc>
              <w:tc>
                <w:tcPr>
                  <w:tcW w:w="514" w:type="pct"/>
                  <w:vAlign w:val="center"/>
                </w:tcPr>
                <w:p w14:paraId="0D63E6C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7.8</w:t>
                  </w:r>
                </w:p>
              </w:tc>
              <w:tc>
                <w:tcPr>
                  <w:tcW w:w="494" w:type="pct"/>
                  <w:vAlign w:val="center"/>
                </w:tcPr>
                <w:p w14:paraId="48E674C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8.0</w:t>
                  </w:r>
                </w:p>
              </w:tc>
              <w:tc>
                <w:tcPr>
                  <w:tcW w:w="495" w:type="pct"/>
                  <w:vAlign w:val="center"/>
                </w:tcPr>
                <w:p w14:paraId="18C6AB1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8.3</w:t>
                  </w:r>
                </w:p>
              </w:tc>
              <w:tc>
                <w:tcPr>
                  <w:tcW w:w="494" w:type="pct"/>
                  <w:vAlign w:val="center"/>
                </w:tcPr>
                <w:p w14:paraId="53A0700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8.2</w:t>
                  </w:r>
                </w:p>
              </w:tc>
              <w:tc>
                <w:tcPr>
                  <w:tcW w:w="514" w:type="pct"/>
                  <w:vAlign w:val="center"/>
                </w:tcPr>
                <w:p w14:paraId="4BBA1D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8.3</w:t>
                  </w:r>
                </w:p>
              </w:tc>
              <w:tc>
                <w:tcPr>
                  <w:tcW w:w="410" w:type="pct"/>
                  <w:vAlign w:val="center"/>
                </w:tcPr>
                <w:p w14:paraId="40B01EEE">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8.3</w:t>
                  </w:r>
                </w:p>
              </w:tc>
              <w:tc>
                <w:tcPr>
                  <w:tcW w:w="364" w:type="pct"/>
                  <w:vAlign w:val="center"/>
                </w:tcPr>
                <w:p w14:paraId="102929F6">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1"/>
                      <w:sz w:val="21"/>
                      <w:szCs w:val="21"/>
                      <w:highlight w:val="none"/>
                    </w:rPr>
                    <w:t>6～9</w:t>
                  </w:r>
                </w:p>
              </w:tc>
              <w:tc>
                <w:tcPr>
                  <w:tcW w:w="238" w:type="pct"/>
                  <w:vAlign w:val="center"/>
                </w:tcPr>
                <w:p w14:paraId="021633ED">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58539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7757DB66">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lang w:val="en-US" w:eastAsia="zh-CN" w:bidi="ar-SA"/>
                    </w:rPr>
                    <w:t>悬浮物</w:t>
                  </w:r>
                </w:p>
              </w:tc>
              <w:tc>
                <w:tcPr>
                  <w:tcW w:w="522" w:type="pct"/>
                  <w:vAlign w:val="center"/>
                </w:tcPr>
                <w:p w14:paraId="301036A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8</w:t>
                  </w:r>
                </w:p>
              </w:tc>
              <w:tc>
                <w:tcPr>
                  <w:tcW w:w="514" w:type="pct"/>
                  <w:vAlign w:val="center"/>
                </w:tcPr>
                <w:p w14:paraId="7F715FD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6</w:t>
                  </w:r>
                </w:p>
              </w:tc>
              <w:tc>
                <w:tcPr>
                  <w:tcW w:w="494" w:type="pct"/>
                  <w:vAlign w:val="center"/>
                </w:tcPr>
                <w:p w14:paraId="05F9602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8</w:t>
                  </w:r>
                </w:p>
              </w:tc>
              <w:tc>
                <w:tcPr>
                  <w:tcW w:w="495" w:type="pct"/>
                  <w:vAlign w:val="center"/>
                </w:tcPr>
                <w:p w14:paraId="417A8FFE">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9</w:t>
                  </w:r>
                </w:p>
              </w:tc>
              <w:tc>
                <w:tcPr>
                  <w:tcW w:w="494" w:type="pct"/>
                  <w:vAlign w:val="center"/>
                </w:tcPr>
                <w:p w14:paraId="4B158ABD">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8</w:t>
                  </w:r>
                </w:p>
              </w:tc>
              <w:tc>
                <w:tcPr>
                  <w:tcW w:w="514" w:type="pct"/>
                  <w:vAlign w:val="center"/>
                </w:tcPr>
                <w:p w14:paraId="6F050F9B">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6</w:t>
                  </w:r>
                </w:p>
              </w:tc>
              <w:tc>
                <w:tcPr>
                  <w:tcW w:w="410" w:type="pct"/>
                  <w:vAlign w:val="center"/>
                </w:tcPr>
                <w:p w14:paraId="1D0AD12A">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w:t>
                  </w:r>
                </w:p>
              </w:tc>
              <w:tc>
                <w:tcPr>
                  <w:tcW w:w="364" w:type="pct"/>
                  <w:vAlign w:val="center"/>
                </w:tcPr>
                <w:p w14:paraId="5E2E2075">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10</w:t>
                  </w:r>
                </w:p>
              </w:tc>
              <w:tc>
                <w:tcPr>
                  <w:tcW w:w="238" w:type="pct"/>
                  <w:vAlign w:val="center"/>
                </w:tcPr>
                <w:p w14:paraId="4D9B62FE">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66EF3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76A04BE">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化学需氧量</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59DA8F8C">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kern w:val="2"/>
                      <w:sz w:val="21"/>
                      <w:szCs w:val="21"/>
                      <w:vertAlign w:val="baseline"/>
                      <w:lang w:val="en-US" w:eastAsia="zh-CN" w:bidi="ar-SA"/>
                    </w:rPr>
                    <w:t>44</w:t>
                  </w:r>
                </w:p>
              </w:tc>
              <w:tc>
                <w:tcPr>
                  <w:tcW w:w="514" w:type="pct"/>
                  <w:vAlign w:val="center"/>
                </w:tcPr>
                <w:p w14:paraId="6B8DE42A">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41</w:t>
                  </w:r>
                </w:p>
              </w:tc>
              <w:tc>
                <w:tcPr>
                  <w:tcW w:w="494" w:type="pct"/>
                  <w:vAlign w:val="center"/>
                </w:tcPr>
                <w:p w14:paraId="75B3757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46</w:t>
                  </w:r>
                </w:p>
              </w:tc>
              <w:tc>
                <w:tcPr>
                  <w:tcW w:w="495" w:type="pct"/>
                  <w:vAlign w:val="center"/>
                </w:tcPr>
                <w:p w14:paraId="2E4A7C7A">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vertAlign w:val="baseline"/>
                      <w:lang w:val="en-US" w:eastAsia="zh-CN" w:bidi="ar-SA"/>
                    </w:rPr>
                    <w:t>48</w:t>
                  </w:r>
                </w:p>
              </w:tc>
              <w:tc>
                <w:tcPr>
                  <w:tcW w:w="494" w:type="pct"/>
                  <w:vAlign w:val="center"/>
                </w:tcPr>
                <w:p w14:paraId="44F36AB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43</w:t>
                  </w:r>
                </w:p>
              </w:tc>
              <w:tc>
                <w:tcPr>
                  <w:tcW w:w="514" w:type="pct"/>
                  <w:vAlign w:val="center"/>
                </w:tcPr>
                <w:p w14:paraId="7A2AC174">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45</w:t>
                  </w:r>
                </w:p>
              </w:tc>
              <w:tc>
                <w:tcPr>
                  <w:tcW w:w="410" w:type="pct"/>
                  <w:vAlign w:val="center"/>
                </w:tcPr>
                <w:p w14:paraId="150B1FCF">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48</w:t>
                  </w:r>
                </w:p>
              </w:tc>
              <w:tc>
                <w:tcPr>
                  <w:tcW w:w="364" w:type="pct"/>
                  <w:vAlign w:val="center"/>
                </w:tcPr>
                <w:p w14:paraId="0AE35345">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50</w:t>
                  </w:r>
                </w:p>
              </w:tc>
              <w:tc>
                <w:tcPr>
                  <w:tcW w:w="238" w:type="pct"/>
                  <w:vAlign w:val="center"/>
                </w:tcPr>
                <w:p w14:paraId="13D2F944">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24B85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26F04A7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五日生化需氧量</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163B374F">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kern w:val="2"/>
                      <w:sz w:val="21"/>
                      <w:szCs w:val="21"/>
                      <w:highlight w:val="none"/>
                      <w:lang w:val="en-US" w:eastAsia="zh-CN" w:bidi="ar-SA"/>
                    </w:rPr>
                    <w:t>7.8</w:t>
                  </w:r>
                </w:p>
              </w:tc>
              <w:tc>
                <w:tcPr>
                  <w:tcW w:w="514" w:type="pct"/>
                  <w:vAlign w:val="center"/>
                </w:tcPr>
                <w:p w14:paraId="13B680F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9.1</w:t>
                  </w:r>
                </w:p>
              </w:tc>
              <w:tc>
                <w:tcPr>
                  <w:tcW w:w="494" w:type="pct"/>
                  <w:vAlign w:val="center"/>
                </w:tcPr>
                <w:p w14:paraId="33ACA86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8.6</w:t>
                  </w:r>
                </w:p>
              </w:tc>
              <w:tc>
                <w:tcPr>
                  <w:tcW w:w="495" w:type="pct"/>
                  <w:vAlign w:val="center"/>
                </w:tcPr>
                <w:p w14:paraId="5F2C090A">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8.7</w:t>
                  </w:r>
                </w:p>
              </w:tc>
              <w:tc>
                <w:tcPr>
                  <w:tcW w:w="494" w:type="pct"/>
                  <w:vAlign w:val="center"/>
                </w:tcPr>
                <w:p w14:paraId="5C272474">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9.3</w:t>
                  </w:r>
                </w:p>
              </w:tc>
              <w:tc>
                <w:tcPr>
                  <w:tcW w:w="514" w:type="pct"/>
                  <w:vAlign w:val="center"/>
                </w:tcPr>
                <w:p w14:paraId="72D41CC6">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8.2</w:t>
                  </w:r>
                </w:p>
              </w:tc>
              <w:tc>
                <w:tcPr>
                  <w:tcW w:w="410" w:type="pct"/>
                  <w:vAlign w:val="center"/>
                </w:tcPr>
                <w:p w14:paraId="40FA896B">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9.3</w:t>
                  </w:r>
                </w:p>
              </w:tc>
              <w:tc>
                <w:tcPr>
                  <w:tcW w:w="364" w:type="pct"/>
                  <w:vAlign w:val="center"/>
                </w:tcPr>
                <w:p w14:paraId="3BD61230">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10</w:t>
                  </w:r>
                </w:p>
              </w:tc>
              <w:tc>
                <w:tcPr>
                  <w:tcW w:w="238" w:type="pct"/>
                  <w:vAlign w:val="center"/>
                </w:tcPr>
                <w:p w14:paraId="506F39B4">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4B6E6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A00C70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总磷</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434596AA">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kern w:val="2"/>
                      <w:sz w:val="21"/>
                      <w:szCs w:val="21"/>
                      <w:highlight w:val="none"/>
                      <w:lang w:val="en-US" w:eastAsia="zh-CN" w:bidi="ar-SA"/>
                    </w:rPr>
                    <w:t>0.40</w:t>
                  </w:r>
                </w:p>
              </w:tc>
              <w:tc>
                <w:tcPr>
                  <w:tcW w:w="514" w:type="pct"/>
                  <w:vAlign w:val="center"/>
                </w:tcPr>
                <w:p w14:paraId="69D128A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0.41</w:t>
                  </w:r>
                </w:p>
              </w:tc>
              <w:tc>
                <w:tcPr>
                  <w:tcW w:w="494" w:type="pct"/>
                  <w:vAlign w:val="center"/>
                </w:tcPr>
                <w:p w14:paraId="2BA4088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0.41</w:t>
                  </w:r>
                </w:p>
              </w:tc>
              <w:tc>
                <w:tcPr>
                  <w:tcW w:w="495" w:type="pct"/>
                  <w:vAlign w:val="center"/>
                </w:tcPr>
                <w:p w14:paraId="73C309FB">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0.39</w:t>
                  </w:r>
                </w:p>
              </w:tc>
              <w:tc>
                <w:tcPr>
                  <w:tcW w:w="494" w:type="pct"/>
                  <w:vAlign w:val="center"/>
                </w:tcPr>
                <w:p w14:paraId="0D7B8FD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0.41</w:t>
                  </w:r>
                </w:p>
              </w:tc>
              <w:tc>
                <w:tcPr>
                  <w:tcW w:w="514" w:type="pct"/>
                  <w:vAlign w:val="center"/>
                </w:tcPr>
                <w:p w14:paraId="4030ED2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0.42</w:t>
                  </w:r>
                </w:p>
              </w:tc>
              <w:tc>
                <w:tcPr>
                  <w:tcW w:w="410" w:type="pct"/>
                  <w:vAlign w:val="center"/>
                </w:tcPr>
                <w:p w14:paraId="52692204">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0.42</w:t>
                  </w:r>
                </w:p>
              </w:tc>
              <w:tc>
                <w:tcPr>
                  <w:tcW w:w="364" w:type="pct"/>
                  <w:vAlign w:val="center"/>
                </w:tcPr>
                <w:p w14:paraId="5D6D0767">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0.5</w:t>
                  </w:r>
                </w:p>
              </w:tc>
              <w:tc>
                <w:tcPr>
                  <w:tcW w:w="238" w:type="pct"/>
                  <w:vAlign w:val="center"/>
                </w:tcPr>
                <w:p w14:paraId="59331737">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27EB4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5385583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总氮</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49EEC1A5">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6.37</w:t>
                  </w:r>
                </w:p>
              </w:tc>
              <w:tc>
                <w:tcPr>
                  <w:tcW w:w="514" w:type="pct"/>
                  <w:vAlign w:val="center"/>
                </w:tcPr>
                <w:p w14:paraId="2E926AE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6.13</w:t>
                  </w:r>
                </w:p>
              </w:tc>
              <w:tc>
                <w:tcPr>
                  <w:tcW w:w="494" w:type="pct"/>
                  <w:vAlign w:val="center"/>
                </w:tcPr>
                <w:p w14:paraId="482C9C7A">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6.28</w:t>
                  </w:r>
                </w:p>
              </w:tc>
              <w:tc>
                <w:tcPr>
                  <w:tcW w:w="495" w:type="pct"/>
                  <w:vAlign w:val="center"/>
                </w:tcPr>
                <w:p w14:paraId="51AD896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6.36</w:t>
                  </w:r>
                </w:p>
              </w:tc>
              <w:tc>
                <w:tcPr>
                  <w:tcW w:w="494" w:type="pct"/>
                  <w:vAlign w:val="center"/>
                </w:tcPr>
                <w:p w14:paraId="5DC7EFDA">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6.20</w:t>
                  </w:r>
                </w:p>
              </w:tc>
              <w:tc>
                <w:tcPr>
                  <w:tcW w:w="514" w:type="pct"/>
                  <w:vAlign w:val="center"/>
                </w:tcPr>
                <w:p w14:paraId="5D75D995">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6.24</w:t>
                  </w:r>
                </w:p>
              </w:tc>
              <w:tc>
                <w:tcPr>
                  <w:tcW w:w="410" w:type="pct"/>
                  <w:vAlign w:val="center"/>
                </w:tcPr>
                <w:p w14:paraId="45D4CD4B">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6.37</w:t>
                  </w:r>
                </w:p>
              </w:tc>
              <w:tc>
                <w:tcPr>
                  <w:tcW w:w="364" w:type="pct"/>
                  <w:vAlign w:val="center"/>
                </w:tcPr>
                <w:p w14:paraId="17745119">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15</w:t>
                  </w:r>
                </w:p>
              </w:tc>
              <w:tc>
                <w:tcPr>
                  <w:tcW w:w="238" w:type="pct"/>
                  <w:vAlign w:val="center"/>
                </w:tcPr>
                <w:p w14:paraId="5B7E0673">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7B0D8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4DFC8FEE">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氨氮</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17645B45">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4.02</w:t>
                  </w:r>
                </w:p>
              </w:tc>
              <w:tc>
                <w:tcPr>
                  <w:tcW w:w="514" w:type="pct"/>
                  <w:vAlign w:val="center"/>
                </w:tcPr>
                <w:p w14:paraId="245C41C1">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3.32</w:t>
                  </w:r>
                </w:p>
              </w:tc>
              <w:tc>
                <w:tcPr>
                  <w:tcW w:w="494" w:type="pct"/>
                  <w:vAlign w:val="center"/>
                </w:tcPr>
                <w:p w14:paraId="0D442461">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3.64</w:t>
                  </w:r>
                </w:p>
              </w:tc>
              <w:tc>
                <w:tcPr>
                  <w:tcW w:w="495" w:type="pct"/>
                  <w:vAlign w:val="center"/>
                </w:tcPr>
                <w:p w14:paraId="251CDE3B">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3.86</w:t>
                  </w:r>
                </w:p>
              </w:tc>
              <w:tc>
                <w:tcPr>
                  <w:tcW w:w="494" w:type="pct"/>
                  <w:vAlign w:val="center"/>
                </w:tcPr>
                <w:p w14:paraId="49D9A458">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3.47</w:t>
                  </w:r>
                </w:p>
              </w:tc>
              <w:tc>
                <w:tcPr>
                  <w:tcW w:w="514" w:type="pct"/>
                  <w:vAlign w:val="center"/>
                </w:tcPr>
                <w:p w14:paraId="22699E55">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4.13</w:t>
                  </w:r>
                </w:p>
              </w:tc>
              <w:tc>
                <w:tcPr>
                  <w:tcW w:w="410" w:type="pct"/>
                  <w:vAlign w:val="center"/>
                </w:tcPr>
                <w:p w14:paraId="371A8F0B">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4.13</w:t>
                  </w:r>
                </w:p>
              </w:tc>
              <w:tc>
                <w:tcPr>
                  <w:tcW w:w="364" w:type="pct"/>
                  <w:vAlign w:val="center"/>
                </w:tcPr>
                <w:p w14:paraId="11DADE8E">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8</w:t>
                  </w:r>
                </w:p>
              </w:tc>
              <w:tc>
                <w:tcPr>
                  <w:tcW w:w="238" w:type="pct"/>
                  <w:vAlign w:val="center"/>
                </w:tcPr>
                <w:p w14:paraId="60D90F91">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2C0C7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26AC73E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石油类</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6ADDA13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0.06L</w:t>
                  </w:r>
                </w:p>
              </w:tc>
              <w:tc>
                <w:tcPr>
                  <w:tcW w:w="514" w:type="pct"/>
                  <w:vAlign w:val="center"/>
                </w:tcPr>
                <w:p w14:paraId="1AC2C90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0.06L</w:t>
                  </w:r>
                </w:p>
              </w:tc>
              <w:tc>
                <w:tcPr>
                  <w:tcW w:w="494" w:type="pct"/>
                  <w:vAlign w:val="center"/>
                </w:tcPr>
                <w:p w14:paraId="0F15448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0.06L</w:t>
                  </w:r>
                </w:p>
              </w:tc>
              <w:tc>
                <w:tcPr>
                  <w:tcW w:w="495" w:type="pct"/>
                  <w:vAlign w:val="center"/>
                </w:tcPr>
                <w:p w14:paraId="59892909">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0.06L</w:t>
                  </w:r>
                </w:p>
              </w:tc>
              <w:tc>
                <w:tcPr>
                  <w:tcW w:w="494" w:type="pct"/>
                  <w:vAlign w:val="center"/>
                </w:tcPr>
                <w:p w14:paraId="12DCCB3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0.06L</w:t>
                  </w:r>
                </w:p>
              </w:tc>
              <w:tc>
                <w:tcPr>
                  <w:tcW w:w="514" w:type="pct"/>
                  <w:vAlign w:val="center"/>
                </w:tcPr>
                <w:p w14:paraId="7EF4DE2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0.06L</w:t>
                  </w:r>
                </w:p>
              </w:tc>
              <w:tc>
                <w:tcPr>
                  <w:tcW w:w="410" w:type="pct"/>
                  <w:vAlign w:val="center"/>
                </w:tcPr>
                <w:p w14:paraId="6A84F262">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0.06L</w:t>
                  </w:r>
                </w:p>
              </w:tc>
              <w:tc>
                <w:tcPr>
                  <w:tcW w:w="364" w:type="pct"/>
                  <w:vAlign w:val="center"/>
                </w:tcPr>
                <w:p w14:paraId="2C97D5B9">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w:t>
                  </w:r>
                </w:p>
              </w:tc>
              <w:tc>
                <w:tcPr>
                  <w:tcW w:w="238" w:type="pct"/>
                  <w:vAlign w:val="center"/>
                </w:tcPr>
                <w:p w14:paraId="37A728E0">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4CA49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2714E5E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动植物油类</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2F99E46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0.28</w:t>
                  </w:r>
                </w:p>
              </w:tc>
              <w:tc>
                <w:tcPr>
                  <w:tcW w:w="514" w:type="pct"/>
                  <w:vAlign w:val="center"/>
                </w:tcPr>
                <w:p w14:paraId="7C38EB8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0.27</w:t>
                  </w:r>
                </w:p>
              </w:tc>
              <w:tc>
                <w:tcPr>
                  <w:tcW w:w="494" w:type="pct"/>
                  <w:vAlign w:val="center"/>
                </w:tcPr>
                <w:p w14:paraId="3CC24CC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0.27</w:t>
                  </w:r>
                </w:p>
              </w:tc>
              <w:tc>
                <w:tcPr>
                  <w:tcW w:w="495" w:type="pct"/>
                  <w:vAlign w:val="center"/>
                </w:tcPr>
                <w:p w14:paraId="25B92BF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0.29</w:t>
                  </w:r>
                </w:p>
              </w:tc>
              <w:tc>
                <w:tcPr>
                  <w:tcW w:w="494" w:type="pct"/>
                  <w:vAlign w:val="center"/>
                </w:tcPr>
                <w:p w14:paraId="17D272D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0.32</w:t>
                  </w:r>
                </w:p>
              </w:tc>
              <w:tc>
                <w:tcPr>
                  <w:tcW w:w="514" w:type="pct"/>
                  <w:vAlign w:val="center"/>
                </w:tcPr>
                <w:p w14:paraId="07B7FAC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0.28</w:t>
                  </w:r>
                </w:p>
              </w:tc>
              <w:tc>
                <w:tcPr>
                  <w:tcW w:w="410" w:type="pct"/>
                  <w:vAlign w:val="center"/>
                </w:tcPr>
                <w:p w14:paraId="52EEA7EC">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0.32</w:t>
                  </w:r>
                </w:p>
              </w:tc>
              <w:tc>
                <w:tcPr>
                  <w:tcW w:w="364" w:type="pct"/>
                  <w:vAlign w:val="center"/>
                </w:tcPr>
                <w:p w14:paraId="31C80E54">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w:t>
                  </w:r>
                </w:p>
              </w:tc>
              <w:tc>
                <w:tcPr>
                  <w:tcW w:w="238" w:type="pct"/>
                  <w:vAlign w:val="center"/>
                </w:tcPr>
                <w:p w14:paraId="471AA389">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3EFBA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6A60200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粪大肠菌群（</w:t>
                  </w:r>
                  <w:r>
                    <w:rPr>
                      <w:rFonts w:hint="default" w:ascii="Times New Roman" w:hAnsi="Times New Roman" w:eastAsia="宋体" w:cs="Times New Roman"/>
                      <w:color w:val="000000" w:themeColor="text1"/>
                      <w:sz w:val="21"/>
                      <w:szCs w:val="21"/>
                    </w:rPr>
                    <w:t>MPN/L</w:t>
                  </w:r>
                  <w:r>
                    <w:rPr>
                      <w:rFonts w:hint="default" w:ascii="Times New Roman" w:hAnsi="Times New Roman" w:eastAsia="宋体" w:cs="Times New Roman"/>
                      <w:color w:val="000000" w:themeColor="text1"/>
                      <w:spacing w:val="-5"/>
                      <w:sz w:val="21"/>
                      <w:szCs w:val="21"/>
                      <w:lang w:val="en-US" w:eastAsia="zh-CN" w:bidi="he-IL"/>
                    </w:rPr>
                    <w:t>）</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7D3AB568">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514" w:type="pct"/>
                  <w:vAlign w:val="center"/>
                </w:tcPr>
                <w:p w14:paraId="44061A0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494" w:type="pct"/>
                  <w:vAlign w:val="center"/>
                </w:tcPr>
                <w:p w14:paraId="0167FA6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495" w:type="pct"/>
                  <w:vAlign w:val="center"/>
                </w:tcPr>
                <w:p w14:paraId="0BBFAC6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494" w:type="pct"/>
                  <w:vAlign w:val="center"/>
                </w:tcPr>
                <w:p w14:paraId="1A75E29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514" w:type="pct"/>
                  <w:vAlign w:val="center"/>
                </w:tcPr>
                <w:p w14:paraId="2FB59C1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410" w:type="pct"/>
                  <w:vAlign w:val="center"/>
                </w:tcPr>
                <w:p w14:paraId="5E0E542A">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pacing w:val="-5"/>
                      <w:sz w:val="21"/>
                      <w:szCs w:val="21"/>
                      <w:lang w:val="en-US" w:eastAsia="zh-CN" w:bidi="he-IL"/>
                    </w:rPr>
                    <w:t>ND</w:t>
                  </w:r>
                </w:p>
              </w:tc>
              <w:tc>
                <w:tcPr>
                  <w:tcW w:w="364" w:type="pct"/>
                  <w:vAlign w:val="center"/>
                </w:tcPr>
                <w:p w14:paraId="578C6AB1">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无</w:t>
                  </w:r>
                </w:p>
              </w:tc>
              <w:tc>
                <w:tcPr>
                  <w:tcW w:w="238" w:type="pct"/>
                  <w:vAlign w:val="center"/>
                </w:tcPr>
                <w:p w14:paraId="2A711A8C">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03116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D010FF7">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pacing w:val="8"/>
                      <w:position w:val="2"/>
                      <w:sz w:val="21"/>
                      <w:szCs w:val="21"/>
                      <w:highlight w:val="none"/>
                      <w:lang w:val="en-US" w:eastAsia="zh-CN"/>
                    </w:rPr>
                    <w:t>备注</w:t>
                  </w:r>
                </w:p>
              </w:tc>
              <w:tc>
                <w:tcPr>
                  <w:tcW w:w="4049" w:type="pct"/>
                  <w:gridSpan w:val="9"/>
                  <w:vAlign w:val="center"/>
                </w:tcPr>
                <w:p w14:paraId="53F6D843">
                  <w:pPr>
                    <w:keepNext w:val="0"/>
                    <w:keepLines w:val="0"/>
                    <w:pageBreakBefore w:val="0"/>
                    <w:kinsoku/>
                    <w:wordWrap/>
                    <w:overflowPunct/>
                    <w:topLinePunct w:val="0"/>
                    <w:autoSpaceDE/>
                    <w:autoSpaceDN/>
                    <w:bidi w:val="0"/>
                    <w:adjustRightInd/>
                    <w:snapToGrid/>
                    <w:spacing w:line="240" w:lineRule="auto"/>
                    <w:ind w:left="0"/>
                    <w:jc w:val="left"/>
                    <w:textAlignment w:val="auto"/>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带“*”表示分包项目，分包于云南天倪检测有限公司，证书编号：202512050131，有效期至2026年06月29日，属于无能力分包。</w:t>
                  </w:r>
                </w:p>
              </w:tc>
            </w:tr>
          </w:tbl>
          <w:p w14:paraId="786233CF">
            <w:pPr>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表7-4</w:t>
            </w:r>
            <w:r>
              <w:rPr>
                <w:rFonts w:hint="eastAsia" w:ascii="Times New Roman" w:hAnsi="Times New Roman" w:cs="Times New Roman"/>
                <w:b/>
                <w:color w:val="000000" w:themeColor="text1"/>
                <w:sz w:val="24"/>
                <w:szCs w:val="24"/>
                <w:highlight w:val="none"/>
                <w:lang w:val="en-US" w:eastAsia="zh-CN"/>
              </w:rPr>
              <w:t xml:space="preserve"> </w:t>
            </w:r>
            <w:r>
              <w:rPr>
                <w:rFonts w:hint="default" w:ascii="Times New Roman" w:hAnsi="Times New Roman" w:cs="Times New Roman"/>
                <w:b/>
                <w:color w:val="000000" w:themeColor="text1"/>
                <w:sz w:val="24"/>
                <w:szCs w:val="24"/>
                <w:highlight w:val="none"/>
              </w:rPr>
              <w:t xml:space="preserve"> </w:t>
            </w:r>
            <w:r>
              <w:rPr>
                <w:rFonts w:hint="default" w:ascii="Times New Roman" w:hAnsi="Times New Roman" w:cs="Times New Roman"/>
                <w:b/>
                <w:color w:val="000000" w:themeColor="text1"/>
                <w:sz w:val="24"/>
                <w:highlight w:val="none"/>
              </w:rPr>
              <w:t>项目</w:t>
            </w:r>
            <w:r>
              <w:rPr>
                <w:rFonts w:hint="eastAsia" w:ascii="Times New Roman" w:hAnsi="Times New Roman" w:cs="Times New Roman"/>
                <w:b/>
                <w:color w:val="000000" w:themeColor="text1"/>
                <w:sz w:val="24"/>
                <w:highlight w:val="none"/>
                <w:lang w:val="en-US" w:eastAsia="zh-CN"/>
              </w:rPr>
              <w:t>污水</w:t>
            </w:r>
            <w:r>
              <w:rPr>
                <w:rFonts w:hint="default" w:ascii="Times New Roman" w:hAnsi="Times New Roman" w:cs="Times New Roman"/>
                <w:b/>
                <w:color w:val="000000" w:themeColor="text1"/>
                <w:sz w:val="24"/>
                <w:highlight w:val="none"/>
              </w:rPr>
              <w:t>处理站去除率情况一览表</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760"/>
              <w:gridCol w:w="1896"/>
              <w:gridCol w:w="1894"/>
              <w:gridCol w:w="1538"/>
            </w:tblGrid>
            <w:tr w14:paraId="01EA4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11" w:type="pct"/>
                  <w:gridSpan w:val="2"/>
                  <w:tcBorders>
                    <w:top w:val="single" w:color="auto" w:sz="4" w:space="0"/>
                    <w:left w:val="single" w:color="auto" w:sz="4" w:space="0"/>
                    <w:bottom w:val="single" w:color="auto" w:sz="4" w:space="0"/>
                    <w:right w:val="single" w:color="auto" w:sz="4" w:space="0"/>
                    <w:tl2br w:val="single" w:color="auto" w:sz="4" w:space="0"/>
                  </w:tcBorders>
                  <w:vAlign w:val="center"/>
                </w:tcPr>
                <w:p w14:paraId="025D2C2C">
                  <w:pPr>
                    <w:spacing w:line="276" w:lineRule="auto"/>
                    <w:ind w:firstLine="1160" w:firstLineChars="550"/>
                    <w:jc w:val="right"/>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点位</w:t>
                  </w:r>
                </w:p>
                <w:p w14:paraId="2626FD29">
                  <w:pPr>
                    <w:spacing w:line="276" w:lineRule="auto"/>
                    <w:jc w:val="left"/>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污染物</w:t>
                  </w:r>
                </w:p>
              </w:tc>
              <w:tc>
                <w:tcPr>
                  <w:tcW w:w="1063" w:type="pct"/>
                  <w:tcBorders>
                    <w:top w:val="single" w:color="auto" w:sz="4" w:space="0"/>
                    <w:left w:val="single" w:color="auto" w:sz="4" w:space="0"/>
                    <w:bottom w:val="single" w:color="auto" w:sz="4" w:space="0"/>
                    <w:right w:val="single" w:color="auto" w:sz="4" w:space="0"/>
                  </w:tcBorders>
                  <w:vAlign w:val="center"/>
                </w:tcPr>
                <w:p w14:paraId="01A915E1">
                  <w:pPr>
                    <w:spacing w:line="276" w:lineRule="auto"/>
                    <w:jc w:val="center"/>
                    <w:rPr>
                      <w:rFonts w:hint="default" w:ascii="Times New Roman" w:hAnsi="Times New Roman" w:cs="Times New Roman"/>
                      <w:b/>
                      <w:bCs/>
                      <w:color w:val="000000" w:themeColor="text1"/>
                      <w:sz w:val="21"/>
                      <w:szCs w:val="21"/>
                      <w:highlight w:val="none"/>
                    </w:rPr>
                  </w:pPr>
                  <w:r>
                    <w:rPr>
                      <w:rFonts w:hint="eastAsia" w:ascii="Times New Roman" w:hAnsi="Times New Roman" w:cs="Times New Roman"/>
                      <w:b/>
                      <w:bCs/>
                      <w:color w:val="000000" w:themeColor="text1"/>
                      <w:sz w:val="21"/>
                      <w:szCs w:val="21"/>
                      <w:highlight w:val="none"/>
                      <w:lang w:val="en-US" w:eastAsia="zh-CN"/>
                    </w:rPr>
                    <w:t>污水</w:t>
                  </w:r>
                  <w:r>
                    <w:rPr>
                      <w:rFonts w:hint="default" w:ascii="Times New Roman" w:hAnsi="Times New Roman" w:cs="Times New Roman"/>
                      <w:b/>
                      <w:bCs/>
                      <w:color w:val="000000" w:themeColor="text1"/>
                      <w:sz w:val="21"/>
                      <w:szCs w:val="21"/>
                      <w:highlight w:val="none"/>
                    </w:rPr>
                    <w:t>处理站进口（最大值）</w:t>
                  </w:r>
                </w:p>
              </w:tc>
              <w:tc>
                <w:tcPr>
                  <w:tcW w:w="1062" w:type="pct"/>
                  <w:tcBorders>
                    <w:top w:val="single" w:color="auto" w:sz="4" w:space="0"/>
                    <w:left w:val="single" w:color="auto" w:sz="4" w:space="0"/>
                    <w:bottom w:val="single" w:color="auto" w:sz="4" w:space="0"/>
                    <w:right w:val="single" w:color="auto" w:sz="4" w:space="0"/>
                  </w:tcBorders>
                  <w:vAlign w:val="center"/>
                </w:tcPr>
                <w:p w14:paraId="087AED06">
                  <w:pPr>
                    <w:spacing w:line="276" w:lineRule="auto"/>
                    <w:jc w:val="center"/>
                    <w:rPr>
                      <w:rFonts w:hint="default" w:ascii="Times New Roman" w:hAnsi="Times New Roman" w:cs="Times New Roman"/>
                      <w:b/>
                      <w:bCs/>
                      <w:color w:val="000000" w:themeColor="text1"/>
                      <w:sz w:val="21"/>
                      <w:szCs w:val="21"/>
                      <w:highlight w:val="none"/>
                    </w:rPr>
                  </w:pPr>
                  <w:r>
                    <w:rPr>
                      <w:rFonts w:hint="eastAsia" w:ascii="Times New Roman" w:hAnsi="Times New Roman" w:cs="Times New Roman"/>
                      <w:b/>
                      <w:bCs/>
                      <w:color w:val="000000" w:themeColor="text1"/>
                      <w:sz w:val="21"/>
                      <w:szCs w:val="21"/>
                      <w:highlight w:val="none"/>
                      <w:lang w:val="en-US" w:eastAsia="zh-CN"/>
                    </w:rPr>
                    <w:t>污水</w:t>
                  </w:r>
                  <w:r>
                    <w:rPr>
                      <w:rFonts w:hint="default" w:ascii="Times New Roman" w:hAnsi="Times New Roman" w:cs="Times New Roman"/>
                      <w:b/>
                      <w:bCs/>
                      <w:color w:val="000000" w:themeColor="text1"/>
                      <w:sz w:val="21"/>
                      <w:szCs w:val="21"/>
                      <w:highlight w:val="none"/>
                    </w:rPr>
                    <w:t>处理站出口（最大值）</w:t>
                  </w:r>
                </w:p>
              </w:tc>
              <w:tc>
                <w:tcPr>
                  <w:tcW w:w="862" w:type="pct"/>
                  <w:tcBorders>
                    <w:top w:val="single" w:color="auto" w:sz="4" w:space="0"/>
                    <w:left w:val="single" w:color="auto" w:sz="4" w:space="0"/>
                    <w:bottom w:val="single" w:color="auto" w:sz="4" w:space="0"/>
                    <w:right w:val="single" w:color="auto" w:sz="4" w:space="0"/>
                  </w:tcBorders>
                  <w:vAlign w:val="center"/>
                </w:tcPr>
                <w:p w14:paraId="7F16E2AE">
                  <w:pPr>
                    <w:spacing w:line="276"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实测去除率（%）</w:t>
                  </w:r>
                </w:p>
              </w:tc>
            </w:tr>
            <w:tr w14:paraId="2EE43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70F55454">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1</w:t>
                  </w:r>
                </w:p>
              </w:tc>
              <w:tc>
                <w:tcPr>
                  <w:tcW w:w="1546" w:type="pct"/>
                  <w:tcBorders>
                    <w:top w:val="single" w:color="auto" w:sz="4" w:space="0"/>
                    <w:left w:val="single" w:color="auto" w:sz="4" w:space="0"/>
                    <w:bottom w:val="single" w:color="auto" w:sz="4" w:space="0"/>
                    <w:right w:val="single" w:color="auto" w:sz="4" w:space="0"/>
                  </w:tcBorders>
                  <w:vAlign w:val="center"/>
                </w:tcPr>
                <w:p w14:paraId="2B702E3F">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lang w:val="en-US" w:eastAsia="zh-CN" w:bidi="ar-SA"/>
                    </w:rPr>
                    <w:t>悬浮物</w:t>
                  </w:r>
                </w:p>
              </w:tc>
              <w:tc>
                <w:tcPr>
                  <w:tcW w:w="1896" w:type="dxa"/>
                  <w:tcBorders>
                    <w:top w:val="single" w:color="auto" w:sz="4" w:space="0"/>
                    <w:left w:val="single" w:color="auto" w:sz="4" w:space="0"/>
                    <w:bottom w:val="single" w:color="auto" w:sz="4" w:space="0"/>
                    <w:right w:val="single" w:color="auto" w:sz="4" w:space="0"/>
                  </w:tcBorders>
                  <w:vAlign w:val="center"/>
                </w:tcPr>
                <w:p w14:paraId="3B2D783E">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81</w:t>
                  </w:r>
                </w:p>
              </w:tc>
              <w:tc>
                <w:tcPr>
                  <w:tcW w:w="1895" w:type="dxa"/>
                  <w:tcBorders>
                    <w:top w:val="single" w:color="auto" w:sz="4" w:space="0"/>
                    <w:left w:val="single" w:color="auto" w:sz="4" w:space="0"/>
                    <w:bottom w:val="single" w:color="auto" w:sz="4" w:space="0"/>
                    <w:right w:val="single" w:color="auto" w:sz="4" w:space="0"/>
                  </w:tcBorders>
                  <w:vAlign w:val="center"/>
                </w:tcPr>
                <w:p w14:paraId="6EA272EB">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w:t>
                  </w:r>
                </w:p>
              </w:tc>
              <w:tc>
                <w:tcPr>
                  <w:tcW w:w="862" w:type="pct"/>
                  <w:tcBorders>
                    <w:top w:val="single" w:color="auto" w:sz="4" w:space="0"/>
                    <w:left w:val="single" w:color="auto" w:sz="4" w:space="0"/>
                    <w:bottom w:val="single" w:color="auto" w:sz="4" w:space="0"/>
                    <w:right w:val="single" w:color="auto" w:sz="4" w:space="0"/>
                  </w:tcBorders>
                  <w:vAlign w:val="center"/>
                </w:tcPr>
                <w:p w14:paraId="3096BA04">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88.89</w:t>
                  </w:r>
                </w:p>
              </w:tc>
            </w:tr>
            <w:tr w14:paraId="078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436CDE9B">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2</w:t>
                  </w:r>
                </w:p>
              </w:tc>
              <w:tc>
                <w:tcPr>
                  <w:tcW w:w="1546" w:type="pct"/>
                  <w:tcBorders>
                    <w:top w:val="single" w:color="auto" w:sz="4" w:space="0"/>
                    <w:left w:val="single" w:color="auto" w:sz="4" w:space="0"/>
                    <w:bottom w:val="single" w:color="auto" w:sz="4" w:space="0"/>
                    <w:right w:val="single" w:color="auto" w:sz="4" w:space="0"/>
                  </w:tcBorders>
                  <w:vAlign w:val="center"/>
                </w:tcPr>
                <w:p w14:paraId="298BF22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化学需氧量</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18D2B441">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26</w:t>
                  </w:r>
                  <w:r>
                    <w:rPr>
                      <w:rFonts w:hint="eastAsia" w:ascii="Times New Roman" w:hAnsi="Times New Roman" w:cs="Times New Roman"/>
                      <w:color w:val="000000" w:themeColor="text1"/>
                      <w:sz w:val="21"/>
                      <w:szCs w:val="21"/>
                      <w:highlight w:val="none"/>
                      <w:lang w:val="en-US" w:eastAsia="zh-CN"/>
                    </w:rPr>
                    <w:t>5</w:t>
                  </w:r>
                </w:p>
              </w:tc>
              <w:tc>
                <w:tcPr>
                  <w:tcW w:w="1895" w:type="dxa"/>
                  <w:tcBorders>
                    <w:top w:val="single" w:color="auto" w:sz="4" w:space="0"/>
                    <w:left w:val="single" w:color="auto" w:sz="4" w:space="0"/>
                    <w:bottom w:val="single" w:color="auto" w:sz="4" w:space="0"/>
                    <w:right w:val="single" w:color="auto" w:sz="4" w:space="0"/>
                  </w:tcBorders>
                  <w:vAlign w:val="center"/>
                </w:tcPr>
                <w:p w14:paraId="72C39389">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48</w:t>
                  </w:r>
                </w:p>
              </w:tc>
              <w:tc>
                <w:tcPr>
                  <w:tcW w:w="862" w:type="pct"/>
                  <w:tcBorders>
                    <w:top w:val="single" w:color="auto" w:sz="4" w:space="0"/>
                    <w:left w:val="single" w:color="auto" w:sz="4" w:space="0"/>
                    <w:bottom w:val="single" w:color="auto" w:sz="4" w:space="0"/>
                    <w:right w:val="single" w:color="auto" w:sz="4" w:space="0"/>
                  </w:tcBorders>
                  <w:vAlign w:val="center"/>
                </w:tcPr>
                <w:p w14:paraId="174FD456">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81.89</w:t>
                  </w:r>
                </w:p>
              </w:tc>
            </w:tr>
            <w:tr w14:paraId="7F47C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4FB2DFE8">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3</w:t>
                  </w:r>
                </w:p>
              </w:tc>
              <w:tc>
                <w:tcPr>
                  <w:tcW w:w="1546" w:type="pct"/>
                  <w:tcBorders>
                    <w:top w:val="single" w:color="auto" w:sz="4" w:space="0"/>
                    <w:left w:val="single" w:color="auto" w:sz="4" w:space="0"/>
                    <w:bottom w:val="single" w:color="auto" w:sz="4" w:space="0"/>
                    <w:right w:val="single" w:color="auto" w:sz="4" w:space="0"/>
                  </w:tcBorders>
                  <w:vAlign w:val="center"/>
                </w:tcPr>
                <w:p w14:paraId="2C0EB0E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五日生化需氧量</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0B147B35">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84.7</w:t>
                  </w:r>
                </w:p>
              </w:tc>
              <w:tc>
                <w:tcPr>
                  <w:tcW w:w="1895" w:type="dxa"/>
                  <w:tcBorders>
                    <w:top w:val="single" w:color="auto" w:sz="4" w:space="0"/>
                    <w:left w:val="single" w:color="auto" w:sz="4" w:space="0"/>
                    <w:bottom w:val="single" w:color="auto" w:sz="4" w:space="0"/>
                    <w:right w:val="single" w:color="auto" w:sz="4" w:space="0"/>
                  </w:tcBorders>
                  <w:vAlign w:val="center"/>
                </w:tcPr>
                <w:p w14:paraId="15AEF92F">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9.3</w:t>
                  </w:r>
                </w:p>
              </w:tc>
              <w:tc>
                <w:tcPr>
                  <w:tcW w:w="862" w:type="pct"/>
                  <w:tcBorders>
                    <w:top w:val="single" w:color="auto" w:sz="4" w:space="0"/>
                    <w:left w:val="single" w:color="auto" w:sz="4" w:space="0"/>
                    <w:bottom w:val="single" w:color="auto" w:sz="4" w:space="0"/>
                    <w:right w:val="single" w:color="auto" w:sz="4" w:space="0"/>
                  </w:tcBorders>
                  <w:vAlign w:val="center"/>
                </w:tcPr>
                <w:p w14:paraId="5A7CDA6D">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89.02</w:t>
                  </w:r>
                </w:p>
              </w:tc>
            </w:tr>
            <w:tr w14:paraId="04E6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7755F608">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4</w:t>
                  </w:r>
                </w:p>
              </w:tc>
              <w:tc>
                <w:tcPr>
                  <w:tcW w:w="1546" w:type="pct"/>
                  <w:tcBorders>
                    <w:top w:val="single" w:color="auto" w:sz="4" w:space="0"/>
                    <w:left w:val="single" w:color="auto" w:sz="4" w:space="0"/>
                    <w:bottom w:val="single" w:color="auto" w:sz="4" w:space="0"/>
                    <w:right w:val="single" w:color="auto" w:sz="4" w:space="0"/>
                  </w:tcBorders>
                  <w:vAlign w:val="center"/>
                </w:tcPr>
                <w:p w14:paraId="0D62242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总磷</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5166A6C">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2.83</w:t>
                  </w:r>
                </w:p>
              </w:tc>
              <w:tc>
                <w:tcPr>
                  <w:tcW w:w="1895" w:type="dxa"/>
                  <w:tcBorders>
                    <w:top w:val="single" w:color="auto" w:sz="4" w:space="0"/>
                    <w:left w:val="single" w:color="auto" w:sz="4" w:space="0"/>
                    <w:bottom w:val="single" w:color="auto" w:sz="4" w:space="0"/>
                    <w:right w:val="single" w:color="auto" w:sz="4" w:space="0"/>
                  </w:tcBorders>
                  <w:vAlign w:val="center"/>
                </w:tcPr>
                <w:p w14:paraId="4B8710DF">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0.42</w:t>
                  </w:r>
                </w:p>
              </w:tc>
              <w:tc>
                <w:tcPr>
                  <w:tcW w:w="862" w:type="pct"/>
                  <w:tcBorders>
                    <w:top w:val="single" w:color="auto" w:sz="4" w:space="0"/>
                    <w:left w:val="single" w:color="auto" w:sz="4" w:space="0"/>
                    <w:bottom w:val="single" w:color="auto" w:sz="4" w:space="0"/>
                    <w:right w:val="single" w:color="auto" w:sz="4" w:space="0"/>
                  </w:tcBorders>
                  <w:vAlign w:val="center"/>
                </w:tcPr>
                <w:p w14:paraId="24EF45B1">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85.16</w:t>
                  </w:r>
                </w:p>
              </w:tc>
            </w:tr>
            <w:tr w14:paraId="1042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48D33123">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5</w:t>
                  </w:r>
                </w:p>
              </w:tc>
              <w:tc>
                <w:tcPr>
                  <w:tcW w:w="1546" w:type="pct"/>
                  <w:tcBorders>
                    <w:top w:val="single" w:color="auto" w:sz="4" w:space="0"/>
                    <w:left w:val="single" w:color="auto" w:sz="4" w:space="0"/>
                    <w:bottom w:val="single" w:color="auto" w:sz="4" w:space="0"/>
                    <w:right w:val="single" w:color="auto" w:sz="4" w:space="0"/>
                  </w:tcBorders>
                  <w:vAlign w:val="center"/>
                </w:tcPr>
                <w:p w14:paraId="310C3EB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总氮</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E0F67F5">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58.4</w:t>
                  </w:r>
                </w:p>
              </w:tc>
              <w:tc>
                <w:tcPr>
                  <w:tcW w:w="1895" w:type="dxa"/>
                  <w:tcBorders>
                    <w:top w:val="single" w:color="auto" w:sz="4" w:space="0"/>
                    <w:left w:val="single" w:color="auto" w:sz="4" w:space="0"/>
                    <w:bottom w:val="single" w:color="auto" w:sz="4" w:space="0"/>
                    <w:right w:val="single" w:color="auto" w:sz="4" w:space="0"/>
                  </w:tcBorders>
                  <w:vAlign w:val="center"/>
                </w:tcPr>
                <w:p w14:paraId="178E9B1F">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6.37</w:t>
                  </w:r>
                </w:p>
              </w:tc>
              <w:tc>
                <w:tcPr>
                  <w:tcW w:w="862" w:type="pct"/>
                  <w:tcBorders>
                    <w:top w:val="single" w:color="auto" w:sz="4" w:space="0"/>
                    <w:left w:val="single" w:color="auto" w:sz="4" w:space="0"/>
                    <w:bottom w:val="single" w:color="auto" w:sz="4" w:space="0"/>
                    <w:right w:val="single" w:color="auto" w:sz="4" w:space="0"/>
                  </w:tcBorders>
                  <w:vAlign w:val="center"/>
                </w:tcPr>
                <w:p w14:paraId="2D8285F8">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89.09</w:t>
                  </w:r>
                </w:p>
              </w:tc>
            </w:tr>
            <w:tr w14:paraId="40846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1BE41488">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6</w:t>
                  </w:r>
                </w:p>
              </w:tc>
              <w:tc>
                <w:tcPr>
                  <w:tcW w:w="1546" w:type="pct"/>
                  <w:tcBorders>
                    <w:top w:val="single" w:color="auto" w:sz="4" w:space="0"/>
                    <w:left w:val="single" w:color="auto" w:sz="4" w:space="0"/>
                    <w:bottom w:val="single" w:color="auto" w:sz="4" w:space="0"/>
                    <w:right w:val="single" w:color="auto" w:sz="4" w:space="0"/>
                  </w:tcBorders>
                  <w:vAlign w:val="center"/>
                </w:tcPr>
                <w:p w14:paraId="09E123A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氨氮</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A5C631C">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53.2</w:t>
                  </w:r>
                </w:p>
              </w:tc>
              <w:tc>
                <w:tcPr>
                  <w:tcW w:w="1895" w:type="dxa"/>
                  <w:tcBorders>
                    <w:top w:val="single" w:color="auto" w:sz="4" w:space="0"/>
                    <w:left w:val="single" w:color="auto" w:sz="4" w:space="0"/>
                    <w:bottom w:val="single" w:color="auto" w:sz="4" w:space="0"/>
                    <w:right w:val="single" w:color="auto" w:sz="4" w:space="0"/>
                  </w:tcBorders>
                  <w:vAlign w:val="center"/>
                </w:tcPr>
                <w:p w14:paraId="22D78CB3">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4.13</w:t>
                  </w:r>
                </w:p>
              </w:tc>
              <w:tc>
                <w:tcPr>
                  <w:tcW w:w="862" w:type="pct"/>
                  <w:tcBorders>
                    <w:top w:val="single" w:color="auto" w:sz="4" w:space="0"/>
                    <w:left w:val="single" w:color="auto" w:sz="4" w:space="0"/>
                    <w:bottom w:val="single" w:color="auto" w:sz="4" w:space="0"/>
                    <w:right w:val="single" w:color="auto" w:sz="4" w:space="0"/>
                  </w:tcBorders>
                  <w:vAlign w:val="center"/>
                </w:tcPr>
                <w:p w14:paraId="7014CA4A">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92.24</w:t>
                  </w:r>
                </w:p>
              </w:tc>
            </w:tr>
            <w:tr w14:paraId="55EA5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18467CC2">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7</w:t>
                  </w:r>
                </w:p>
              </w:tc>
              <w:tc>
                <w:tcPr>
                  <w:tcW w:w="1546" w:type="pct"/>
                  <w:tcBorders>
                    <w:top w:val="single" w:color="auto" w:sz="4" w:space="0"/>
                    <w:left w:val="single" w:color="auto" w:sz="4" w:space="0"/>
                    <w:bottom w:val="single" w:color="auto" w:sz="4" w:space="0"/>
                    <w:right w:val="single" w:color="auto" w:sz="4" w:space="0"/>
                  </w:tcBorders>
                  <w:vAlign w:val="center"/>
                </w:tcPr>
                <w:p w14:paraId="6BACB42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石油类</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A40BBD6">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0.19</w:t>
                  </w:r>
                </w:p>
              </w:tc>
              <w:tc>
                <w:tcPr>
                  <w:tcW w:w="1895" w:type="dxa"/>
                  <w:tcBorders>
                    <w:top w:val="single" w:color="auto" w:sz="4" w:space="0"/>
                    <w:left w:val="single" w:color="auto" w:sz="4" w:space="0"/>
                    <w:bottom w:val="single" w:color="auto" w:sz="4" w:space="0"/>
                    <w:right w:val="single" w:color="auto" w:sz="4" w:space="0"/>
                  </w:tcBorders>
                  <w:vAlign w:val="center"/>
                </w:tcPr>
                <w:p w14:paraId="7F42C4B6">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0.06L</w:t>
                  </w:r>
                </w:p>
              </w:tc>
              <w:tc>
                <w:tcPr>
                  <w:tcW w:w="862" w:type="pct"/>
                  <w:tcBorders>
                    <w:top w:val="single" w:color="auto" w:sz="4" w:space="0"/>
                    <w:left w:val="single" w:color="auto" w:sz="4" w:space="0"/>
                    <w:bottom w:val="single" w:color="auto" w:sz="4" w:space="0"/>
                    <w:right w:val="single" w:color="auto" w:sz="4" w:space="0"/>
                  </w:tcBorders>
                  <w:vAlign w:val="center"/>
                </w:tcPr>
                <w:p w14:paraId="2BFC639F">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68.42</w:t>
                  </w:r>
                </w:p>
              </w:tc>
            </w:tr>
            <w:tr w14:paraId="35B7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31B2C97B">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8</w:t>
                  </w:r>
                </w:p>
              </w:tc>
              <w:tc>
                <w:tcPr>
                  <w:tcW w:w="1546" w:type="pct"/>
                  <w:tcBorders>
                    <w:top w:val="single" w:color="auto" w:sz="4" w:space="0"/>
                    <w:left w:val="single" w:color="auto" w:sz="4" w:space="0"/>
                    <w:bottom w:val="single" w:color="auto" w:sz="4" w:space="0"/>
                    <w:right w:val="single" w:color="auto" w:sz="4" w:space="0"/>
                  </w:tcBorders>
                  <w:vAlign w:val="center"/>
                </w:tcPr>
                <w:p w14:paraId="4AD5BEEE">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动植物油类</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04BAF3FA">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2.1</w:t>
                  </w:r>
                  <w:r>
                    <w:rPr>
                      <w:rFonts w:hint="eastAsia" w:ascii="Times New Roman" w:hAnsi="Times New Roman" w:cs="Times New Roman"/>
                      <w:color w:val="000000" w:themeColor="text1"/>
                      <w:sz w:val="21"/>
                      <w:szCs w:val="21"/>
                      <w:highlight w:val="none"/>
                      <w:lang w:val="en-US" w:eastAsia="zh-CN"/>
                    </w:rPr>
                    <w:t>6</w:t>
                  </w:r>
                </w:p>
              </w:tc>
              <w:tc>
                <w:tcPr>
                  <w:tcW w:w="1895" w:type="dxa"/>
                  <w:tcBorders>
                    <w:top w:val="single" w:color="auto" w:sz="4" w:space="0"/>
                    <w:left w:val="single" w:color="auto" w:sz="4" w:space="0"/>
                    <w:bottom w:val="single" w:color="auto" w:sz="4" w:space="0"/>
                    <w:right w:val="single" w:color="auto" w:sz="4" w:space="0"/>
                  </w:tcBorders>
                  <w:vAlign w:val="center"/>
                </w:tcPr>
                <w:p w14:paraId="0646E8D8">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0.32</w:t>
                  </w:r>
                </w:p>
              </w:tc>
              <w:tc>
                <w:tcPr>
                  <w:tcW w:w="862" w:type="pct"/>
                  <w:tcBorders>
                    <w:top w:val="single" w:color="auto" w:sz="4" w:space="0"/>
                    <w:left w:val="single" w:color="auto" w:sz="4" w:space="0"/>
                    <w:bottom w:val="single" w:color="auto" w:sz="4" w:space="0"/>
                    <w:right w:val="single" w:color="auto" w:sz="4" w:space="0"/>
                  </w:tcBorders>
                  <w:vAlign w:val="center"/>
                </w:tcPr>
                <w:p w14:paraId="58114282">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85.19</w:t>
                  </w:r>
                </w:p>
              </w:tc>
            </w:tr>
            <w:tr w14:paraId="1643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3F16AB2D">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9</w:t>
                  </w:r>
                </w:p>
              </w:tc>
              <w:tc>
                <w:tcPr>
                  <w:tcW w:w="1546" w:type="pct"/>
                  <w:tcBorders>
                    <w:top w:val="single" w:color="auto" w:sz="4" w:space="0"/>
                    <w:left w:val="single" w:color="auto" w:sz="4" w:space="0"/>
                    <w:bottom w:val="single" w:color="auto" w:sz="4" w:space="0"/>
                    <w:right w:val="single" w:color="auto" w:sz="4" w:space="0"/>
                  </w:tcBorders>
                  <w:vAlign w:val="center"/>
                </w:tcPr>
                <w:p w14:paraId="2FFA9EC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粪大肠菌群（</w:t>
                  </w:r>
                  <w:r>
                    <w:rPr>
                      <w:rFonts w:hint="default" w:ascii="Times New Roman" w:hAnsi="Times New Roman" w:eastAsia="宋体" w:cs="Times New Roman"/>
                      <w:color w:val="000000" w:themeColor="text1"/>
                      <w:sz w:val="21"/>
                      <w:szCs w:val="21"/>
                    </w:rPr>
                    <w:t>MPN/L</w:t>
                  </w:r>
                  <w:r>
                    <w:rPr>
                      <w:rFonts w:hint="default" w:ascii="Times New Roman" w:hAnsi="Times New Roman" w:eastAsia="宋体" w:cs="Times New Roman"/>
                      <w:color w:val="000000" w:themeColor="text1"/>
                      <w:spacing w:val="-5"/>
                      <w:sz w:val="21"/>
                      <w:szCs w:val="21"/>
                      <w:lang w:val="en-US" w:eastAsia="zh-CN" w:bidi="he-IL"/>
                    </w:rPr>
                    <w:t>）</w:t>
                  </w:r>
                  <w:r>
                    <w:rPr>
                      <w:rFonts w:hint="default" w:ascii="Times New Roman" w:hAnsi="Times New Roman" w:eastAsia="宋体" w:cs="Times New Roman"/>
                      <w:color w:val="000000" w:themeColor="text1"/>
                      <w:sz w:val="21"/>
                      <w:szCs w:val="21"/>
                      <w:lang w:val="en-US" w:eastAsia="zh-CN"/>
                    </w:rPr>
                    <w:t>*</w:t>
                  </w:r>
                </w:p>
              </w:tc>
              <w:tc>
                <w:tcPr>
                  <w:tcW w:w="1063" w:type="pct"/>
                  <w:tcBorders>
                    <w:top w:val="single" w:color="auto" w:sz="4" w:space="0"/>
                    <w:left w:val="single" w:color="auto" w:sz="4" w:space="0"/>
                    <w:bottom w:val="single" w:color="auto" w:sz="4" w:space="0"/>
                    <w:right w:val="single" w:color="auto" w:sz="4" w:space="0"/>
                  </w:tcBorders>
                  <w:vAlign w:val="center"/>
                </w:tcPr>
                <w:p w14:paraId="44E2DC4E">
                  <w:pPr>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val="en-US" w:eastAsia="zh-CN"/>
                    </w:rPr>
                    <w:t>/</w:t>
                  </w:r>
                </w:p>
              </w:tc>
              <w:tc>
                <w:tcPr>
                  <w:tcW w:w="1062" w:type="pct"/>
                  <w:tcBorders>
                    <w:top w:val="single" w:color="auto" w:sz="4" w:space="0"/>
                    <w:left w:val="single" w:color="auto" w:sz="4" w:space="0"/>
                    <w:bottom w:val="single" w:color="auto" w:sz="4" w:space="0"/>
                    <w:right w:val="single" w:color="auto" w:sz="4" w:space="0"/>
                  </w:tcBorders>
                  <w:vAlign w:val="center"/>
                </w:tcPr>
                <w:p w14:paraId="4FA88A65">
                  <w:pPr>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val="en-US" w:eastAsia="zh-CN"/>
                    </w:rPr>
                    <w:t>/</w:t>
                  </w:r>
                </w:p>
              </w:tc>
              <w:tc>
                <w:tcPr>
                  <w:tcW w:w="862" w:type="pct"/>
                  <w:tcBorders>
                    <w:top w:val="single" w:color="auto" w:sz="4" w:space="0"/>
                    <w:left w:val="single" w:color="auto" w:sz="4" w:space="0"/>
                    <w:bottom w:val="single" w:color="auto" w:sz="4" w:space="0"/>
                    <w:right w:val="single" w:color="auto" w:sz="4" w:space="0"/>
                  </w:tcBorders>
                  <w:vAlign w:val="center"/>
                </w:tcPr>
                <w:p w14:paraId="7A515B4F">
                  <w:pPr>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val="en-US" w:eastAsia="zh-CN"/>
                    </w:rPr>
                    <w:t>/</w:t>
                  </w:r>
                </w:p>
              </w:tc>
            </w:tr>
          </w:tbl>
          <w:p w14:paraId="747C2B83">
            <w:pPr>
              <w:autoSpaceDE w:val="0"/>
              <w:autoSpaceDN w:val="0"/>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highlight w:val="none"/>
              </w:rPr>
              <w:t>根据表7-2、表7-3、表7-4的监测结果可知，项目设置的污水处理站对水污染物有一定的去除能力，验收监测期间，项目污水处理站</w:t>
            </w:r>
            <w:r>
              <w:rPr>
                <w:rFonts w:hint="default" w:ascii="Times New Roman" w:hAnsi="Times New Roman" w:cs="Times New Roman"/>
                <w:color w:val="000000" w:themeColor="text1"/>
                <w:kern w:val="0"/>
                <w:sz w:val="24"/>
                <w:szCs w:val="24"/>
                <w:highlight w:val="none"/>
              </w:rPr>
              <w:t>出口</w:t>
            </w:r>
            <w:r>
              <w:rPr>
                <w:rFonts w:hint="eastAsia" w:ascii="Times New Roman" w:hAnsi="Times New Roman" w:cs="Times New Roman"/>
                <w:color w:val="000000" w:themeColor="text1"/>
                <w:kern w:val="0"/>
                <w:sz w:val="24"/>
                <w:szCs w:val="24"/>
                <w:highlight w:val="none"/>
                <w:lang w:val="en-US" w:eastAsia="zh-CN"/>
              </w:rPr>
              <w:t>污</w:t>
            </w:r>
            <w:r>
              <w:rPr>
                <w:rFonts w:hint="default" w:ascii="Times New Roman" w:hAnsi="Times New Roman" w:cs="Times New Roman"/>
                <w:color w:val="000000" w:themeColor="text1"/>
                <w:kern w:val="0"/>
                <w:sz w:val="24"/>
                <w:szCs w:val="24"/>
                <w:highlight w:val="none"/>
              </w:rPr>
              <w:t>水</w:t>
            </w:r>
            <w:r>
              <w:rPr>
                <w:rFonts w:hint="default" w:ascii="Times New Roman" w:hAnsi="Times New Roman" w:cs="Times New Roman"/>
                <w:color w:val="000000" w:themeColor="text1"/>
                <w:sz w:val="24"/>
                <w:szCs w:val="24"/>
                <w:highlight w:val="none"/>
              </w:rPr>
              <w:t>pH、</w:t>
            </w:r>
            <w:r>
              <w:rPr>
                <w:rFonts w:hint="eastAsia" w:ascii="Times New Roman" w:hAnsi="Times New Roman" w:cs="Times New Roman"/>
                <w:color w:val="000000" w:themeColor="text1"/>
                <w:sz w:val="24"/>
                <w:szCs w:val="24"/>
                <w:highlight w:val="none"/>
                <w:lang w:val="en-US" w:eastAsia="zh-CN"/>
              </w:rPr>
              <w:t>五日生化需氧量（BOD</w:t>
            </w:r>
            <w:r>
              <w:rPr>
                <w:rFonts w:hint="eastAsia" w:ascii="Times New Roman" w:hAnsi="Times New Roman" w:cs="Times New Roman"/>
                <w:color w:val="000000" w:themeColor="text1"/>
                <w:sz w:val="24"/>
                <w:szCs w:val="24"/>
                <w:highlight w:val="none"/>
                <w:vertAlign w:val="subscript"/>
                <w:lang w:val="en-US" w:eastAsia="zh-CN"/>
              </w:rPr>
              <w:t>5</w:t>
            </w:r>
            <w:r>
              <w:rPr>
                <w:rFonts w:hint="eastAsia" w:ascii="Times New Roman" w:hAnsi="Times New Roman" w:cs="Times New Roman"/>
                <w:color w:val="000000" w:themeColor="text1"/>
                <w:sz w:val="24"/>
                <w:szCs w:val="24"/>
                <w:highlight w:val="none"/>
                <w:lang w:val="en-US" w:eastAsia="zh-CN"/>
              </w:rPr>
              <w:t>）、氨氮（NH</w:t>
            </w:r>
            <w:r>
              <w:rPr>
                <w:rFonts w:hint="eastAsia" w:ascii="Times New Roman" w:hAnsi="Times New Roman" w:cs="Times New Roman"/>
                <w:color w:val="000000" w:themeColor="text1"/>
                <w:sz w:val="24"/>
                <w:szCs w:val="24"/>
                <w:highlight w:val="none"/>
                <w:vertAlign w:val="subscript"/>
                <w:lang w:val="en-US" w:eastAsia="zh-CN"/>
              </w:rPr>
              <w:t>3</w:t>
            </w:r>
            <w:r>
              <w:rPr>
                <w:rFonts w:hint="eastAsia" w:ascii="Times New Roman" w:hAnsi="Times New Roman" w:cs="Times New Roman"/>
                <w:color w:val="000000" w:themeColor="text1"/>
                <w:sz w:val="24"/>
                <w:szCs w:val="24"/>
                <w:highlight w:val="none"/>
                <w:lang w:val="en-US" w:eastAsia="zh-CN"/>
              </w:rPr>
              <w:t>-N）、粪大肠菌群</w:t>
            </w:r>
            <w:r>
              <w:rPr>
                <w:rFonts w:hint="default" w:ascii="Times New Roman" w:hAnsi="Times New Roman" w:cs="Times New Roman"/>
                <w:bCs/>
                <w:color w:val="000000" w:themeColor="text1"/>
                <w:kern w:val="1"/>
                <w:sz w:val="24"/>
                <w:szCs w:val="24"/>
                <w:highlight w:val="none"/>
              </w:rPr>
              <w:t>等均可满足</w:t>
            </w:r>
            <w:r>
              <w:rPr>
                <w:rFonts w:hint="default" w:ascii="Times New Roman" w:hAnsi="Times New Roman" w:cs="Times New Roman"/>
                <w:color w:val="000000" w:themeColor="text1"/>
                <w:sz w:val="24"/>
                <w:szCs w:val="24"/>
              </w:rPr>
              <w:t>《城市污水再生利用 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化学需氧量（COD）、悬浮物（SS）、动植物油</w:t>
            </w:r>
            <w:r>
              <w:rPr>
                <w:rFonts w:hint="eastAsia" w:ascii="Times New Roman" w:hAnsi="Times New Roman" w:cs="Times New Roman"/>
                <w:color w:val="000000" w:themeColor="text1"/>
                <w:sz w:val="24"/>
                <w:szCs w:val="24"/>
                <w:lang w:val="en-US" w:eastAsia="zh-CN"/>
              </w:rPr>
              <w:t>类</w:t>
            </w:r>
            <w:r>
              <w:rPr>
                <w:rFonts w:hint="default" w:ascii="Times New Roman" w:hAnsi="Times New Roman" w:cs="Times New Roman"/>
                <w:color w:val="000000" w:themeColor="text1"/>
                <w:sz w:val="24"/>
                <w:szCs w:val="24"/>
              </w:rPr>
              <w:t>、石油类、总氮（以N计）、总磷（以P计）</w:t>
            </w:r>
            <w:r>
              <w:rPr>
                <w:rFonts w:hint="eastAsia" w:ascii="Times New Roman" w:hAnsi="Times New Roman" w:cs="Times New Roman"/>
                <w:color w:val="000000" w:themeColor="text1"/>
                <w:sz w:val="24"/>
                <w:szCs w:val="24"/>
                <w:lang w:val="en-US" w:eastAsia="zh-CN"/>
              </w:rPr>
              <w:t>等均可满足</w:t>
            </w:r>
            <w:r>
              <w:rPr>
                <w:rFonts w:hint="default" w:ascii="Times New Roman" w:hAnsi="Times New Roman" w:cs="Times New Roman"/>
                <w:color w:val="000000" w:themeColor="text1"/>
                <w:sz w:val="24"/>
                <w:szCs w:val="24"/>
              </w:rPr>
              <w:t>《城镇污水处理厂污染物排放标准》（GB18918-2002）一级A标准。</w:t>
            </w:r>
          </w:p>
          <w:p w14:paraId="74C185A0">
            <w:pPr>
              <w:spacing w:line="360" w:lineRule="auto"/>
              <w:ind w:firstLine="482" w:firstLineChars="200"/>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shd w:val="clear" w:color="auto" w:fill="FFFFFF"/>
              </w:rPr>
              <w:t>（</w:t>
            </w:r>
            <w:r>
              <w:rPr>
                <w:rFonts w:hint="eastAsia" w:ascii="Times New Roman" w:hAnsi="Times New Roman" w:cs="Times New Roman"/>
                <w:b/>
                <w:color w:val="000000" w:themeColor="text1"/>
                <w:sz w:val="24"/>
                <w:szCs w:val="24"/>
                <w:highlight w:val="none"/>
                <w:shd w:val="clear" w:color="auto" w:fill="FFFFFF"/>
                <w:lang w:val="en-US" w:eastAsia="zh-CN"/>
              </w:rPr>
              <w:t>2</w:t>
            </w:r>
            <w:r>
              <w:rPr>
                <w:rFonts w:hint="default" w:ascii="Times New Roman" w:hAnsi="Times New Roman" w:cs="Times New Roman"/>
                <w:b/>
                <w:color w:val="000000" w:themeColor="text1"/>
                <w:sz w:val="24"/>
                <w:szCs w:val="24"/>
                <w:highlight w:val="none"/>
                <w:shd w:val="clear" w:color="auto" w:fill="FFFFFF"/>
              </w:rPr>
              <w:t>）噪声监测结果与评价</w:t>
            </w:r>
          </w:p>
          <w:p w14:paraId="6EAF3A9C">
            <w:pPr>
              <w:jc w:val="center"/>
              <w:rPr>
                <w:rFonts w:hint="default" w:ascii="Times New Roman" w:hAnsi="Times New Roman" w:cs="Times New Roman"/>
                <w:b/>
                <w:color w:val="000000" w:themeColor="text1"/>
                <w:kern w:val="1"/>
                <w:sz w:val="24"/>
                <w:szCs w:val="24"/>
                <w:highlight w:val="none"/>
              </w:rPr>
            </w:pPr>
            <w:r>
              <w:rPr>
                <w:rFonts w:hint="default" w:ascii="Times New Roman" w:hAnsi="Times New Roman" w:cs="Times New Roman"/>
                <w:b/>
                <w:color w:val="000000" w:themeColor="text1"/>
                <w:sz w:val="24"/>
                <w:szCs w:val="24"/>
                <w:highlight w:val="none"/>
              </w:rPr>
              <w:t xml:space="preserve">表7-5 </w:t>
            </w:r>
            <w:r>
              <w:rPr>
                <w:rFonts w:hint="default" w:ascii="Times New Roman" w:hAnsi="Times New Roman" w:cs="Times New Roman"/>
                <w:b/>
                <w:color w:val="000000" w:themeColor="text1"/>
                <w:kern w:val="1"/>
                <w:sz w:val="24"/>
                <w:szCs w:val="24"/>
                <w:highlight w:val="none"/>
              </w:rPr>
              <w:t>厂界噪声监测结果</w:t>
            </w:r>
            <w:r>
              <w:rPr>
                <w:rFonts w:hint="default" w:ascii="Times New Roman" w:hAnsi="Times New Roman" w:cs="Times New Roman"/>
                <w:b/>
                <w:color w:val="000000" w:themeColor="text1"/>
                <w:sz w:val="24"/>
                <w:szCs w:val="24"/>
                <w:highlight w:val="none"/>
              </w:rPr>
              <w:t>与评价表</w:t>
            </w:r>
            <w:r>
              <w:rPr>
                <w:rFonts w:hint="default" w:ascii="Times New Roman" w:hAnsi="Times New Roman" w:cs="Times New Roman"/>
                <w:b/>
                <w:color w:val="000000" w:themeColor="text1"/>
                <w:kern w:val="1"/>
                <w:sz w:val="24"/>
                <w:szCs w:val="24"/>
                <w:highlight w:val="none"/>
              </w:rPr>
              <w:t xml:space="preserve">   单位：dB(A)</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6"/>
              <w:gridCol w:w="1370"/>
              <w:gridCol w:w="844"/>
              <w:gridCol w:w="1049"/>
              <w:gridCol w:w="1188"/>
              <w:gridCol w:w="1148"/>
            </w:tblGrid>
            <w:tr w14:paraId="648D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4605121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检测点位置</w:t>
                  </w:r>
                </w:p>
              </w:tc>
              <w:tc>
                <w:tcPr>
                  <w:tcW w:w="768" w:type="pct"/>
                  <w:tcBorders>
                    <w:top w:val="single" w:color="auto" w:sz="4" w:space="0"/>
                    <w:left w:val="single" w:color="auto" w:sz="4" w:space="0"/>
                    <w:bottom w:val="single" w:color="auto" w:sz="4" w:space="0"/>
                    <w:right w:val="single" w:color="auto" w:sz="4" w:space="0"/>
                  </w:tcBorders>
                  <w:vAlign w:val="center"/>
                </w:tcPr>
                <w:p w14:paraId="224AA12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检测日期</w:t>
                  </w:r>
                </w:p>
              </w:tc>
              <w:tc>
                <w:tcPr>
                  <w:tcW w:w="473" w:type="pct"/>
                  <w:tcBorders>
                    <w:top w:val="single" w:color="auto" w:sz="4" w:space="0"/>
                    <w:left w:val="single" w:color="auto" w:sz="4" w:space="0"/>
                    <w:bottom w:val="single" w:color="auto" w:sz="4" w:space="0"/>
                    <w:right w:val="single" w:color="auto" w:sz="4" w:space="0"/>
                  </w:tcBorders>
                  <w:vAlign w:val="center"/>
                </w:tcPr>
                <w:p w14:paraId="262F2BC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时段</w:t>
                  </w:r>
                </w:p>
              </w:tc>
              <w:tc>
                <w:tcPr>
                  <w:tcW w:w="588" w:type="pct"/>
                  <w:tcBorders>
                    <w:top w:val="single" w:color="auto" w:sz="4" w:space="0"/>
                    <w:left w:val="single" w:color="auto" w:sz="4" w:space="0"/>
                    <w:bottom w:val="single" w:color="auto" w:sz="4" w:space="0"/>
                    <w:right w:val="single" w:color="auto" w:sz="4" w:space="0"/>
                  </w:tcBorders>
                  <w:vAlign w:val="center"/>
                </w:tcPr>
                <w:p w14:paraId="4BAFE60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Leq（A）</w:t>
                  </w:r>
                </w:p>
              </w:tc>
              <w:tc>
                <w:tcPr>
                  <w:tcW w:w="666" w:type="pct"/>
                  <w:tcBorders>
                    <w:top w:val="single" w:color="auto" w:sz="4" w:space="0"/>
                    <w:left w:val="single" w:color="auto" w:sz="4" w:space="0"/>
                    <w:bottom w:val="single" w:color="auto" w:sz="4" w:space="0"/>
                    <w:right w:val="single" w:color="auto" w:sz="4" w:space="0"/>
                  </w:tcBorders>
                  <w:vAlign w:val="center"/>
                </w:tcPr>
                <w:p w14:paraId="68837E5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标准限值</w:t>
                  </w:r>
                </w:p>
              </w:tc>
              <w:tc>
                <w:tcPr>
                  <w:tcW w:w="643" w:type="pct"/>
                  <w:tcBorders>
                    <w:top w:val="single" w:color="auto" w:sz="4" w:space="0"/>
                    <w:left w:val="single" w:color="auto" w:sz="4" w:space="0"/>
                    <w:bottom w:val="single" w:color="auto" w:sz="4" w:space="0"/>
                    <w:right w:val="single" w:color="auto" w:sz="4" w:space="0"/>
                  </w:tcBorders>
                  <w:vAlign w:val="center"/>
                </w:tcPr>
                <w:p w14:paraId="5D32F73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达标情况</w:t>
                  </w:r>
                </w:p>
              </w:tc>
            </w:tr>
            <w:tr w14:paraId="76063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27D18A60">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restart"/>
                  <w:tcBorders>
                    <w:top w:val="single" w:color="auto" w:sz="4" w:space="0"/>
                    <w:left w:val="single" w:color="auto" w:sz="4" w:space="0"/>
                    <w:right w:val="single" w:color="auto" w:sz="4" w:space="0"/>
                  </w:tcBorders>
                  <w:vAlign w:val="center"/>
                </w:tcPr>
                <w:p w14:paraId="6D12C7D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eastAsia" w:ascii="Times New Roman" w:hAnsi="Times New Roman" w:cs="Times New Roman"/>
                      <w:color w:val="000000" w:themeColor="text1"/>
                      <w:spacing w:val="4"/>
                      <w:sz w:val="21"/>
                      <w:szCs w:val="21"/>
                      <w:highlight w:val="none"/>
                      <w:lang w:val="en-US" w:eastAsia="zh-CN"/>
                    </w:rPr>
                    <w:t>2025.03.08</w:t>
                  </w:r>
                </w:p>
              </w:tc>
              <w:tc>
                <w:tcPr>
                  <w:tcW w:w="473" w:type="pct"/>
                  <w:vMerge w:val="restart"/>
                  <w:tcBorders>
                    <w:top w:val="single" w:color="auto" w:sz="4" w:space="0"/>
                    <w:left w:val="single" w:color="auto" w:sz="4" w:space="0"/>
                    <w:right w:val="single" w:color="auto" w:sz="4" w:space="0"/>
                  </w:tcBorders>
                  <w:vAlign w:val="center"/>
                </w:tcPr>
                <w:p w14:paraId="7934B92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昼间</w:t>
                  </w:r>
                </w:p>
              </w:tc>
              <w:tc>
                <w:tcPr>
                  <w:tcW w:w="1049" w:type="dxa"/>
                  <w:tcBorders>
                    <w:top w:val="single" w:color="auto" w:sz="4" w:space="0"/>
                    <w:left w:val="single" w:color="auto" w:sz="4" w:space="0"/>
                    <w:bottom w:val="single" w:color="auto" w:sz="4" w:space="0"/>
                    <w:right w:val="single" w:color="auto" w:sz="4" w:space="0"/>
                  </w:tcBorders>
                  <w:vAlign w:val="center"/>
                </w:tcPr>
                <w:p w14:paraId="0E068AE9">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46</w:t>
                  </w:r>
                </w:p>
              </w:tc>
              <w:tc>
                <w:tcPr>
                  <w:tcW w:w="666" w:type="pct"/>
                  <w:tcBorders>
                    <w:top w:val="single" w:color="auto" w:sz="4" w:space="0"/>
                    <w:left w:val="single" w:color="auto" w:sz="4" w:space="0"/>
                    <w:bottom w:val="single" w:color="auto" w:sz="4" w:space="0"/>
                    <w:right w:val="single" w:color="auto" w:sz="4" w:space="0"/>
                  </w:tcBorders>
                  <w:vAlign w:val="center"/>
                </w:tcPr>
                <w:p w14:paraId="3CA4F14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047670B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09F57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6282C731">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0951A9A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433EDFC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5194A4DF">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46</w:t>
                  </w:r>
                </w:p>
              </w:tc>
              <w:tc>
                <w:tcPr>
                  <w:tcW w:w="666" w:type="pct"/>
                  <w:tcBorders>
                    <w:top w:val="single" w:color="auto" w:sz="4" w:space="0"/>
                    <w:left w:val="single" w:color="auto" w:sz="4" w:space="0"/>
                    <w:bottom w:val="single" w:color="auto" w:sz="4" w:space="0"/>
                    <w:right w:val="single" w:color="auto" w:sz="4" w:space="0"/>
                  </w:tcBorders>
                  <w:vAlign w:val="center"/>
                </w:tcPr>
                <w:p w14:paraId="69CB2F4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2DA383D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5A50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3C744EC3">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407BCC0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11A34C9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4FD90A68">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46</w:t>
                  </w:r>
                </w:p>
              </w:tc>
              <w:tc>
                <w:tcPr>
                  <w:tcW w:w="666" w:type="pct"/>
                  <w:tcBorders>
                    <w:top w:val="single" w:color="auto" w:sz="4" w:space="0"/>
                    <w:left w:val="single" w:color="auto" w:sz="4" w:space="0"/>
                    <w:bottom w:val="single" w:color="auto" w:sz="4" w:space="0"/>
                    <w:right w:val="single" w:color="auto" w:sz="4" w:space="0"/>
                  </w:tcBorders>
                  <w:vAlign w:val="center"/>
                </w:tcPr>
                <w:p w14:paraId="3F1044E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1DCC8B2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09D8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47C63426">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62447CD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3862E1D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11DF9E23">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51</w:t>
                  </w:r>
                </w:p>
              </w:tc>
              <w:tc>
                <w:tcPr>
                  <w:tcW w:w="666" w:type="pct"/>
                  <w:tcBorders>
                    <w:top w:val="single" w:color="auto" w:sz="4" w:space="0"/>
                    <w:left w:val="single" w:color="auto" w:sz="4" w:space="0"/>
                    <w:bottom w:val="single" w:color="auto" w:sz="4" w:space="0"/>
                    <w:right w:val="single" w:color="auto" w:sz="4" w:space="0"/>
                  </w:tcBorders>
                  <w:vAlign w:val="center"/>
                </w:tcPr>
                <w:p w14:paraId="18D8CC3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30AFA37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46E7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0987B99E">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continue"/>
                  <w:tcBorders>
                    <w:left w:val="single" w:color="auto" w:sz="4" w:space="0"/>
                    <w:right w:val="single" w:color="auto" w:sz="4" w:space="0"/>
                  </w:tcBorders>
                  <w:vAlign w:val="center"/>
                </w:tcPr>
                <w:p w14:paraId="6C3832E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restart"/>
                  <w:tcBorders>
                    <w:top w:val="single" w:color="auto" w:sz="4" w:space="0"/>
                    <w:left w:val="single" w:color="auto" w:sz="4" w:space="0"/>
                    <w:right w:val="single" w:color="auto" w:sz="4" w:space="0"/>
                  </w:tcBorders>
                  <w:vAlign w:val="center"/>
                </w:tcPr>
                <w:p w14:paraId="1F33F23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夜间</w:t>
                  </w:r>
                </w:p>
              </w:tc>
              <w:tc>
                <w:tcPr>
                  <w:tcW w:w="1049" w:type="dxa"/>
                  <w:tcBorders>
                    <w:top w:val="single" w:color="auto" w:sz="4" w:space="0"/>
                    <w:left w:val="single" w:color="auto" w:sz="4" w:space="0"/>
                    <w:bottom w:val="single" w:color="auto" w:sz="4" w:space="0"/>
                    <w:right w:val="single" w:color="auto" w:sz="4" w:space="0"/>
                  </w:tcBorders>
                  <w:vAlign w:val="center"/>
                </w:tcPr>
                <w:p w14:paraId="3A5F2EFD">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41</w:t>
                  </w:r>
                </w:p>
              </w:tc>
              <w:tc>
                <w:tcPr>
                  <w:tcW w:w="666" w:type="pct"/>
                  <w:tcBorders>
                    <w:top w:val="single" w:color="auto" w:sz="4" w:space="0"/>
                    <w:left w:val="single" w:color="auto" w:sz="4" w:space="0"/>
                    <w:bottom w:val="single" w:color="auto" w:sz="4" w:space="0"/>
                    <w:right w:val="single" w:color="auto" w:sz="4" w:space="0"/>
                  </w:tcBorders>
                  <w:vAlign w:val="center"/>
                </w:tcPr>
                <w:p w14:paraId="6CA8569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66F6BFD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59B7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4888BB02">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7692BDE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4D9EA08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16E788B0">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40</w:t>
                  </w:r>
                </w:p>
              </w:tc>
              <w:tc>
                <w:tcPr>
                  <w:tcW w:w="666" w:type="pct"/>
                  <w:tcBorders>
                    <w:top w:val="single" w:color="auto" w:sz="4" w:space="0"/>
                    <w:left w:val="single" w:color="auto" w:sz="4" w:space="0"/>
                    <w:bottom w:val="single" w:color="auto" w:sz="4" w:space="0"/>
                    <w:right w:val="single" w:color="auto" w:sz="4" w:space="0"/>
                  </w:tcBorders>
                  <w:vAlign w:val="center"/>
                </w:tcPr>
                <w:p w14:paraId="5D71418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4A763A0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12189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71899526">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0229209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03AE093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41B5761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40</w:t>
                  </w:r>
                </w:p>
              </w:tc>
              <w:tc>
                <w:tcPr>
                  <w:tcW w:w="666" w:type="pct"/>
                  <w:tcBorders>
                    <w:top w:val="single" w:color="auto" w:sz="4" w:space="0"/>
                    <w:left w:val="single" w:color="auto" w:sz="4" w:space="0"/>
                    <w:bottom w:val="single" w:color="auto" w:sz="4" w:space="0"/>
                    <w:right w:val="single" w:color="auto" w:sz="4" w:space="0"/>
                  </w:tcBorders>
                  <w:vAlign w:val="center"/>
                </w:tcPr>
                <w:p w14:paraId="32C944B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0C8DB2E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43880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6C7F801F">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2E0FBD2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2658C11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1F56B273">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39</w:t>
                  </w:r>
                </w:p>
              </w:tc>
              <w:tc>
                <w:tcPr>
                  <w:tcW w:w="666" w:type="pct"/>
                  <w:tcBorders>
                    <w:top w:val="single" w:color="auto" w:sz="4" w:space="0"/>
                    <w:left w:val="single" w:color="auto" w:sz="4" w:space="0"/>
                    <w:bottom w:val="single" w:color="auto" w:sz="4" w:space="0"/>
                    <w:right w:val="single" w:color="auto" w:sz="4" w:space="0"/>
                  </w:tcBorders>
                  <w:vAlign w:val="center"/>
                </w:tcPr>
                <w:p w14:paraId="01CC0AD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760D3F9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7D58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248C96AE">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restart"/>
                  <w:tcBorders>
                    <w:top w:val="single" w:color="auto" w:sz="4" w:space="0"/>
                    <w:left w:val="single" w:color="auto" w:sz="4" w:space="0"/>
                    <w:right w:val="single" w:color="auto" w:sz="4" w:space="0"/>
                  </w:tcBorders>
                  <w:vAlign w:val="center"/>
                </w:tcPr>
                <w:p w14:paraId="1A6A6AC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eastAsia" w:ascii="Times New Roman" w:hAnsi="Times New Roman" w:cs="Times New Roman"/>
                      <w:color w:val="000000" w:themeColor="text1"/>
                      <w:spacing w:val="4"/>
                      <w:sz w:val="21"/>
                      <w:szCs w:val="21"/>
                      <w:highlight w:val="none"/>
                      <w:lang w:val="en-US" w:eastAsia="zh-CN"/>
                    </w:rPr>
                    <w:t>2025.03.09</w:t>
                  </w:r>
                </w:p>
              </w:tc>
              <w:tc>
                <w:tcPr>
                  <w:tcW w:w="473" w:type="pct"/>
                  <w:vMerge w:val="restart"/>
                  <w:tcBorders>
                    <w:top w:val="single" w:color="auto" w:sz="4" w:space="0"/>
                    <w:left w:val="single" w:color="auto" w:sz="4" w:space="0"/>
                    <w:right w:val="single" w:color="auto" w:sz="4" w:space="0"/>
                  </w:tcBorders>
                  <w:vAlign w:val="center"/>
                </w:tcPr>
                <w:p w14:paraId="0806D54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昼间</w:t>
                  </w:r>
                </w:p>
              </w:tc>
              <w:tc>
                <w:tcPr>
                  <w:tcW w:w="1049" w:type="dxa"/>
                  <w:tcBorders>
                    <w:top w:val="single" w:color="auto" w:sz="4" w:space="0"/>
                    <w:left w:val="single" w:color="auto" w:sz="4" w:space="0"/>
                    <w:bottom w:val="single" w:color="auto" w:sz="4" w:space="0"/>
                    <w:right w:val="single" w:color="auto" w:sz="4" w:space="0"/>
                  </w:tcBorders>
                  <w:vAlign w:val="center"/>
                </w:tcPr>
                <w:p w14:paraId="65BEEAFE">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47</w:t>
                  </w:r>
                </w:p>
              </w:tc>
              <w:tc>
                <w:tcPr>
                  <w:tcW w:w="666" w:type="pct"/>
                  <w:tcBorders>
                    <w:top w:val="single" w:color="auto" w:sz="4" w:space="0"/>
                    <w:left w:val="single" w:color="auto" w:sz="4" w:space="0"/>
                    <w:bottom w:val="single" w:color="auto" w:sz="4" w:space="0"/>
                    <w:right w:val="single" w:color="auto" w:sz="4" w:space="0"/>
                  </w:tcBorders>
                  <w:vAlign w:val="center"/>
                </w:tcPr>
                <w:p w14:paraId="45C111A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279094E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61AD4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069065FD">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1D32C13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5DB300B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719F9346">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49</w:t>
                  </w:r>
                </w:p>
              </w:tc>
              <w:tc>
                <w:tcPr>
                  <w:tcW w:w="666" w:type="pct"/>
                  <w:tcBorders>
                    <w:top w:val="single" w:color="auto" w:sz="4" w:space="0"/>
                    <w:left w:val="single" w:color="auto" w:sz="4" w:space="0"/>
                    <w:bottom w:val="single" w:color="auto" w:sz="4" w:space="0"/>
                    <w:right w:val="single" w:color="auto" w:sz="4" w:space="0"/>
                  </w:tcBorders>
                  <w:vAlign w:val="center"/>
                </w:tcPr>
                <w:p w14:paraId="2DA0E56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58652AA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22ED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28AAD24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22215DA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6A849AA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2E9A23B2">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50</w:t>
                  </w:r>
                </w:p>
              </w:tc>
              <w:tc>
                <w:tcPr>
                  <w:tcW w:w="666" w:type="pct"/>
                  <w:tcBorders>
                    <w:top w:val="single" w:color="auto" w:sz="4" w:space="0"/>
                    <w:left w:val="single" w:color="auto" w:sz="4" w:space="0"/>
                    <w:bottom w:val="single" w:color="auto" w:sz="4" w:space="0"/>
                    <w:right w:val="single" w:color="auto" w:sz="4" w:space="0"/>
                  </w:tcBorders>
                  <w:vAlign w:val="center"/>
                </w:tcPr>
                <w:p w14:paraId="31156C6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0A6C7EB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401AB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243AA338">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4498B05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0C93DE7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1E79DD35">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49</w:t>
                  </w:r>
                </w:p>
              </w:tc>
              <w:tc>
                <w:tcPr>
                  <w:tcW w:w="666" w:type="pct"/>
                  <w:tcBorders>
                    <w:top w:val="single" w:color="auto" w:sz="4" w:space="0"/>
                    <w:left w:val="single" w:color="auto" w:sz="4" w:space="0"/>
                    <w:bottom w:val="single" w:color="auto" w:sz="4" w:space="0"/>
                    <w:right w:val="single" w:color="auto" w:sz="4" w:space="0"/>
                  </w:tcBorders>
                  <w:vAlign w:val="center"/>
                </w:tcPr>
                <w:p w14:paraId="73ED72C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3997237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450E4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7AFB62B0">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continue"/>
                  <w:tcBorders>
                    <w:left w:val="single" w:color="auto" w:sz="4" w:space="0"/>
                    <w:right w:val="single" w:color="auto" w:sz="4" w:space="0"/>
                  </w:tcBorders>
                  <w:vAlign w:val="center"/>
                </w:tcPr>
                <w:p w14:paraId="4D13FDC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restart"/>
                  <w:tcBorders>
                    <w:top w:val="single" w:color="auto" w:sz="4" w:space="0"/>
                    <w:left w:val="single" w:color="auto" w:sz="4" w:space="0"/>
                    <w:right w:val="single" w:color="auto" w:sz="4" w:space="0"/>
                  </w:tcBorders>
                  <w:vAlign w:val="center"/>
                </w:tcPr>
                <w:p w14:paraId="022A10A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夜间</w:t>
                  </w:r>
                </w:p>
              </w:tc>
              <w:tc>
                <w:tcPr>
                  <w:tcW w:w="1049" w:type="dxa"/>
                  <w:tcBorders>
                    <w:top w:val="single" w:color="auto" w:sz="4" w:space="0"/>
                    <w:left w:val="single" w:color="auto" w:sz="4" w:space="0"/>
                    <w:bottom w:val="single" w:color="auto" w:sz="4" w:space="0"/>
                    <w:right w:val="single" w:color="auto" w:sz="4" w:space="0"/>
                  </w:tcBorders>
                  <w:vAlign w:val="center"/>
                </w:tcPr>
                <w:p w14:paraId="6B13A261">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37</w:t>
                  </w:r>
                </w:p>
              </w:tc>
              <w:tc>
                <w:tcPr>
                  <w:tcW w:w="666" w:type="pct"/>
                  <w:tcBorders>
                    <w:top w:val="single" w:color="auto" w:sz="4" w:space="0"/>
                    <w:left w:val="single" w:color="auto" w:sz="4" w:space="0"/>
                    <w:bottom w:val="single" w:color="auto" w:sz="4" w:space="0"/>
                    <w:right w:val="single" w:color="auto" w:sz="4" w:space="0"/>
                  </w:tcBorders>
                  <w:vAlign w:val="center"/>
                </w:tcPr>
                <w:p w14:paraId="7ABDB30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3486FAE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0477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0DC97BF1">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45BB426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42B7D3B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732C10D5">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40</w:t>
                  </w:r>
                </w:p>
              </w:tc>
              <w:tc>
                <w:tcPr>
                  <w:tcW w:w="666" w:type="pct"/>
                  <w:tcBorders>
                    <w:top w:val="single" w:color="auto" w:sz="4" w:space="0"/>
                    <w:left w:val="single" w:color="auto" w:sz="4" w:space="0"/>
                    <w:bottom w:val="single" w:color="auto" w:sz="4" w:space="0"/>
                    <w:right w:val="single" w:color="auto" w:sz="4" w:space="0"/>
                  </w:tcBorders>
                  <w:vAlign w:val="center"/>
                </w:tcPr>
                <w:p w14:paraId="66A79B8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0262FBE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1D538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65EEDB7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716EC9B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4DCDB82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7AFDE87C">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40</w:t>
                  </w:r>
                </w:p>
              </w:tc>
              <w:tc>
                <w:tcPr>
                  <w:tcW w:w="666" w:type="pct"/>
                  <w:tcBorders>
                    <w:top w:val="single" w:color="auto" w:sz="4" w:space="0"/>
                    <w:left w:val="single" w:color="auto" w:sz="4" w:space="0"/>
                    <w:bottom w:val="single" w:color="auto" w:sz="4" w:space="0"/>
                    <w:right w:val="single" w:color="auto" w:sz="4" w:space="0"/>
                  </w:tcBorders>
                  <w:vAlign w:val="center"/>
                </w:tcPr>
                <w:p w14:paraId="22EA227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3702881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53B82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71D4578C">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515B617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2789CD0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3F11AB5E">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40</w:t>
                  </w:r>
                </w:p>
              </w:tc>
              <w:tc>
                <w:tcPr>
                  <w:tcW w:w="666" w:type="pct"/>
                  <w:tcBorders>
                    <w:top w:val="single" w:color="auto" w:sz="4" w:space="0"/>
                    <w:left w:val="single" w:color="auto" w:sz="4" w:space="0"/>
                    <w:bottom w:val="single" w:color="auto" w:sz="4" w:space="0"/>
                    <w:right w:val="single" w:color="auto" w:sz="4" w:space="0"/>
                  </w:tcBorders>
                  <w:vAlign w:val="center"/>
                </w:tcPr>
                <w:p w14:paraId="6FC7AE7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1EA799D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bl>
          <w:p w14:paraId="63AA58A8">
            <w:pPr>
              <w:spacing w:line="360" w:lineRule="auto"/>
              <w:ind w:firstLine="480" w:firstLineChars="200"/>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根据上表可知：项目运行期厂界噪声，经衰减后，</w:t>
            </w:r>
            <w:r>
              <w:rPr>
                <w:rFonts w:hint="default" w:ascii="Times New Roman" w:hAnsi="Times New Roman" w:cs="Times New Roman"/>
                <w:color w:val="000000" w:themeColor="text1"/>
                <w:sz w:val="24"/>
                <w:highlight w:val="none"/>
                <w:lang w:val="en-US" w:eastAsia="zh-CN"/>
              </w:rPr>
              <w:t>项目区东南西北侧厂界</w:t>
            </w:r>
            <w:r>
              <w:rPr>
                <w:rFonts w:hint="default" w:ascii="Times New Roman" w:hAnsi="Times New Roman" w:cs="Times New Roman"/>
                <w:color w:val="000000" w:themeColor="text1"/>
                <w:sz w:val="24"/>
                <w:highlight w:val="none"/>
              </w:rPr>
              <w:t>噪声均达到《社会生活环境噪声排放标准》（GB22337-2008）2类标准</w:t>
            </w:r>
            <w:r>
              <w:rPr>
                <w:rFonts w:hint="default" w:ascii="Times New Roman" w:hAnsi="Times New Roman" w:cs="Times New Roman"/>
                <w:color w:val="000000" w:themeColor="text1"/>
                <w:sz w:val="24"/>
                <w:szCs w:val="24"/>
                <w:highlight w:val="none"/>
              </w:rPr>
              <w:t>，对项目区及周边环境影响较小。</w:t>
            </w:r>
          </w:p>
          <w:p w14:paraId="4F534B30">
            <w:pPr>
              <w:spacing w:line="360" w:lineRule="auto"/>
              <w:ind w:firstLine="482" w:firstLineChars="200"/>
              <w:rPr>
                <w:rFonts w:hint="default" w:ascii="Times New Roman" w:hAnsi="Times New Roman" w:cs="Times New Roman"/>
                <w:b/>
                <w:color w:val="000000" w:themeColor="text1"/>
                <w:sz w:val="24"/>
                <w:szCs w:val="24"/>
                <w:shd w:val="clear" w:color="auto" w:fill="FFFFFF"/>
              </w:rPr>
            </w:pPr>
            <w:r>
              <w:rPr>
                <w:rFonts w:hint="eastAsia" w:ascii="Times New Roman" w:hAnsi="Times New Roman" w:cs="Times New Roman"/>
                <w:b/>
                <w:color w:val="000000" w:themeColor="text1"/>
                <w:sz w:val="24"/>
                <w:szCs w:val="24"/>
                <w:shd w:val="clear" w:color="auto" w:fill="FFFFFF"/>
                <w:lang w:val="en-US" w:eastAsia="zh-CN"/>
              </w:rPr>
              <w:t>2</w:t>
            </w:r>
            <w:r>
              <w:rPr>
                <w:rFonts w:hint="default" w:ascii="Times New Roman" w:hAnsi="Times New Roman" w:cs="Times New Roman"/>
                <w:b/>
                <w:color w:val="000000" w:themeColor="text1"/>
                <w:sz w:val="24"/>
                <w:szCs w:val="24"/>
                <w:shd w:val="clear" w:color="auto" w:fill="FFFFFF"/>
              </w:rPr>
              <w:t>、污染物排放总量核算</w:t>
            </w:r>
          </w:p>
          <w:p w14:paraId="2A1FF3F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（1）污染物排放总量控制指标</w:t>
            </w:r>
          </w:p>
          <w:p w14:paraId="26477B22">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rPr>
              <w:t>本项目所在区域属于腾冲市污水处理厂纳污范围，</w:t>
            </w:r>
            <w:r>
              <w:rPr>
                <w:rFonts w:hint="default" w:ascii="Times New Roman" w:hAnsi="Times New Roman" w:cs="Times New Roman"/>
                <w:color w:val="000000" w:themeColor="text1"/>
                <w:sz w:val="24"/>
                <w:szCs w:val="24"/>
                <w:shd w:val="clear" w:color="auto" w:fill="FFFFFF"/>
              </w:rPr>
              <w:t>且根据</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rPr>
              <w:t>腾冲市</w:t>
            </w:r>
            <w:r>
              <w:rPr>
                <w:rFonts w:hint="eastAsia" w:ascii="宋体" w:hAnsi="宋体" w:eastAsia="宋体" w:cs="宋体"/>
                <w:color w:val="000000" w:themeColor="text1"/>
                <w:sz w:val="24"/>
                <w:lang w:eastAsia="zh-CN"/>
              </w:rPr>
              <w:t>“</w:t>
            </w:r>
            <w:r>
              <w:rPr>
                <w:rFonts w:hint="eastAsia" w:ascii="宋体" w:hAnsi="宋体" w:eastAsia="宋体" w:cs="宋体"/>
                <w:color w:val="000000" w:themeColor="text1"/>
                <w:sz w:val="24"/>
                <w:lang w:val="en-US" w:eastAsia="zh-CN"/>
              </w:rPr>
              <w:t>顺颐府</w:t>
            </w:r>
            <w:r>
              <w:rPr>
                <w:rFonts w:hint="eastAsia" w:ascii="宋体" w:hAnsi="宋体" w:eastAsia="宋体" w:cs="宋体"/>
                <w:color w:val="000000" w:themeColor="text1"/>
                <w:sz w:val="24"/>
                <w:lang w:eastAsia="zh-CN"/>
              </w:rPr>
              <w:t>”</w:t>
            </w:r>
            <w:r>
              <w:rPr>
                <w:rFonts w:hint="eastAsia" w:ascii="Times New Roman" w:hAnsi="Times New Roman" w:cs="Times New Roman"/>
                <w:color w:val="000000" w:themeColor="text1"/>
                <w:sz w:val="24"/>
                <w:lang w:val="en-US" w:eastAsia="zh-CN"/>
              </w:rPr>
              <w:t>住宅</w:t>
            </w:r>
            <w:r>
              <w:rPr>
                <w:rFonts w:hint="default" w:ascii="Times New Roman" w:hAnsi="Times New Roman" w:cs="Times New Roman"/>
                <w:bCs/>
                <w:color w:val="000000" w:themeColor="text1"/>
                <w:sz w:val="24"/>
              </w:rPr>
              <w:t>建设项目</w:t>
            </w:r>
            <w:r>
              <w:rPr>
                <w:rFonts w:hint="eastAsia" w:ascii="Times New Roman" w:hAnsi="Times New Roman" w:cs="Times New Roman"/>
                <w:bCs/>
                <w:color w:val="000000" w:themeColor="text1"/>
                <w:sz w:val="24"/>
                <w:lang w:eastAsia="zh-CN"/>
              </w:rPr>
              <w:t>（</w:t>
            </w:r>
            <w:r>
              <w:rPr>
                <w:rFonts w:hint="eastAsia" w:ascii="Times New Roman" w:hAnsi="Times New Roman" w:cs="Times New Roman"/>
                <w:bCs/>
                <w:color w:val="000000" w:themeColor="text1"/>
                <w:sz w:val="24"/>
                <w:lang w:val="en-US" w:eastAsia="zh-CN"/>
              </w:rPr>
              <w:t>一期</w:t>
            </w:r>
            <w:r>
              <w:rPr>
                <w:rFonts w:hint="eastAsia" w:ascii="Times New Roman" w:hAnsi="Times New Roman" w:cs="Times New Roman"/>
                <w:bCs/>
                <w:color w:val="000000" w:themeColor="text1"/>
                <w:sz w:val="24"/>
                <w:lang w:eastAsia="zh-CN"/>
              </w:rPr>
              <w:t>）</w:t>
            </w:r>
            <w:r>
              <w:rPr>
                <w:rFonts w:hint="default" w:ascii="Times New Roman" w:hAnsi="Times New Roman" w:cs="Times New Roman"/>
                <w:bCs/>
                <w:color w:val="000000" w:themeColor="text1"/>
                <w:sz w:val="24"/>
              </w:rPr>
              <w:t>环境影响报告表</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shd w:val="clear" w:color="auto" w:fill="FFFFFF"/>
              </w:rPr>
              <w:t>要求，</w:t>
            </w:r>
            <w:r>
              <w:rPr>
                <w:rFonts w:ascii="Times New Roman" w:hAnsiTheme="minorEastAsia" w:eastAsiaTheme="minorEastAsia"/>
                <w:color w:val="000000" w:themeColor="text1"/>
                <w:sz w:val="24"/>
                <w:szCs w:val="24"/>
              </w:rPr>
              <w:t>本项目采用</w:t>
            </w:r>
            <w:r>
              <w:rPr>
                <w:rFonts w:ascii="Times New Roman" w:hAnsi="Times New Roman" w:eastAsiaTheme="minorEastAsia"/>
                <w:color w:val="000000" w:themeColor="text1"/>
                <w:sz w:val="24"/>
                <w:szCs w:val="24"/>
              </w:rPr>
              <w:t>“</w:t>
            </w:r>
            <w:r>
              <w:rPr>
                <w:rFonts w:ascii="Times New Roman" w:hAnsiTheme="minorEastAsia" w:eastAsiaTheme="minorEastAsia"/>
                <w:color w:val="000000" w:themeColor="text1"/>
                <w:sz w:val="24"/>
                <w:szCs w:val="24"/>
              </w:rPr>
              <w:t>雨污分流</w:t>
            </w:r>
            <w:r>
              <w:rPr>
                <w:rFonts w:ascii="Times New Roman" w:hAnsi="Times New Roman" w:eastAsiaTheme="minorEastAsia"/>
                <w:color w:val="000000" w:themeColor="text1"/>
                <w:sz w:val="24"/>
                <w:szCs w:val="24"/>
              </w:rPr>
              <w:t>”</w:t>
            </w:r>
            <w:r>
              <w:rPr>
                <w:rFonts w:ascii="Times New Roman" w:hAnsiTheme="minorEastAsia" w:eastAsiaTheme="minorEastAsia"/>
                <w:color w:val="000000" w:themeColor="text1"/>
                <w:sz w:val="24"/>
                <w:szCs w:val="24"/>
              </w:rPr>
              <w:t>排水系统。雨水经收集后外排至室外雨水管网；项目运营期产生的生活污水先经防渗化粪池处理后，排入项目内的污水处理站进行处理</w:t>
            </w:r>
            <w:r>
              <w:rPr>
                <w:rFonts w:ascii="Times New Roman" w:hAnsiTheme="minorEastAsia" w:eastAsiaTheme="minorEastAsia"/>
                <w:color w:val="000000" w:themeColor="text1"/>
                <w:sz w:val="24"/>
              </w:rPr>
              <w:t>达到《城市污水再生利用</w:t>
            </w:r>
            <w:r>
              <w:rPr>
                <w:rFonts w:ascii="Times New Roman" w:hAnsi="Times New Roman" w:eastAsiaTheme="minorEastAsia"/>
                <w:color w:val="000000" w:themeColor="text1"/>
                <w:sz w:val="24"/>
              </w:rPr>
              <w:t xml:space="preserve"> </w:t>
            </w:r>
            <w:r>
              <w:rPr>
                <w:rFonts w:ascii="Times New Roman" w:hAnsiTheme="minorEastAsia" w:eastAsiaTheme="minorEastAsia"/>
                <w:color w:val="000000" w:themeColor="text1"/>
                <w:sz w:val="24"/>
              </w:rPr>
              <w:t>城市杂用水水质》（</w:t>
            </w:r>
            <w:r>
              <w:rPr>
                <w:rFonts w:ascii="Times New Roman" w:hAnsi="Times New Roman" w:eastAsiaTheme="minorEastAsia"/>
                <w:color w:val="000000" w:themeColor="text1"/>
                <w:sz w:val="24"/>
              </w:rPr>
              <w:t>GB/T18920-2002</w:t>
            </w:r>
            <w:r>
              <w:rPr>
                <w:rFonts w:ascii="Times New Roman" w:hAnsiTheme="minorEastAsia" w:eastAsiaTheme="minorEastAsia"/>
                <w:color w:val="000000" w:themeColor="text1"/>
                <w:sz w:val="24"/>
              </w:rPr>
              <w:t>）城市绿化水质标准及</w:t>
            </w:r>
            <w:r>
              <w:rPr>
                <w:rFonts w:ascii="Times New Roman" w:hAnsiTheme="minorEastAsia" w:eastAsiaTheme="minorEastAsia"/>
                <w:bCs/>
                <w:color w:val="000000" w:themeColor="text1"/>
                <w:sz w:val="24"/>
                <w:szCs w:val="24"/>
              </w:rPr>
              <w:t>《城镇污水处理厂污染物排放标准》（</w:t>
            </w:r>
            <w:r>
              <w:rPr>
                <w:rFonts w:ascii="Times New Roman" w:hAnsi="Times New Roman" w:eastAsiaTheme="minorEastAsia"/>
                <w:bCs/>
                <w:color w:val="000000" w:themeColor="text1"/>
                <w:sz w:val="24"/>
                <w:szCs w:val="24"/>
              </w:rPr>
              <w:t>GB18918-2002</w:t>
            </w:r>
            <w:r>
              <w:rPr>
                <w:rFonts w:ascii="Times New Roman" w:hAnsiTheme="minorEastAsia" w:eastAsiaTheme="minorEastAsia"/>
                <w:bCs/>
                <w:color w:val="000000" w:themeColor="text1"/>
                <w:sz w:val="24"/>
                <w:szCs w:val="24"/>
              </w:rPr>
              <w:t>）一级</w:t>
            </w:r>
            <w:r>
              <w:rPr>
                <w:rFonts w:ascii="Times New Roman" w:hAnsi="Times New Roman" w:eastAsiaTheme="minorEastAsia"/>
                <w:bCs/>
                <w:color w:val="000000" w:themeColor="text1"/>
                <w:sz w:val="24"/>
                <w:szCs w:val="24"/>
              </w:rPr>
              <w:t>A</w:t>
            </w:r>
            <w:r>
              <w:rPr>
                <w:rFonts w:ascii="Times New Roman" w:hAnsiTheme="minorEastAsia" w:eastAsiaTheme="minorEastAsia"/>
                <w:bCs/>
                <w:color w:val="000000" w:themeColor="text1"/>
                <w:sz w:val="24"/>
                <w:szCs w:val="24"/>
              </w:rPr>
              <w:t>标准</w:t>
            </w:r>
            <w:r>
              <w:rPr>
                <w:rFonts w:ascii="Times New Roman" w:hAnsiTheme="minorEastAsia" w:eastAsiaTheme="minorEastAsia"/>
                <w:color w:val="000000" w:themeColor="text1"/>
                <w:sz w:val="24"/>
              </w:rPr>
              <w:t>后，排入市政污水管网，最终进入腾冲市污水处理厂。</w:t>
            </w:r>
            <w:r>
              <w:rPr>
                <w:rFonts w:ascii="Times New Roman" w:hAnsiTheme="minorEastAsia" w:eastAsiaTheme="minorEastAsia"/>
                <w:color w:val="000000" w:themeColor="text1"/>
                <w:sz w:val="24"/>
                <w:szCs w:val="24"/>
              </w:rPr>
              <w:t>由于项目主要水污染物为</w:t>
            </w:r>
            <w:r>
              <w:rPr>
                <w:rFonts w:hint="eastAsia" w:ascii="Times New Roman" w:hAnsiTheme="minorEastAsia" w:eastAsiaTheme="minorEastAsia"/>
                <w:color w:val="000000" w:themeColor="text1"/>
                <w:sz w:val="24"/>
                <w:szCs w:val="24"/>
                <w:lang w:eastAsia="zh-CN"/>
              </w:rPr>
              <w:t>生活污水</w:t>
            </w:r>
            <w:r>
              <w:rPr>
                <w:rFonts w:ascii="Times New Roman" w:hAnsiTheme="minorEastAsia" w:eastAsiaTheme="minorEastAsia"/>
                <w:color w:val="000000" w:themeColor="text1"/>
                <w:sz w:val="24"/>
                <w:szCs w:val="24"/>
              </w:rPr>
              <w:t>，最终为腾冲城市污水处理厂受纳，故不设总量控制指标。</w:t>
            </w:r>
          </w:p>
          <w:p w14:paraId="797C018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（2）实际污染物排放量</w:t>
            </w:r>
          </w:p>
          <w:p w14:paraId="746A0DD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根据本单位相关资料，</w:t>
            </w:r>
            <w:r>
              <w:rPr>
                <w:rFonts w:hint="default" w:ascii="Times New Roman" w:hAnsi="Times New Roman" w:cs="Times New Roman"/>
                <w:color w:val="000000" w:themeColor="text1"/>
                <w:sz w:val="24"/>
                <w:szCs w:val="24"/>
                <w:highlight w:val="none"/>
              </w:rPr>
              <w:t>试运行期间，本项目运行负荷为</w:t>
            </w:r>
            <w:r>
              <w:rPr>
                <w:rFonts w:hint="eastAsia" w:ascii="Times New Roman" w:hAnsi="Times New Roman" w:cs="Times New Roman"/>
                <w:color w:val="000000" w:themeColor="text1"/>
                <w:sz w:val="24"/>
                <w:szCs w:val="24"/>
                <w:highlight w:val="none"/>
                <w:lang w:val="en-US" w:eastAsia="zh-CN"/>
              </w:rPr>
              <w:t>9.9</w:t>
            </w:r>
            <w:r>
              <w:rPr>
                <w:rFonts w:hint="default" w:ascii="Times New Roman" w:hAnsi="Times New Roman" w:cs="Times New Roman"/>
                <w:color w:val="000000" w:themeColor="text1"/>
                <w:sz w:val="24"/>
                <w:szCs w:val="24"/>
                <w:highlight w:val="none"/>
              </w:rPr>
              <w:t>%，外排废水量为</w:t>
            </w:r>
            <w:r>
              <w:rPr>
                <w:rFonts w:hint="eastAsia" w:ascii="Times New Roman" w:hAnsi="Times New Roman" w:cs="Times New Roman"/>
                <w:color w:val="000000" w:themeColor="text1"/>
                <w:sz w:val="24"/>
                <w:szCs w:val="24"/>
                <w:highlight w:val="none"/>
                <w:lang w:val="en-US" w:eastAsia="zh-CN"/>
              </w:rPr>
              <w:t>8.5</w:t>
            </w:r>
            <w:r>
              <w:rPr>
                <w:rFonts w:hint="default" w:ascii="Times New Roman" w:hAnsi="Times New Roman" w:cs="Times New Roman"/>
                <w:color w:val="000000" w:themeColor="text1"/>
                <w:kern w:val="18"/>
                <w:sz w:val="24"/>
                <w:szCs w:val="24"/>
                <w:highlight w:val="none"/>
              </w:rPr>
              <w:t>m</w:t>
            </w:r>
            <w:r>
              <w:rPr>
                <w:rFonts w:hint="default" w:ascii="Times New Roman" w:hAnsi="Times New Roman" w:cs="Times New Roman"/>
                <w:color w:val="000000" w:themeColor="text1"/>
                <w:kern w:val="18"/>
                <w:sz w:val="24"/>
                <w:szCs w:val="24"/>
                <w:highlight w:val="none"/>
                <w:vertAlign w:val="superscript"/>
              </w:rPr>
              <w:t>3</w:t>
            </w:r>
            <w:r>
              <w:rPr>
                <w:rFonts w:hint="default" w:ascii="Times New Roman" w:hAnsi="Times New Roman" w:cs="Times New Roman"/>
                <w:color w:val="000000" w:themeColor="text1"/>
                <w:kern w:val="18"/>
                <w:sz w:val="24"/>
                <w:szCs w:val="24"/>
                <w:highlight w:val="none"/>
              </w:rPr>
              <w:t>/d</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3102.5</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3</w:t>
            </w:r>
            <w:r>
              <w:rPr>
                <w:rFonts w:hint="default" w:ascii="Times New Roman" w:hAnsi="Times New Roman" w:cs="Times New Roman"/>
                <w:color w:val="000000" w:themeColor="text1"/>
                <w:sz w:val="24"/>
                <w:szCs w:val="24"/>
                <w:highlight w:val="none"/>
              </w:rPr>
              <w:t>/a；</w:t>
            </w:r>
            <w:r>
              <w:rPr>
                <w:rFonts w:hint="default" w:ascii="Times New Roman" w:hAnsi="Times New Roman" w:cs="Times New Roman"/>
                <w:color w:val="000000" w:themeColor="text1"/>
                <w:sz w:val="24"/>
                <w:szCs w:val="24"/>
              </w:rPr>
              <w:t>根据废水监测结果，项目COD</w:t>
            </w:r>
            <w:r>
              <w:rPr>
                <w:rFonts w:hint="default" w:ascii="Times New Roman" w:hAnsi="Times New Roman" w:cs="Times New Roman"/>
                <w:color w:val="000000" w:themeColor="text1"/>
                <w:sz w:val="24"/>
                <w:szCs w:val="24"/>
                <w:vertAlign w:val="subscript"/>
              </w:rPr>
              <w:t>Cr</w:t>
            </w:r>
            <w:r>
              <w:rPr>
                <w:rFonts w:hint="default" w:ascii="Times New Roman" w:hAnsi="Times New Roman" w:cs="Times New Roman"/>
                <w:color w:val="000000" w:themeColor="text1"/>
                <w:sz w:val="24"/>
                <w:szCs w:val="24"/>
              </w:rPr>
              <w:t>、SS、氨氮、BOD</w:t>
            </w:r>
            <w:r>
              <w:rPr>
                <w:rFonts w:hint="default" w:ascii="Times New Roman" w:hAnsi="Times New Roman" w:cs="Times New Roman"/>
                <w:color w:val="000000" w:themeColor="text1"/>
                <w:sz w:val="24"/>
                <w:szCs w:val="24"/>
                <w:vertAlign w:val="subscript"/>
              </w:rPr>
              <w:t>5</w:t>
            </w:r>
            <w:r>
              <w:rPr>
                <w:rFonts w:hint="default" w:ascii="Times New Roman" w:hAnsi="Times New Roman" w:cs="Times New Roman"/>
                <w:color w:val="000000" w:themeColor="text1"/>
                <w:sz w:val="24"/>
                <w:szCs w:val="24"/>
              </w:rPr>
              <w:t>最大排放浓度分别为</w:t>
            </w:r>
            <w:r>
              <w:rPr>
                <w:rFonts w:hint="eastAsia" w:ascii="Times New Roman" w:hAnsi="Times New Roman" w:cs="Times New Roman"/>
                <w:color w:val="000000" w:themeColor="text1"/>
                <w:sz w:val="24"/>
                <w:szCs w:val="24"/>
                <w:highlight w:val="none"/>
                <w:lang w:val="en-US" w:eastAsia="zh-CN"/>
              </w:rPr>
              <w:t>48</w:t>
            </w:r>
            <w:r>
              <w:rPr>
                <w:rFonts w:hint="default" w:ascii="Times New Roman" w:hAnsi="Times New Roman" w:cs="Times New Roman"/>
                <w:color w:val="000000" w:themeColor="text1"/>
                <w:sz w:val="24"/>
                <w:szCs w:val="24"/>
                <w:highlight w:val="none"/>
              </w:rPr>
              <w:t>mg/L、</w:t>
            </w:r>
            <w:r>
              <w:rPr>
                <w:rFonts w:hint="default"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mg/L、4.</w:t>
            </w:r>
            <w:r>
              <w:rPr>
                <w:rFonts w:hint="eastAsia" w:ascii="Times New Roman" w:hAnsi="Times New Roman" w:cs="Times New Roman"/>
                <w:color w:val="000000" w:themeColor="text1"/>
                <w:sz w:val="24"/>
                <w:szCs w:val="24"/>
                <w:highlight w:val="none"/>
                <w:lang w:val="en-US" w:eastAsia="zh-CN"/>
              </w:rPr>
              <w:t>1</w:t>
            </w:r>
            <w:r>
              <w:rPr>
                <w:rFonts w:hint="default" w:ascii="Times New Roman" w:hAnsi="Times New Roman" w:cs="Times New Roman"/>
                <w:color w:val="000000" w:themeColor="text1"/>
                <w:sz w:val="24"/>
                <w:szCs w:val="24"/>
                <w:highlight w:val="none"/>
              </w:rPr>
              <w:t>3mg/L、</w:t>
            </w:r>
            <w:r>
              <w:rPr>
                <w:rFonts w:hint="eastAsia" w:ascii="Times New Roman" w:hAnsi="Times New Roman" w:cs="Times New Roman"/>
                <w:color w:val="000000" w:themeColor="text1"/>
                <w:sz w:val="24"/>
                <w:szCs w:val="24"/>
                <w:highlight w:val="none"/>
                <w:lang w:val="en-US" w:eastAsia="zh-CN"/>
              </w:rPr>
              <w:t>9.3</w:t>
            </w:r>
            <w:r>
              <w:rPr>
                <w:rFonts w:hint="default" w:ascii="Times New Roman" w:hAnsi="Times New Roman" w:cs="Times New Roman"/>
                <w:color w:val="000000" w:themeColor="text1"/>
                <w:sz w:val="24"/>
                <w:szCs w:val="24"/>
                <w:highlight w:val="none"/>
              </w:rPr>
              <w:t>mg/L</w:t>
            </w:r>
            <w:r>
              <w:rPr>
                <w:rFonts w:hint="default" w:ascii="Times New Roman" w:hAnsi="Times New Roman" w:cs="Times New Roman"/>
                <w:color w:val="000000" w:themeColor="text1"/>
                <w:sz w:val="24"/>
                <w:szCs w:val="24"/>
              </w:rPr>
              <w:t>。</w:t>
            </w:r>
          </w:p>
          <w:p w14:paraId="486710A7">
            <w:pPr>
              <w:spacing w:line="360" w:lineRule="auto"/>
              <w:ind w:firstLine="480" w:firstLineChars="200"/>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sz w:val="24"/>
                <w:szCs w:val="24"/>
              </w:rPr>
              <w:t>因此，根据项目实际运行负荷、排水量及排放浓度，对本项目当前实际排放量及满负荷运行时排放量进行核算，具体核算结果见表7-6。</w:t>
            </w:r>
          </w:p>
          <w:p w14:paraId="670E8E0B">
            <w:pPr>
              <w:ind w:firstLine="482"/>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表7-6废水污染物实际排放总量</w:t>
            </w:r>
          </w:p>
          <w:tbl>
            <w:tblPr>
              <w:tblStyle w:val="3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9"/>
              <w:gridCol w:w="1408"/>
              <w:gridCol w:w="1081"/>
              <w:gridCol w:w="1072"/>
              <w:gridCol w:w="1044"/>
              <w:gridCol w:w="920"/>
            </w:tblGrid>
            <w:tr w14:paraId="0D0D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979" w:type="dxa"/>
                  <w:tcBorders>
                    <w:tl2br w:val="single" w:color="auto" w:sz="4" w:space="0"/>
                  </w:tcBorders>
                  <w:vAlign w:val="center"/>
                </w:tcPr>
                <w:p w14:paraId="0136D8E6">
                  <w:pPr>
                    <w:spacing w:line="276" w:lineRule="auto"/>
                    <w:jc w:val="right"/>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控制指标</w:t>
                  </w:r>
                </w:p>
                <w:p w14:paraId="598DF484">
                  <w:pPr>
                    <w:spacing w:line="276" w:lineRule="auto"/>
                    <w:jc w:val="left"/>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项目</w:t>
                  </w:r>
                </w:p>
              </w:tc>
              <w:tc>
                <w:tcPr>
                  <w:tcW w:w="1408" w:type="dxa"/>
                  <w:vAlign w:val="center"/>
                </w:tcPr>
                <w:p w14:paraId="15D6FBEA">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废水（m</w:t>
                  </w:r>
                  <w:r>
                    <w:rPr>
                      <w:rFonts w:hint="default" w:ascii="Times New Roman" w:hAnsi="Times New Roman" w:cs="Times New Roman"/>
                      <w:b/>
                      <w:bCs/>
                      <w:color w:val="000000" w:themeColor="text1"/>
                      <w:szCs w:val="21"/>
                      <w:highlight w:val="none"/>
                      <w:vertAlign w:val="superscript"/>
                    </w:rPr>
                    <w:t>3</w:t>
                  </w:r>
                  <w:r>
                    <w:rPr>
                      <w:rFonts w:hint="default" w:ascii="Times New Roman" w:hAnsi="Times New Roman" w:cs="Times New Roman"/>
                      <w:b/>
                      <w:bCs/>
                      <w:color w:val="000000" w:themeColor="text1"/>
                      <w:szCs w:val="21"/>
                      <w:highlight w:val="none"/>
                    </w:rPr>
                    <w:t>/a）</w:t>
                  </w:r>
                </w:p>
              </w:tc>
              <w:tc>
                <w:tcPr>
                  <w:tcW w:w="1081" w:type="dxa"/>
                  <w:vAlign w:val="center"/>
                </w:tcPr>
                <w:p w14:paraId="13463775">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COD</w:t>
                  </w:r>
                  <w:r>
                    <w:rPr>
                      <w:rFonts w:hint="default" w:ascii="Times New Roman" w:hAnsi="Times New Roman" w:cs="Times New Roman"/>
                      <w:b/>
                      <w:bCs/>
                      <w:color w:val="000000" w:themeColor="text1"/>
                      <w:szCs w:val="21"/>
                      <w:highlight w:val="none"/>
                      <w:vertAlign w:val="subscript"/>
                    </w:rPr>
                    <w:t>Cr</w:t>
                  </w:r>
                </w:p>
              </w:tc>
              <w:tc>
                <w:tcPr>
                  <w:tcW w:w="1072" w:type="dxa"/>
                  <w:vAlign w:val="center"/>
                </w:tcPr>
                <w:p w14:paraId="4D9C3155">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SS</w:t>
                  </w:r>
                </w:p>
              </w:tc>
              <w:tc>
                <w:tcPr>
                  <w:tcW w:w="1044" w:type="dxa"/>
                  <w:vAlign w:val="center"/>
                </w:tcPr>
                <w:p w14:paraId="2E6BFCE9">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氨氮</w:t>
                  </w:r>
                </w:p>
              </w:tc>
              <w:tc>
                <w:tcPr>
                  <w:tcW w:w="920" w:type="dxa"/>
                  <w:vAlign w:val="center"/>
                </w:tcPr>
                <w:p w14:paraId="312102EB">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BOD</w:t>
                  </w:r>
                  <w:r>
                    <w:rPr>
                      <w:rFonts w:hint="default" w:ascii="Times New Roman" w:hAnsi="Times New Roman" w:cs="Times New Roman"/>
                      <w:b/>
                      <w:bCs/>
                      <w:color w:val="000000" w:themeColor="text1"/>
                      <w:szCs w:val="21"/>
                      <w:highlight w:val="none"/>
                      <w:vertAlign w:val="subscript"/>
                    </w:rPr>
                    <w:t>5</w:t>
                  </w:r>
                </w:p>
              </w:tc>
            </w:tr>
            <w:tr w14:paraId="6F8E0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979" w:type="dxa"/>
                  <w:vAlign w:val="center"/>
                </w:tcPr>
                <w:p w14:paraId="1998A7EF">
                  <w:pPr>
                    <w:spacing w:line="276" w:lineRule="auto"/>
                    <w:jc w:val="center"/>
                    <w:rPr>
                      <w:rFonts w:hint="eastAsia" w:ascii="Times New Roman" w:hAnsi="Times New Roman" w:eastAsia="宋体" w:cs="Times New Roman"/>
                      <w:color w:val="000000" w:themeColor="text1"/>
                      <w:szCs w:val="21"/>
                      <w:highlight w:val="none"/>
                      <w:lang w:eastAsia="zh-CN"/>
                    </w:rPr>
                  </w:pPr>
                  <w:r>
                    <w:rPr>
                      <w:rFonts w:hint="default" w:ascii="Times New Roman" w:hAnsi="Times New Roman" w:cs="Times New Roman"/>
                      <w:color w:val="000000" w:themeColor="text1"/>
                      <w:szCs w:val="21"/>
                      <w:highlight w:val="none"/>
                    </w:rPr>
                    <w:t>排放浓度</w:t>
                  </w:r>
                  <w:r>
                    <w:rPr>
                      <w:rFonts w:hint="eastAsia" w:ascii="Times New Roman" w:hAnsi="Times New Roman" w:cs="Times New Roman"/>
                      <w:color w:val="000000" w:themeColor="text1"/>
                      <w:szCs w:val="21"/>
                      <w:highlight w:val="none"/>
                      <w:lang w:eastAsia="zh-CN"/>
                    </w:rPr>
                    <w:t>（</w:t>
                  </w:r>
                  <w:r>
                    <w:rPr>
                      <w:rFonts w:hint="eastAsia" w:ascii="Times New Roman" w:hAnsi="Times New Roman" w:cs="Times New Roman"/>
                      <w:color w:val="000000" w:themeColor="text1"/>
                      <w:szCs w:val="21"/>
                      <w:highlight w:val="none"/>
                      <w:lang w:val="en-US" w:eastAsia="zh-CN"/>
                    </w:rPr>
                    <w:t>mg/L</w:t>
                  </w:r>
                  <w:r>
                    <w:rPr>
                      <w:rFonts w:hint="eastAsia" w:ascii="Times New Roman" w:hAnsi="Times New Roman" w:cs="Times New Roman"/>
                      <w:color w:val="000000" w:themeColor="text1"/>
                      <w:szCs w:val="21"/>
                      <w:highlight w:val="none"/>
                      <w:lang w:eastAsia="zh-CN"/>
                    </w:rPr>
                    <w:t>）</w:t>
                  </w:r>
                </w:p>
              </w:tc>
              <w:tc>
                <w:tcPr>
                  <w:tcW w:w="1408" w:type="dxa"/>
                  <w:vAlign w:val="center"/>
                </w:tcPr>
                <w:p w14:paraId="7FF53E3B">
                  <w:pPr>
                    <w:spacing w:line="276" w:lineRule="auto"/>
                    <w:jc w:val="center"/>
                    <w:rPr>
                      <w:rFonts w:hint="default" w:ascii="Times New Roman" w:hAnsi="Times New Roman" w:cs="Times New Roman"/>
                      <w:color w:val="000000" w:themeColor="text1"/>
                      <w:szCs w:val="21"/>
                      <w:highlight w:val="none"/>
                    </w:rPr>
                  </w:pPr>
                  <w:r>
                    <w:rPr>
                      <w:rFonts w:hint="default" w:ascii="Times New Roman" w:hAnsi="Times New Roman" w:cs="Times New Roman"/>
                      <w:color w:val="000000" w:themeColor="text1"/>
                      <w:szCs w:val="21"/>
                      <w:highlight w:val="none"/>
                    </w:rPr>
                    <w:t>—</w:t>
                  </w:r>
                </w:p>
              </w:tc>
              <w:tc>
                <w:tcPr>
                  <w:tcW w:w="1081" w:type="dxa"/>
                  <w:vAlign w:val="center"/>
                </w:tcPr>
                <w:p w14:paraId="3F47DB1D">
                  <w:pPr>
                    <w:spacing w:line="276"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Cs w:val="21"/>
                      <w:highlight w:val="none"/>
                      <w:lang w:val="en-US" w:eastAsia="zh-CN"/>
                    </w:rPr>
                    <w:t>48</w:t>
                  </w:r>
                </w:p>
              </w:tc>
              <w:tc>
                <w:tcPr>
                  <w:tcW w:w="1072" w:type="dxa"/>
                  <w:vAlign w:val="center"/>
                </w:tcPr>
                <w:p w14:paraId="34BF39D8">
                  <w:pPr>
                    <w:spacing w:line="276"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Cs w:val="21"/>
                      <w:highlight w:val="none"/>
                      <w:lang w:val="en-US" w:eastAsia="zh-CN"/>
                    </w:rPr>
                    <w:t>9</w:t>
                  </w:r>
                </w:p>
              </w:tc>
              <w:tc>
                <w:tcPr>
                  <w:tcW w:w="1044" w:type="dxa"/>
                  <w:vAlign w:val="center"/>
                </w:tcPr>
                <w:p w14:paraId="713758C3">
                  <w:pPr>
                    <w:spacing w:line="276"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Cs w:val="21"/>
                      <w:highlight w:val="none"/>
                      <w:lang w:val="en-US" w:eastAsia="zh-CN"/>
                    </w:rPr>
                    <w:t>4.</w:t>
                  </w:r>
                  <w:r>
                    <w:rPr>
                      <w:rFonts w:hint="eastAsia" w:ascii="Times New Roman" w:hAnsi="Times New Roman" w:cs="Times New Roman"/>
                      <w:color w:val="000000" w:themeColor="text1"/>
                      <w:szCs w:val="21"/>
                      <w:highlight w:val="none"/>
                      <w:lang w:val="en-US" w:eastAsia="zh-CN"/>
                    </w:rPr>
                    <w:t>13</w:t>
                  </w:r>
                </w:p>
              </w:tc>
              <w:tc>
                <w:tcPr>
                  <w:tcW w:w="920" w:type="dxa"/>
                  <w:vAlign w:val="center"/>
                </w:tcPr>
                <w:p w14:paraId="7A2A139C">
                  <w:pPr>
                    <w:spacing w:line="276"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Cs w:val="21"/>
                      <w:highlight w:val="none"/>
                      <w:lang w:val="en-US" w:eastAsia="zh-CN"/>
                    </w:rPr>
                    <w:t>9.3</w:t>
                  </w:r>
                </w:p>
              </w:tc>
            </w:tr>
            <w:tr w14:paraId="5D33D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2979" w:type="dxa"/>
                  <w:vAlign w:val="center"/>
                </w:tcPr>
                <w:p w14:paraId="333EA30C">
                  <w:pPr>
                    <w:spacing w:line="276" w:lineRule="auto"/>
                    <w:jc w:val="center"/>
                    <w:rPr>
                      <w:rFonts w:hint="eastAsia" w:ascii="Times New Roman" w:hAnsi="Times New Roman" w:eastAsia="宋体" w:cs="Times New Roman"/>
                      <w:color w:val="000000" w:themeColor="text1"/>
                      <w:szCs w:val="21"/>
                      <w:highlight w:val="none"/>
                      <w:lang w:eastAsia="zh-CN"/>
                    </w:rPr>
                  </w:pPr>
                  <w:r>
                    <w:rPr>
                      <w:rFonts w:hint="default" w:ascii="Times New Roman" w:hAnsi="Times New Roman" w:cs="Times New Roman"/>
                      <w:color w:val="000000" w:themeColor="text1"/>
                      <w:szCs w:val="21"/>
                      <w:highlight w:val="none"/>
                    </w:rPr>
                    <w:t>试运行期间实际排放量</w:t>
                  </w:r>
                  <w:r>
                    <w:rPr>
                      <w:rFonts w:hint="eastAsia" w:ascii="Times New Roman" w:hAnsi="Times New Roman" w:cs="Times New Roman"/>
                      <w:color w:val="000000" w:themeColor="text1"/>
                      <w:szCs w:val="21"/>
                      <w:highlight w:val="none"/>
                      <w:lang w:eastAsia="zh-CN"/>
                    </w:rPr>
                    <w:t>（</w:t>
                  </w:r>
                  <w:r>
                    <w:rPr>
                      <w:rFonts w:hint="eastAsia" w:ascii="Times New Roman" w:hAnsi="Times New Roman" w:cs="Times New Roman"/>
                      <w:color w:val="000000" w:themeColor="text1"/>
                      <w:szCs w:val="21"/>
                      <w:highlight w:val="none"/>
                      <w:lang w:val="en-US" w:eastAsia="zh-CN"/>
                    </w:rPr>
                    <w:t>kg/a</w:t>
                  </w:r>
                  <w:r>
                    <w:rPr>
                      <w:rFonts w:hint="eastAsia" w:ascii="Times New Roman" w:hAnsi="Times New Roman" w:cs="Times New Roman"/>
                      <w:color w:val="000000" w:themeColor="text1"/>
                      <w:szCs w:val="21"/>
                      <w:highlight w:val="none"/>
                      <w:lang w:eastAsia="zh-CN"/>
                    </w:rPr>
                    <w:t>）</w:t>
                  </w:r>
                </w:p>
              </w:tc>
              <w:tc>
                <w:tcPr>
                  <w:tcW w:w="1408" w:type="dxa"/>
                  <w:vAlign w:val="center"/>
                </w:tcPr>
                <w:p w14:paraId="04410E24">
                  <w:pPr>
                    <w:spacing w:line="276" w:lineRule="auto"/>
                    <w:jc w:val="center"/>
                    <w:rPr>
                      <w:rFonts w:hint="default" w:ascii="Times New Roman" w:hAnsi="Times New Roman" w:eastAsia="宋体" w:cs="Times New Roman"/>
                      <w:color w:val="000000" w:themeColor="text1"/>
                      <w:szCs w:val="21"/>
                      <w:highlight w:val="yellow"/>
                      <w:lang w:val="en-US" w:eastAsia="zh-CN"/>
                    </w:rPr>
                  </w:pPr>
                  <w:r>
                    <w:rPr>
                      <w:rFonts w:hint="eastAsia" w:ascii="Times New Roman" w:hAnsi="Times New Roman" w:cs="Times New Roman"/>
                      <w:color w:val="000000" w:themeColor="text1"/>
                      <w:szCs w:val="21"/>
                      <w:highlight w:val="none"/>
                      <w:lang w:val="en-US" w:eastAsia="zh-CN"/>
                    </w:rPr>
                    <w:t>3102.5</w:t>
                  </w:r>
                </w:p>
              </w:tc>
              <w:tc>
                <w:tcPr>
                  <w:tcW w:w="1081" w:type="dxa"/>
                  <w:vAlign w:val="center"/>
                </w:tcPr>
                <w:p w14:paraId="771F48AD">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148.92</w:t>
                  </w:r>
                </w:p>
              </w:tc>
              <w:tc>
                <w:tcPr>
                  <w:tcW w:w="1072" w:type="dxa"/>
                  <w:vAlign w:val="center"/>
                </w:tcPr>
                <w:p w14:paraId="0E1122EF">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27.92</w:t>
                  </w:r>
                </w:p>
              </w:tc>
              <w:tc>
                <w:tcPr>
                  <w:tcW w:w="1044" w:type="dxa"/>
                  <w:vAlign w:val="center"/>
                </w:tcPr>
                <w:p w14:paraId="2D1DC996">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12.81</w:t>
                  </w:r>
                </w:p>
              </w:tc>
              <w:tc>
                <w:tcPr>
                  <w:tcW w:w="920" w:type="dxa"/>
                  <w:vAlign w:val="center"/>
                </w:tcPr>
                <w:p w14:paraId="213585E8">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28.85</w:t>
                  </w:r>
                </w:p>
              </w:tc>
            </w:tr>
            <w:tr w14:paraId="31399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2979" w:type="dxa"/>
                  <w:vAlign w:val="center"/>
                </w:tcPr>
                <w:p w14:paraId="23CEA515">
                  <w:pPr>
                    <w:spacing w:line="276" w:lineRule="auto"/>
                    <w:jc w:val="center"/>
                    <w:rPr>
                      <w:rFonts w:hint="eastAsia" w:ascii="Times New Roman" w:hAnsi="Times New Roman" w:eastAsia="宋体" w:cs="Times New Roman"/>
                      <w:color w:val="000000" w:themeColor="text1"/>
                      <w:szCs w:val="21"/>
                      <w:highlight w:val="none"/>
                      <w:lang w:eastAsia="zh-CN"/>
                    </w:rPr>
                  </w:pPr>
                  <w:r>
                    <w:rPr>
                      <w:rFonts w:hint="default" w:ascii="Times New Roman" w:hAnsi="Times New Roman" w:cs="Times New Roman"/>
                      <w:color w:val="000000" w:themeColor="text1"/>
                      <w:szCs w:val="21"/>
                      <w:highlight w:val="none"/>
                    </w:rPr>
                    <w:t>满负荷运行排放量</w:t>
                  </w:r>
                  <w:r>
                    <w:rPr>
                      <w:rFonts w:hint="eastAsia" w:ascii="Times New Roman" w:hAnsi="Times New Roman" w:cs="Times New Roman"/>
                      <w:color w:val="000000" w:themeColor="text1"/>
                      <w:szCs w:val="21"/>
                      <w:highlight w:val="none"/>
                      <w:lang w:eastAsia="zh-CN"/>
                    </w:rPr>
                    <w:t>（</w:t>
                  </w:r>
                  <w:r>
                    <w:rPr>
                      <w:rFonts w:hint="eastAsia" w:ascii="Times New Roman" w:hAnsi="Times New Roman" w:cs="Times New Roman"/>
                      <w:color w:val="000000" w:themeColor="text1"/>
                      <w:szCs w:val="21"/>
                      <w:highlight w:val="none"/>
                      <w:lang w:val="en-US" w:eastAsia="zh-CN"/>
                    </w:rPr>
                    <w:t>t/a</w:t>
                  </w:r>
                  <w:r>
                    <w:rPr>
                      <w:rFonts w:hint="eastAsia" w:ascii="Times New Roman" w:hAnsi="Times New Roman" w:cs="Times New Roman"/>
                      <w:color w:val="000000" w:themeColor="text1"/>
                      <w:szCs w:val="21"/>
                      <w:highlight w:val="none"/>
                      <w:lang w:eastAsia="zh-CN"/>
                    </w:rPr>
                    <w:t>）</w:t>
                  </w:r>
                </w:p>
              </w:tc>
              <w:tc>
                <w:tcPr>
                  <w:tcW w:w="1408" w:type="dxa"/>
                  <w:vAlign w:val="center"/>
                </w:tcPr>
                <w:p w14:paraId="3463D5E7">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31338.38</w:t>
                  </w:r>
                </w:p>
              </w:tc>
              <w:tc>
                <w:tcPr>
                  <w:tcW w:w="1081" w:type="dxa"/>
                  <w:vAlign w:val="center"/>
                </w:tcPr>
                <w:p w14:paraId="14A73D93">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1.504</w:t>
                  </w:r>
                </w:p>
              </w:tc>
              <w:tc>
                <w:tcPr>
                  <w:tcW w:w="1072" w:type="dxa"/>
                  <w:vAlign w:val="center"/>
                </w:tcPr>
                <w:p w14:paraId="0F4A4289">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0.282</w:t>
                  </w:r>
                </w:p>
              </w:tc>
              <w:tc>
                <w:tcPr>
                  <w:tcW w:w="1044" w:type="dxa"/>
                  <w:vAlign w:val="center"/>
                </w:tcPr>
                <w:p w14:paraId="674E89CD">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0.129</w:t>
                  </w:r>
                </w:p>
              </w:tc>
              <w:tc>
                <w:tcPr>
                  <w:tcW w:w="920" w:type="dxa"/>
                  <w:vAlign w:val="center"/>
                </w:tcPr>
                <w:p w14:paraId="43F5706B">
                  <w:pPr>
                    <w:tabs>
                      <w:tab w:val="left" w:pos="346"/>
                    </w:tabs>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0.291</w:t>
                  </w:r>
                </w:p>
              </w:tc>
            </w:tr>
          </w:tbl>
          <w:p w14:paraId="13912C2D">
            <w:pPr>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rPr>
              <w:t>根据表7-</w:t>
            </w:r>
            <w:r>
              <w:rPr>
                <w:rFonts w:hint="eastAsia" w:ascii="Times New Roman" w:hAnsi="Times New Roman" w:cs="Times New Roman"/>
                <w:color w:val="000000" w:themeColor="text1"/>
                <w:sz w:val="24"/>
                <w:szCs w:val="24"/>
                <w:lang w:val="en-US" w:eastAsia="zh-CN"/>
              </w:rPr>
              <w:t>6</w:t>
            </w:r>
            <w:r>
              <w:rPr>
                <w:rFonts w:hint="default" w:ascii="Times New Roman" w:hAnsi="Times New Roman" w:cs="Times New Roman"/>
                <w:color w:val="000000" w:themeColor="text1"/>
                <w:sz w:val="24"/>
                <w:szCs w:val="24"/>
              </w:rPr>
              <w:t>核实结果可知，项目满负荷运行时，排放的废水中化学需氧量、SS、氨氮、BOD</w:t>
            </w:r>
            <w:r>
              <w:rPr>
                <w:rFonts w:hint="default" w:ascii="Times New Roman" w:hAnsi="Times New Roman" w:cs="Times New Roman"/>
                <w:color w:val="000000" w:themeColor="text1"/>
                <w:sz w:val="24"/>
                <w:szCs w:val="24"/>
                <w:vertAlign w:val="subscript"/>
              </w:rPr>
              <w:t>5</w:t>
            </w:r>
            <w:r>
              <w:rPr>
                <w:rFonts w:hint="default" w:ascii="Times New Roman" w:hAnsi="Times New Roman" w:cs="Times New Roman"/>
                <w:color w:val="000000" w:themeColor="text1"/>
                <w:sz w:val="24"/>
                <w:szCs w:val="24"/>
              </w:rPr>
              <w:t>排放量分别</w:t>
            </w:r>
            <w:r>
              <w:rPr>
                <w:rFonts w:hint="default" w:ascii="Times New Roman" w:hAnsi="Times New Roman" w:cs="Times New Roman"/>
                <w:color w:val="000000" w:themeColor="text1"/>
                <w:sz w:val="24"/>
                <w:szCs w:val="24"/>
                <w:highlight w:val="none"/>
              </w:rPr>
              <w:t>为</w:t>
            </w:r>
            <w:r>
              <w:rPr>
                <w:rFonts w:hint="eastAsia" w:ascii="Times New Roman" w:hAnsi="Times New Roman" w:cs="Times New Roman"/>
                <w:color w:val="000000" w:themeColor="text1"/>
                <w:sz w:val="24"/>
                <w:szCs w:val="24"/>
                <w:highlight w:val="none"/>
                <w:lang w:val="en-US" w:eastAsia="zh-CN"/>
              </w:rPr>
              <w:t>1.504</w:t>
            </w:r>
            <w:r>
              <w:rPr>
                <w:rFonts w:hint="default" w:ascii="Times New Roman" w:hAnsi="Times New Roman" w:cs="Times New Roman"/>
                <w:color w:val="000000" w:themeColor="text1"/>
                <w:sz w:val="24"/>
                <w:szCs w:val="24"/>
                <w:highlight w:val="none"/>
              </w:rPr>
              <w:t>t/a、</w:t>
            </w:r>
            <w:r>
              <w:rPr>
                <w:rFonts w:hint="eastAsia" w:ascii="Times New Roman" w:hAnsi="Times New Roman" w:cs="Times New Roman"/>
                <w:color w:val="000000" w:themeColor="text1"/>
                <w:sz w:val="24"/>
                <w:szCs w:val="24"/>
                <w:highlight w:val="none"/>
                <w:lang w:val="en-US" w:eastAsia="zh-CN"/>
              </w:rPr>
              <w:t>0.282</w:t>
            </w:r>
            <w:r>
              <w:rPr>
                <w:rFonts w:hint="default" w:ascii="Times New Roman" w:hAnsi="Times New Roman" w:cs="Times New Roman"/>
                <w:color w:val="000000" w:themeColor="text1"/>
                <w:sz w:val="24"/>
                <w:szCs w:val="24"/>
                <w:highlight w:val="none"/>
              </w:rPr>
              <w:t>t/a、</w:t>
            </w:r>
            <w:r>
              <w:rPr>
                <w:rFonts w:hint="eastAsia" w:ascii="Times New Roman" w:hAnsi="Times New Roman" w:cs="Times New Roman"/>
                <w:color w:val="000000" w:themeColor="text1"/>
                <w:sz w:val="24"/>
                <w:szCs w:val="24"/>
                <w:highlight w:val="none"/>
                <w:lang w:val="en-US" w:eastAsia="zh-CN"/>
              </w:rPr>
              <w:t>0.129</w:t>
            </w:r>
            <w:r>
              <w:rPr>
                <w:rFonts w:hint="default" w:ascii="Times New Roman" w:hAnsi="Times New Roman" w:cs="Times New Roman"/>
                <w:color w:val="000000" w:themeColor="text1"/>
                <w:sz w:val="24"/>
                <w:szCs w:val="24"/>
                <w:highlight w:val="none"/>
              </w:rPr>
              <w:t>t/a、</w:t>
            </w:r>
            <w:r>
              <w:rPr>
                <w:rFonts w:hint="eastAsia" w:ascii="Times New Roman" w:hAnsi="Times New Roman" w:cs="Times New Roman"/>
                <w:color w:val="000000" w:themeColor="text1"/>
                <w:sz w:val="24"/>
                <w:szCs w:val="24"/>
                <w:highlight w:val="none"/>
                <w:lang w:val="en-US" w:eastAsia="zh-CN"/>
              </w:rPr>
              <w:t>0.291</w:t>
            </w:r>
            <w:r>
              <w:rPr>
                <w:rFonts w:hint="default" w:ascii="Times New Roman" w:hAnsi="Times New Roman" w:cs="Times New Roman"/>
                <w:color w:val="000000" w:themeColor="text1"/>
                <w:sz w:val="24"/>
                <w:szCs w:val="24"/>
                <w:highlight w:val="none"/>
              </w:rPr>
              <w:t>t/a。</w:t>
            </w:r>
          </w:p>
          <w:p w14:paraId="0310665A">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shd w:val="clear" w:color="auto" w:fill="FFFFFF"/>
              </w:rPr>
              <w:t>根据验收调查及监测结果可知</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highlight w:val="none"/>
              </w:rPr>
              <w:t>项目产生的</w:t>
            </w:r>
            <w:r>
              <w:rPr>
                <w:rFonts w:hint="default" w:ascii="Times New Roman" w:hAnsi="Times New Roman" w:cs="Times New Roman"/>
                <w:color w:val="000000" w:themeColor="text1"/>
                <w:sz w:val="24"/>
                <w:szCs w:val="24"/>
                <w:highlight w:val="none"/>
                <w:lang w:val="en-US" w:eastAsia="zh-CN"/>
              </w:rPr>
              <w:t>生活</w:t>
            </w:r>
            <w:r>
              <w:rPr>
                <w:rFonts w:hint="default" w:ascii="Times New Roman" w:hAnsi="Times New Roman" w:cs="Times New Roman"/>
                <w:color w:val="000000" w:themeColor="text1"/>
                <w:sz w:val="24"/>
                <w:szCs w:val="24"/>
                <w:highlight w:val="none"/>
              </w:rPr>
              <w:t>污水排入防渗化粪池处理，再排入</w:t>
            </w: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水处理站处理</w:t>
            </w:r>
            <w:r>
              <w:rPr>
                <w:rFonts w:hint="default" w:ascii="Times New Roman" w:hAnsi="Times New Roman" w:cs="Times New Roman"/>
                <w:color w:val="000000" w:themeColor="text1"/>
                <w:sz w:val="24"/>
                <w:highlight w:val="none"/>
              </w:rPr>
              <w:t>达到</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rPr>
              <w:t>城市污水再生利用城市杂用水水质》（GB/T18920-20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w:t>
            </w:r>
            <w:r>
              <w:rPr>
                <w:rFonts w:hint="default" w:ascii="Times New Roman" w:hAnsi="Times New Roman" w:cs="Times New Roman"/>
                <w:color w:val="000000" w:themeColor="text1"/>
                <w:sz w:val="24"/>
              </w:rPr>
              <w:t>后，排入市政污水管网，最</w:t>
            </w:r>
            <w:r>
              <w:rPr>
                <w:rFonts w:hint="default" w:ascii="Times New Roman" w:hAnsi="Times New Roman" w:cs="Times New Roman"/>
                <w:color w:val="000000" w:themeColor="text1"/>
                <w:kern w:val="18"/>
                <w:sz w:val="24"/>
                <w:szCs w:val="24"/>
              </w:rPr>
              <w:t>终排入腾冲市污水处理厂</w:t>
            </w:r>
            <w:r>
              <w:rPr>
                <w:rFonts w:hint="default" w:ascii="Times New Roman" w:hAnsi="Times New Roman" w:cs="Times New Roman"/>
                <w:bCs/>
                <w:color w:val="000000" w:themeColor="text1"/>
                <w:sz w:val="24"/>
              </w:rPr>
              <w:t>，</w:t>
            </w:r>
            <w:r>
              <w:rPr>
                <w:rFonts w:hint="default" w:ascii="Times New Roman" w:hAnsi="Times New Roman" w:cs="Times New Roman"/>
                <w:color w:val="000000" w:themeColor="text1"/>
                <w:sz w:val="24"/>
              </w:rPr>
              <w:t>其总量不计入本项目。因此本项目实际污染物排放总量控制与环评一致，不设置总量控制指标。满足环评报告中相关要求。</w:t>
            </w:r>
          </w:p>
          <w:p w14:paraId="03AAE215">
            <w:pPr>
              <w:spacing w:line="360" w:lineRule="auto"/>
              <w:ind w:firstLine="482" w:firstLineChars="200"/>
              <w:rPr>
                <w:rFonts w:hint="default" w:ascii="Times New Roman" w:hAnsi="Times New Roman" w:cs="Times New Roman"/>
                <w:color w:val="000000" w:themeColor="text1"/>
                <w:sz w:val="24"/>
                <w:szCs w:val="24"/>
                <w:shd w:val="clear" w:color="auto" w:fill="FFFFFF"/>
              </w:rPr>
            </w:pPr>
            <w:r>
              <w:rPr>
                <w:rFonts w:hint="eastAsia" w:ascii="Times New Roman" w:hAnsi="Times New Roman" w:cs="Times New Roman"/>
                <w:b/>
                <w:color w:val="000000" w:themeColor="text1"/>
                <w:sz w:val="24"/>
                <w:szCs w:val="24"/>
                <w:shd w:val="clear" w:color="auto" w:fill="FFFFFF"/>
                <w:lang w:val="en-US" w:eastAsia="zh-CN"/>
              </w:rPr>
              <w:t>3</w:t>
            </w:r>
            <w:r>
              <w:rPr>
                <w:rFonts w:hint="default" w:ascii="Times New Roman" w:hAnsi="Times New Roman" w:cs="Times New Roman"/>
                <w:b/>
                <w:color w:val="000000" w:themeColor="text1"/>
                <w:sz w:val="24"/>
                <w:szCs w:val="24"/>
                <w:shd w:val="clear" w:color="auto" w:fill="FFFFFF"/>
              </w:rPr>
              <w:t>、环境管理检查</w:t>
            </w:r>
          </w:p>
          <w:p w14:paraId="09BDD62C">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（1）环境保护管理规章制度的建立及其执行情况检查</w:t>
            </w:r>
          </w:p>
          <w:p w14:paraId="04C9A8A4">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根据《中华人民共和国环境保护法》“为认真执行全面规划，合理布局，综合利用，化害为利，依靠群众，大家动手，保护环境，造福人民</w:t>
            </w:r>
            <w:r>
              <w:rPr>
                <w:rFonts w:hint="default" w:ascii="Times New Roman" w:hAnsi="Times New Roman" w:cs="Times New Roman"/>
                <w:color w:val="000000" w:themeColor="text1"/>
                <w:sz w:val="24"/>
                <w:szCs w:val="24"/>
                <w:shd w:val="clear" w:color="auto" w:fill="FFFFFF"/>
                <w:lang w:eastAsia="zh-CN"/>
              </w:rPr>
              <w:t>”</w:t>
            </w:r>
            <w:r>
              <w:rPr>
                <w:rFonts w:hint="default" w:ascii="Times New Roman" w:hAnsi="Times New Roman" w:cs="Times New Roman"/>
                <w:color w:val="000000" w:themeColor="text1"/>
                <w:sz w:val="24"/>
                <w:szCs w:val="24"/>
                <w:shd w:val="clear" w:color="auto" w:fill="FFFFFF"/>
              </w:rPr>
              <w:t>的环境方针，搞好项目的环境保护工作，</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shd w:val="clear" w:color="auto" w:fill="FFFFFF"/>
              </w:rPr>
              <w:t>已制定环境保护管理制度，并将管理制度悬挂墙上；根据环境保护管理制度的要求，</w:t>
            </w:r>
            <w:r>
              <w:rPr>
                <w:rFonts w:hint="eastAsia" w:ascii="Times New Roman" w:hAnsi="Times New Roman" w:cs="Times New Roman"/>
                <w:color w:val="000000" w:themeColor="text1"/>
                <w:sz w:val="24"/>
                <w:szCs w:val="24"/>
                <w:shd w:val="clear" w:color="auto" w:fill="FFFFFF"/>
                <w:lang w:val="en-US" w:eastAsia="zh-CN"/>
              </w:rPr>
              <w:t>我公司已对</w:t>
            </w:r>
            <w:r>
              <w:rPr>
                <w:rFonts w:hint="default" w:ascii="Times New Roman" w:hAnsi="Times New Roman" w:cs="Times New Roman"/>
                <w:color w:val="000000" w:themeColor="text1"/>
                <w:sz w:val="24"/>
                <w:szCs w:val="24"/>
                <w:shd w:val="clear" w:color="auto" w:fill="FFFFFF"/>
              </w:rPr>
              <w:t>环保设施的运行加强了管理，建立了健全的环境保护管理体系。同时，为加强项目环保档案工作，全面提高</w:t>
            </w:r>
            <w:r>
              <w:rPr>
                <w:rFonts w:hint="eastAsia" w:ascii="Times New Roman" w:hAnsi="Times New Roman" w:cs="Times New Roman"/>
                <w:color w:val="000000" w:themeColor="text1"/>
                <w:sz w:val="24"/>
                <w:szCs w:val="24"/>
                <w:shd w:val="clear" w:color="auto" w:fill="FFFFFF"/>
                <w:lang w:eastAsia="zh-CN"/>
              </w:rPr>
              <w:t>档案</w:t>
            </w:r>
            <w:r>
              <w:rPr>
                <w:rFonts w:hint="default" w:ascii="Times New Roman" w:hAnsi="Times New Roman" w:cs="Times New Roman"/>
                <w:color w:val="000000" w:themeColor="text1"/>
                <w:sz w:val="24"/>
                <w:szCs w:val="24"/>
                <w:shd w:val="clear" w:color="auto" w:fill="FFFFFF"/>
              </w:rPr>
              <w:t>管理水平，有效地保护及利用档案，</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shd w:val="clear" w:color="auto" w:fill="FFFFFF"/>
              </w:rPr>
              <w:t>特制定环境保护档案管理制度，并将管理制度悬挂墙上，严格按照制度要求对项目涉及的环保文件及材料进行分类、归档及管理。</w:t>
            </w:r>
          </w:p>
          <w:p w14:paraId="12F9DC40">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（2）环境污染事故或扰民投诉现象检查</w:t>
            </w:r>
          </w:p>
          <w:p w14:paraId="108ED947">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根据现场调查，调查人员对项目区周边环境敏感点等进行询问调查，调查结果表明项目在施工期及运行期间未发生环境污染事故和扰民投诉现象。</w:t>
            </w:r>
          </w:p>
          <w:p w14:paraId="069B5F74">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（3）环境管理机构、专职环保人员设置情况检查</w:t>
            </w:r>
          </w:p>
          <w:p w14:paraId="1F036647">
            <w:pPr>
              <w:spacing w:line="360" w:lineRule="auto"/>
              <w:ind w:firstLine="48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sz w:val="24"/>
                <w:szCs w:val="24"/>
                <w:shd w:val="clear" w:color="auto" w:fill="FFFFFF"/>
              </w:rPr>
              <w:t>根据环保有关规定，</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shd w:val="clear" w:color="auto" w:fill="FFFFFF"/>
              </w:rPr>
              <w:t>已在公司内部成立专门的环境管理机构、安排专职的环保工作管理人员。环境管理机构负责项目区运营期间的环境管理和环境监控，并受项目主管单位及当地生态环境局的监督和指导。专职的环保工作管理人员制定相应的工作职责，对可能来自外部的环保抱怨进行登记并积极处理，同时主动与生态环境主管部门联系共同处理。</w:t>
            </w:r>
          </w:p>
          <w:p w14:paraId="5FA1980B">
            <w:pPr>
              <w:spacing w:line="360" w:lineRule="auto"/>
              <w:ind w:firstLine="482" w:firstLineChars="200"/>
              <w:rPr>
                <w:rFonts w:hint="default" w:ascii="Times New Roman" w:hAnsi="Times New Roman" w:cs="Times New Roman"/>
                <w:b/>
                <w:color w:val="000000" w:themeColor="text1"/>
                <w:sz w:val="24"/>
                <w:szCs w:val="24"/>
                <w:shd w:val="clear" w:color="auto" w:fill="FFFFFF"/>
              </w:rPr>
            </w:pPr>
            <w:r>
              <w:rPr>
                <w:rFonts w:hint="eastAsia" w:ascii="Times New Roman" w:hAnsi="Times New Roman" w:cs="Times New Roman"/>
                <w:b/>
                <w:color w:val="000000" w:themeColor="text1"/>
                <w:sz w:val="24"/>
                <w:szCs w:val="24"/>
                <w:shd w:val="clear" w:color="auto" w:fill="FFFFFF"/>
                <w:lang w:val="en-US" w:eastAsia="zh-CN"/>
              </w:rPr>
              <w:t>4</w:t>
            </w:r>
            <w:r>
              <w:rPr>
                <w:rFonts w:hint="default" w:ascii="Times New Roman" w:hAnsi="Times New Roman" w:cs="Times New Roman"/>
                <w:b/>
                <w:color w:val="000000" w:themeColor="text1"/>
                <w:sz w:val="24"/>
                <w:szCs w:val="24"/>
                <w:shd w:val="clear" w:color="auto" w:fill="FFFFFF"/>
              </w:rPr>
              <w:t>、环保设施实际完成及运行情况</w:t>
            </w:r>
          </w:p>
          <w:p w14:paraId="7FF12A2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shd w:val="clear" w:color="auto" w:fill="FFFFFF"/>
              </w:rPr>
              <w:t>项目</w:t>
            </w:r>
            <w:r>
              <w:rPr>
                <w:rFonts w:hint="default" w:ascii="Times New Roman" w:hAnsi="Times New Roman" w:cs="Times New Roman"/>
                <w:color w:val="000000" w:themeColor="text1"/>
                <w:sz w:val="24"/>
                <w:szCs w:val="24"/>
              </w:rPr>
              <w:t>环保设施完成及运行状况见下表：</w:t>
            </w:r>
          </w:p>
          <w:p w14:paraId="4E560A7B">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表7-</w:t>
            </w:r>
            <w:r>
              <w:rPr>
                <w:rFonts w:hint="default" w:ascii="Times New Roman" w:hAnsi="Times New Roman" w:cs="Times New Roman"/>
                <w:b/>
                <w:color w:val="000000" w:themeColor="text1"/>
                <w:sz w:val="24"/>
                <w:szCs w:val="24"/>
                <w:lang w:val="en-US" w:eastAsia="zh-CN"/>
              </w:rPr>
              <w:t xml:space="preserve">7 </w:t>
            </w:r>
            <w:r>
              <w:rPr>
                <w:rFonts w:hint="default" w:ascii="Times New Roman" w:hAnsi="Times New Roman" w:cs="Times New Roman"/>
                <w:b/>
                <w:color w:val="000000" w:themeColor="text1"/>
                <w:sz w:val="24"/>
                <w:szCs w:val="24"/>
              </w:rPr>
              <w:t>项目环保设施设置、运行一览表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27"/>
              <w:gridCol w:w="3917"/>
              <w:gridCol w:w="1809"/>
            </w:tblGrid>
            <w:tr w14:paraId="06F04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799D0012">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序号</w:t>
                  </w:r>
                </w:p>
              </w:tc>
              <w:tc>
                <w:tcPr>
                  <w:tcW w:w="2127" w:type="dxa"/>
                  <w:vAlign w:val="center"/>
                </w:tcPr>
                <w:p w14:paraId="5778F81C">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环保设施</w:t>
                  </w:r>
                </w:p>
              </w:tc>
              <w:tc>
                <w:tcPr>
                  <w:tcW w:w="3917" w:type="dxa"/>
                  <w:vAlign w:val="center"/>
                </w:tcPr>
                <w:p w14:paraId="7A48F4D7">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安装完成情况</w:t>
                  </w:r>
                </w:p>
              </w:tc>
              <w:tc>
                <w:tcPr>
                  <w:tcW w:w="1809" w:type="dxa"/>
                  <w:vAlign w:val="center"/>
                </w:tcPr>
                <w:p w14:paraId="133EEAB8">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运行情况</w:t>
                  </w:r>
                </w:p>
              </w:tc>
            </w:tr>
            <w:tr w14:paraId="61284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5333DA7A">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1</w:t>
                  </w:r>
                </w:p>
              </w:tc>
              <w:tc>
                <w:tcPr>
                  <w:tcW w:w="2127" w:type="dxa"/>
                  <w:vAlign w:val="center"/>
                </w:tcPr>
                <w:p w14:paraId="6CC1C4D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垃圾箱</w:t>
                  </w:r>
                </w:p>
              </w:tc>
              <w:tc>
                <w:tcPr>
                  <w:tcW w:w="3917" w:type="dxa"/>
                  <w:vAlign w:val="center"/>
                </w:tcPr>
                <w:p w14:paraId="1282856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已完成；合理布置于整个项目区</w:t>
                  </w:r>
                </w:p>
              </w:tc>
              <w:tc>
                <w:tcPr>
                  <w:tcW w:w="1809" w:type="dxa"/>
                  <w:vAlign w:val="center"/>
                </w:tcPr>
                <w:p w14:paraId="0D51D60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r w14:paraId="548A0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364C9936">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2</w:t>
                  </w:r>
                </w:p>
              </w:tc>
              <w:tc>
                <w:tcPr>
                  <w:tcW w:w="2127" w:type="dxa"/>
                  <w:vAlign w:val="center"/>
                </w:tcPr>
                <w:p w14:paraId="32E02EF5">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雨污分流排水系统</w:t>
                  </w:r>
                </w:p>
              </w:tc>
              <w:tc>
                <w:tcPr>
                  <w:tcW w:w="3917" w:type="dxa"/>
                  <w:vAlign w:val="center"/>
                </w:tcPr>
                <w:p w14:paraId="3632014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已完成</w:t>
                  </w:r>
                </w:p>
              </w:tc>
              <w:tc>
                <w:tcPr>
                  <w:tcW w:w="1809" w:type="dxa"/>
                  <w:vAlign w:val="center"/>
                </w:tcPr>
                <w:p w14:paraId="44E4924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r w14:paraId="1491B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6DDFEB63">
                  <w:pPr>
                    <w:spacing w:line="240" w:lineRule="auto"/>
                    <w:jc w:val="center"/>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3</w:t>
                  </w:r>
                </w:p>
              </w:tc>
              <w:tc>
                <w:tcPr>
                  <w:tcW w:w="2127" w:type="dxa"/>
                  <w:vAlign w:val="center"/>
                </w:tcPr>
                <w:p w14:paraId="57FD3DFD">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污水处理站</w:t>
                  </w:r>
                </w:p>
              </w:tc>
              <w:tc>
                <w:tcPr>
                  <w:tcW w:w="3917" w:type="dxa"/>
                  <w:vAlign w:val="center"/>
                </w:tcPr>
                <w:p w14:paraId="72D51135">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已完成；污水处理站处理规模为384m</w:t>
                  </w:r>
                  <w:r>
                    <w:rPr>
                      <w:rFonts w:hint="eastAsia" w:ascii="Times New Roman" w:hAnsi="Times New Roman" w:cs="Times New Roman"/>
                      <w:color w:val="000000" w:themeColor="text1"/>
                      <w:sz w:val="21"/>
                      <w:szCs w:val="21"/>
                      <w:vertAlign w:val="superscript"/>
                      <w:lang w:val="en-US" w:eastAsia="zh-CN"/>
                    </w:rPr>
                    <w:t>3</w:t>
                  </w:r>
                  <w:r>
                    <w:rPr>
                      <w:rFonts w:hint="eastAsia" w:ascii="Times New Roman" w:hAnsi="Times New Roman" w:cs="Times New Roman"/>
                      <w:color w:val="000000" w:themeColor="text1"/>
                      <w:sz w:val="21"/>
                      <w:szCs w:val="21"/>
                      <w:lang w:val="en-US" w:eastAsia="zh-CN"/>
                    </w:rPr>
                    <w:t>/d，处理工艺为“预处理+厌氧+两级接触氧化+沉淀+过滤+消毒”工艺，处理效果和处理能力满足项目区的污水排放要求</w:t>
                  </w:r>
                </w:p>
              </w:tc>
              <w:tc>
                <w:tcPr>
                  <w:tcW w:w="1809" w:type="dxa"/>
                  <w:vAlign w:val="center"/>
                </w:tcPr>
                <w:p w14:paraId="37D348A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r w14:paraId="5A1E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7C0D1795">
                  <w:pPr>
                    <w:spacing w:line="240" w:lineRule="auto"/>
                    <w:jc w:val="center"/>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4</w:t>
                  </w:r>
                </w:p>
              </w:tc>
              <w:tc>
                <w:tcPr>
                  <w:tcW w:w="2127" w:type="dxa"/>
                  <w:vAlign w:val="center"/>
                </w:tcPr>
                <w:p w14:paraId="2248ACAA">
                  <w:pPr>
                    <w:spacing w:line="240" w:lineRule="auto"/>
                    <w:jc w:val="center"/>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防渗化粪池</w:t>
                  </w:r>
                </w:p>
              </w:tc>
              <w:tc>
                <w:tcPr>
                  <w:tcW w:w="3917" w:type="dxa"/>
                  <w:vAlign w:val="center"/>
                </w:tcPr>
                <w:p w14:paraId="23EF7AC8">
                  <w:pPr>
                    <w:spacing w:line="240" w:lineRule="auto"/>
                    <w:jc w:val="center"/>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已完成；在G5#住宅东侧设置1个容积为100m</w:t>
                  </w:r>
                  <w:r>
                    <w:rPr>
                      <w:rFonts w:hint="eastAsia" w:ascii="Times New Roman" w:hAnsi="Times New Roman" w:cs="Times New Roman"/>
                      <w:color w:val="000000" w:themeColor="text1"/>
                      <w:sz w:val="21"/>
                      <w:szCs w:val="21"/>
                      <w:vertAlign w:val="superscript"/>
                      <w:lang w:val="en-US" w:eastAsia="zh-CN"/>
                    </w:rPr>
                    <w:t>3</w:t>
                  </w:r>
                  <w:r>
                    <w:rPr>
                      <w:rFonts w:hint="eastAsia" w:ascii="Times New Roman" w:hAnsi="Times New Roman" w:cs="Times New Roman"/>
                      <w:color w:val="000000" w:themeColor="text1"/>
                      <w:sz w:val="21"/>
                      <w:szCs w:val="21"/>
                      <w:lang w:val="en-US" w:eastAsia="zh-CN"/>
                    </w:rPr>
                    <w:t>的化粪池</w:t>
                  </w:r>
                </w:p>
              </w:tc>
              <w:tc>
                <w:tcPr>
                  <w:tcW w:w="1809" w:type="dxa"/>
                  <w:vAlign w:val="center"/>
                </w:tcPr>
                <w:p w14:paraId="7452A06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bl>
          <w:p w14:paraId="4887D64E">
            <w:pPr>
              <w:jc w:val="center"/>
              <w:rPr>
                <w:rFonts w:hint="default" w:ascii="Times New Roman" w:hAnsi="Times New Roman" w:cs="Times New Roman"/>
                <w:b/>
                <w:color w:val="000000" w:themeColor="text1"/>
                <w:sz w:val="24"/>
                <w:szCs w:val="24"/>
              </w:rPr>
            </w:pPr>
          </w:p>
          <w:p w14:paraId="43CE0539">
            <w:pPr>
              <w:jc w:val="center"/>
              <w:rPr>
                <w:rFonts w:hint="default" w:ascii="Times New Roman" w:hAnsi="Times New Roman" w:cs="Times New Roman"/>
                <w:b/>
                <w:color w:val="000000" w:themeColor="text1"/>
                <w:sz w:val="24"/>
                <w:szCs w:val="24"/>
              </w:rPr>
            </w:pPr>
          </w:p>
          <w:p w14:paraId="72B8F01D">
            <w:pPr>
              <w:jc w:val="center"/>
              <w:rPr>
                <w:rFonts w:hint="default" w:ascii="Times New Roman" w:hAnsi="Times New Roman" w:cs="Times New Roman"/>
                <w:b/>
                <w:color w:val="000000" w:themeColor="text1"/>
                <w:sz w:val="24"/>
                <w:szCs w:val="24"/>
              </w:rPr>
            </w:pPr>
          </w:p>
          <w:p w14:paraId="1C03E041">
            <w:pPr>
              <w:jc w:val="center"/>
              <w:rPr>
                <w:rFonts w:hint="default" w:ascii="Times New Roman" w:hAnsi="Times New Roman" w:cs="Times New Roman"/>
                <w:b/>
                <w:color w:val="000000" w:themeColor="text1"/>
                <w:sz w:val="24"/>
                <w:szCs w:val="24"/>
              </w:rPr>
            </w:pPr>
          </w:p>
          <w:p w14:paraId="1D490450">
            <w:pPr>
              <w:jc w:val="center"/>
              <w:rPr>
                <w:rFonts w:hint="default" w:ascii="Times New Roman" w:hAnsi="Times New Roman" w:cs="Times New Roman"/>
                <w:b/>
                <w:color w:val="000000" w:themeColor="text1"/>
                <w:sz w:val="24"/>
                <w:szCs w:val="24"/>
              </w:rPr>
            </w:pPr>
          </w:p>
          <w:p w14:paraId="515954AB">
            <w:pPr>
              <w:pStyle w:val="3"/>
              <w:numPr>
                <w:ilvl w:val="1"/>
                <w:numId w:val="0"/>
              </w:numPr>
              <w:rPr>
                <w:rFonts w:hint="default"/>
                <w:color w:val="000000" w:themeColor="text1"/>
              </w:rPr>
            </w:pPr>
          </w:p>
        </w:tc>
      </w:tr>
      <w:bookmarkEnd w:id="27"/>
    </w:tbl>
    <w:p w14:paraId="541AF388">
      <w:pPr>
        <w:spacing w:line="360" w:lineRule="auto"/>
        <w:outlineLvl w:val="0"/>
        <w:rPr>
          <w:rFonts w:hint="default" w:ascii="Times New Roman" w:hAnsi="Times New Roman" w:cs="Times New Roman"/>
          <w:b/>
          <w:bCs/>
          <w:color w:val="000000" w:themeColor="text1"/>
          <w:kern w:val="1"/>
          <w:sz w:val="30"/>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bookmarkStart w:id="34" w:name="_Toc527116048"/>
    </w:p>
    <w:p w14:paraId="17488BE8">
      <w:pPr>
        <w:spacing w:line="360" w:lineRule="auto"/>
        <w:outlineLvl w:val="0"/>
        <w:rPr>
          <w:rFonts w:hint="default" w:ascii="Times New Roman" w:hAnsi="Times New Roman" w:cs="Times New Roman"/>
          <w:b/>
          <w:bCs/>
          <w:color w:val="000000" w:themeColor="text1"/>
          <w:kern w:val="1"/>
          <w:sz w:val="30"/>
        </w:rPr>
      </w:pPr>
      <w:r>
        <w:rPr>
          <w:rFonts w:hint="default" w:ascii="Times New Roman" w:hAnsi="Times New Roman" w:cs="Times New Roman"/>
          <w:b/>
          <w:bCs/>
          <w:color w:val="000000" w:themeColor="text1"/>
          <w:kern w:val="1"/>
          <w:sz w:val="30"/>
        </w:rPr>
        <w:t>表八</w:t>
      </w:r>
      <w:bookmarkEnd w:id="34"/>
      <w:bookmarkStart w:id="35" w:name="_Toc425494335"/>
      <w:bookmarkEnd w:id="35"/>
      <w:bookmarkStart w:id="36" w:name="_Toc428201554"/>
      <w:bookmarkEnd w:id="36"/>
      <w:bookmarkStart w:id="37" w:name="_Toc430944532"/>
      <w:bookmarkEnd w:id="37"/>
      <w:bookmarkStart w:id="38" w:name="_Toc425494321"/>
      <w:bookmarkEnd w:id="38"/>
      <w:bookmarkStart w:id="39" w:name="_Toc428201566"/>
      <w:bookmarkEnd w:id="39"/>
      <w:bookmarkStart w:id="40" w:name="_Toc425494345"/>
      <w:bookmarkEnd w:id="40"/>
      <w:bookmarkStart w:id="41" w:name="_Toc430944544"/>
      <w:bookmarkEnd w:id="41"/>
      <w:bookmarkStart w:id="42" w:name="_Toc430944519"/>
      <w:bookmarkEnd w:id="42"/>
      <w:bookmarkStart w:id="43" w:name="_Toc428201545"/>
      <w:bookmarkEnd w:id="43"/>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5"/>
      </w:tblGrid>
      <w:tr w14:paraId="6C2D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9" w:hRule="atLeast"/>
          <w:jc w:val="center"/>
        </w:trPr>
        <w:tc>
          <w:tcPr>
            <w:tcW w:w="9145" w:type="dxa"/>
            <w:tcBorders>
              <w:top w:val="single" w:color="auto" w:sz="4" w:space="0"/>
              <w:left w:val="single" w:color="auto" w:sz="4" w:space="0"/>
              <w:bottom w:val="single" w:color="auto" w:sz="4" w:space="0"/>
              <w:right w:val="single" w:color="auto" w:sz="4" w:space="0"/>
            </w:tcBorders>
          </w:tcPr>
          <w:p w14:paraId="6570B651">
            <w:pPr>
              <w:widowControl/>
              <w:adjustRightInd w:val="0"/>
              <w:snapToGrid w:val="0"/>
              <w:spacing w:line="360" w:lineRule="auto"/>
              <w:ind w:firstLine="562" w:firstLineChars="200"/>
              <w:rPr>
                <w:rFonts w:hint="default" w:ascii="Times New Roman" w:hAnsi="Times New Roman" w:eastAsia="宋体" w:cs="Times New Roman"/>
                <w:b/>
                <w:color w:val="000000" w:themeColor="text1"/>
                <w:kern w:val="0"/>
                <w:sz w:val="28"/>
                <w:szCs w:val="28"/>
              </w:rPr>
            </w:pPr>
            <w:bookmarkStart w:id="44" w:name="_Toc217276028"/>
            <w:r>
              <w:rPr>
                <w:rFonts w:hint="default" w:ascii="Times New Roman" w:hAnsi="Times New Roman" w:eastAsia="宋体" w:cs="Times New Roman"/>
                <w:b/>
                <w:color w:val="000000" w:themeColor="text1"/>
                <w:kern w:val="0"/>
                <w:sz w:val="28"/>
                <w:szCs w:val="28"/>
              </w:rPr>
              <w:t>验收监测</w:t>
            </w:r>
            <w:bookmarkEnd w:id="44"/>
            <w:r>
              <w:rPr>
                <w:rFonts w:hint="default" w:ascii="Times New Roman" w:hAnsi="Times New Roman" w:eastAsia="宋体" w:cs="Times New Roman"/>
                <w:b/>
                <w:color w:val="000000" w:themeColor="text1"/>
                <w:kern w:val="0"/>
                <w:sz w:val="28"/>
                <w:szCs w:val="28"/>
              </w:rPr>
              <w:t>结论：</w:t>
            </w:r>
          </w:p>
          <w:p w14:paraId="6F255C23">
            <w:pPr>
              <w:widowControl/>
              <w:adjustRightInd w:val="0"/>
              <w:snapToGrid w:val="0"/>
              <w:spacing w:line="360" w:lineRule="auto"/>
              <w:ind w:firstLine="482" w:firstLineChars="200"/>
              <w:rPr>
                <w:rFonts w:hint="default" w:ascii="Times New Roman" w:hAnsi="Times New Roman" w:eastAsia="宋体" w:cs="Times New Roman"/>
                <w:b/>
                <w:bCs/>
                <w:color w:val="000000" w:themeColor="text1"/>
                <w:kern w:val="0"/>
                <w:sz w:val="24"/>
                <w:szCs w:val="28"/>
              </w:rPr>
            </w:pPr>
            <w:bookmarkStart w:id="45" w:name="_Toc462755266"/>
            <w:bookmarkStart w:id="46" w:name="_Toc512427956"/>
            <w:bookmarkStart w:id="47" w:name="_Toc462756228"/>
            <w:r>
              <w:rPr>
                <w:rFonts w:hint="default" w:ascii="Times New Roman" w:hAnsi="Times New Roman" w:eastAsia="宋体" w:cs="Times New Roman"/>
                <w:b/>
                <w:bCs/>
                <w:color w:val="000000" w:themeColor="text1"/>
                <w:kern w:val="0"/>
                <w:sz w:val="24"/>
                <w:szCs w:val="28"/>
              </w:rPr>
              <w:t>1、项目建设前期环境保护审查、审批手续</w:t>
            </w:r>
            <w:bookmarkEnd w:id="45"/>
            <w:bookmarkEnd w:id="46"/>
            <w:bookmarkEnd w:id="47"/>
          </w:p>
          <w:p w14:paraId="011E487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项目环境管理执行情况如下：</w:t>
            </w:r>
          </w:p>
          <w:p w14:paraId="42ED16E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环评情况：该项目为新建项目，项目于201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w:t>
            </w:r>
            <w:r>
              <w:rPr>
                <w:rFonts w:hint="eastAsia" w:ascii="Times New Roman" w:hAnsi="Times New Roman" w:cs="Times New Roman"/>
                <w:color w:val="000000" w:themeColor="text1"/>
                <w:sz w:val="24"/>
                <w:szCs w:val="24"/>
                <w:lang w:val="en-US" w:eastAsia="zh-CN"/>
              </w:rPr>
              <w:t>7</w:t>
            </w:r>
            <w:r>
              <w:rPr>
                <w:rFonts w:hint="default" w:ascii="Times New Roman" w:hAnsi="Times New Roman" w:cs="Times New Roman"/>
                <w:color w:val="000000" w:themeColor="text1"/>
                <w:sz w:val="24"/>
                <w:szCs w:val="24"/>
              </w:rPr>
              <w:t>月委托昆明煤炭设计研究院编制了环境影响报告表，并于201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年8月</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日取得了</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rPr>
              <w:t>腾冲市</w:t>
            </w:r>
            <w:r>
              <w:rPr>
                <w:rFonts w:hint="eastAsia" w:ascii="Times New Roman" w:hAnsi="Times New Roman" w:cs="Times New Roman"/>
                <w:color w:val="000000" w:themeColor="text1"/>
                <w:sz w:val="24"/>
                <w:lang w:eastAsia="zh-CN"/>
              </w:rPr>
              <w:t>“</w:t>
            </w:r>
            <w:r>
              <w:rPr>
                <w:rFonts w:hint="eastAsia" w:ascii="Times New Roman" w:hAnsi="Times New Roman" w:cs="Times New Roman"/>
                <w:color w:val="000000" w:themeColor="text1"/>
                <w:sz w:val="24"/>
                <w:lang w:val="en-US" w:eastAsia="zh-CN"/>
              </w:rPr>
              <w:t>顺颐府</w:t>
            </w:r>
            <w:r>
              <w:rPr>
                <w:rFonts w:hint="eastAsia" w:ascii="Times New Roman" w:hAnsi="Times New Roman" w:cs="Times New Roman"/>
                <w:color w:val="000000" w:themeColor="text1"/>
                <w:sz w:val="24"/>
                <w:lang w:eastAsia="zh-CN"/>
              </w:rPr>
              <w:t>”</w:t>
            </w:r>
            <w:r>
              <w:rPr>
                <w:rFonts w:hint="eastAsia" w:ascii="Times New Roman" w:hAnsi="Times New Roman" w:cs="Times New Roman"/>
                <w:color w:val="000000" w:themeColor="text1"/>
                <w:sz w:val="24"/>
                <w:lang w:val="en-US" w:eastAsia="zh-CN"/>
              </w:rPr>
              <w:t>住宅</w:t>
            </w:r>
            <w:r>
              <w:rPr>
                <w:rFonts w:hint="default" w:ascii="Times New Roman" w:hAnsi="Times New Roman" w:cs="Times New Roman"/>
                <w:color w:val="000000" w:themeColor="text1"/>
                <w:sz w:val="24"/>
              </w:rPr>
              <w:t>建设项目</w:t>
            </w:r>
            <w:r>
              <w:rPr>
                <w:rFonts w:hint="eastAsia" w:ascii="Times New Roman" w:hAnsi="Times New Roman" w:cs="Times New Roman"/>
                <w:color w:val="000000" w:themeColor="text1"/>
                <w:sz w:val="24"/>
                <w:lang w:eastAsia="zh-CN"/>
              </w:rPr>
              <w:t>（</w:t>
            </w:r>
            <w:r>
              <w:rPr>
                <w:rFonts w:hint="eastAsia" w:ascii="Times New Roman" w:hAnsi="Times New Roman" w:cs="Times New Roman"/>
                <w:color w:val="000000" w:themeColor="text1"/>
                <w:sz w:val="24"/>
                <w:lang w:val="en-US" w:eastAsia="zh-CN"/>
              </w:rPr>
              <w:t>一期</w:t>
            </w:r>
            <w:r>
              <w:rPr>
                <w:rFonts w:hint="eastAsia" w:ascii="Times New Roman" w:hAnsi="Times New Roman" w:cs="Times New Roman"/>
                <w:color w:val="000000" w:themeColor="text1"/>
                <w:sz w:val="24"/>
                <w:lang w:eastAsia="zh-CN"/>
              </w:rPr>
              <w:t>）</w:t>
            </w:r>
            <w:r>
              <w:rPr>
                <w:rFonts w:hint="default" w:ascii="Times New Roman" w:hAnsi="Times New Roman" w:cs="Times New Roman"/>
                <w:color w:val="000000" w:themeColor="text1"/>
                <w:sz w:val="24"/>
                <w:szCs w:val="24"/>
              </w:rPr>
              <w:t>》的行政许可决定书（腾环准〔201</w:t>
            </w:r>
            <w:r>
              <w:rPr>
                <w:rFonts w:hint="default"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eastAsia="zh-CN"/>
              </w:rPr>
              <w:t>21</w:t>
            </w:r>
            <w:r>
              <w:rPr>
                <w:rFonts w:hint="default" w:ascii="Times New Roman" w:hAnsi="Times New Roman" w:cs="Times New Roman"/>
                <w:color w:val="000000" w:themeColor="text1"/>
                <w:sz w:val="24"/>
                <w:szCs w:val="24"/>
              </w:rPr>
              <w:t>号），同意该项目的实施。</w:t>
            </w:r>
          </w:p>
          <w:p w14:paraId="02BD426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环保施工：项目各项环保设施与主体工程同时设计、同时施工、同时投入使用。主要环保设施是生活垃圾桶。</w:t>
            </w:r>
          </w:p>
          <w:p w14:paraId="1F7D2EC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试运行期：</w:t>
            </w:r>
            <w:r>
              <w:rPr>
                <w:rFonts w:hint="default" w:ascii="Times New Roman" w:hAnsi="Times New Roman" w:cs="Times New Roman"/>
                <w:color w:val="000000" w:themeColor="text1"/>
                <w:sz w:val="24"/>
                <w:szCs w:val="24"/>
                <w:highlight w:val="none"/>
              </w:rPr>
              <w:t>本项目于20</w:t>
            </w:r>
            <w:r>
              <w:rPr>
                <w:rFonts w:hint="eastAsia" w:ascii="Times New Roman" w:hAnsi="Times New Roman" w:cs="Times New Roman"/>
                <w:color w:val="000000" w:themeColor="text1"/>
                <w:sz w:val="24"/>
                <w:szCs w:val="24"/>
                <w:highlight w:val="none"/>
                <w:lang w:val="en-US" w:eastAsia="zh-CN"/>
              </w:rPr>
              <w:t>19</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月开始建设，于202</w:t>
            </w:r>
            <w:r>
              <w:rPr>
                <w:rFonts w:hint="eastAsia" w:ascii="Times New Roman" w:hAnsi="Times New Roman" w:cs="Times New Roman"/>
                <w:color w:val="000000" w:themeColor="text1"/>
                <w:sz w:val="24"/>
                <w:szCs w:val="24"/>
                <w:highlight w:val="none"/>
                <w:lang w:val="en-US" w:eastAsia="zh-CN"/>
              </w:rPr>
              <w:t>4</w:t>
            </w:r>
            <w:r>
              <w:rPr>
                <w:rFonts w:hint="default" w:ascii="Times New Roman" w:hAnsi="Times New Roman" w:cs="Times New Roman"/>
                <w:color w:val="000000" w:themeColor="text1"/>
                <w:sz w:val="24"/>
                <w:szCs w:val="24"/>
                <w:highlight w:val="none"/>
              </w:rPr>
              <w:t>年</w:t>
            </w:r>
            <w:r>
              <w:rPr>
                <w:rFonts w:hint="default" w:ascii="Times New Roman" w:hAnsi="Times New Roman" w:cs="Times New Roman"/>
                <w:color w:val="000000" w:themeColor="text1"/>
                <w:sz w:val="24"/>
                <w:szCs w:val="24"/>
                <w:highlight w:val="none"/>
                <w:lang w:val="en-US" w:eastAsia="zh-CN"/>
              </w:rPr>
              <w:t>1</w:t>
            </w:r>
            <w:r>
              <w:rPr>
                <w:rFonts w:hint="eastAsia" w:ascii="Times New Roman" w:hAnsi="Times New Roman" w:cs="Times New Roman"/>
                <w:color w:val="000000" w:themeColor="text1"/>
                <w:sz w:val="24"/>
                <w:szCs w:val="24"/>
                <w:highlight w:val="none"/>
                <w:lang w:val="en-US" w:eastAsia="zh-CN"/>
              </w:rPr>
              <w:t>0</w:t>
            </w:r>
            <w:r>
              <w:rPr>
                <w:rFonts w:hint="default" w:ascii="Times New Roman" w:hAnsi="Times New Roman" w:cs="Times New Roman"/>
                <w:color w:val="000000" w:themeColor="text1"/>
                <w:sz w:val="24"/>
                <w:szCs w:val="24"/>
                <w:highlight w:val="none"/>
              </w:rPr>
              <w:t>月</w:t>
            </w:r>
            <w:r>
              <w:rPr>
                <w:rFonts w:hint="default" w:ascii="Times New Roman" w:hAnsi="Times New Roman" w:cs="Times New Roman"/>
                <w:color w:val="000000" w:themeColor="text1"/>
                <w:sz w:val="24"/>
                <w:szCs w:val="24"/>
                <w:highlight w:val="none"/>
                <w:lang w:val="en-US" w:eastAsia="zh-CN"/>
              </w:rPr>
              <w:t>2日</w:t>
            </w:r>
            <w:r>
              <w:rPr>
                <w:rFonts w:hint="default" w:ascii="Times New Roman" w:hAnsi="Times New Roman" w:cs="Times New Roman"/>
                <w:color w:val="000000" w:themeColor="text1"/>
                <w:sz w:val="24"/>
                <w:szCs w:val="24"/>
                <w:highlight w:val="none"/>
              </w:rPr>
              <w:t>建设完成，同时委托</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rPr>
              <w:t>进行项目竣工环境保护验收监测</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我</w:t>
            </w:r>
            <w:r>
              <w:rPr>
                <w:rFonts w:hint="default" w:ascii="Times New Roman" w:hAnsi="Times New Roman" w:cs="Times New Roman"/>
                <w:color w:val="000000" w:themeColor="text1"/>
                <w:sz w:val="24"/>
                <w:szCs w:val="24"/>
              </w:rPr>
              <w:t>公司技术人员根据验收监测及调查结果编制建设项目竣工环境保护验收监测报告表，拟完成竣工验收后正式投入运营。</w:t>
            </w:r>
          </w:p>
          <w:p w14:paraId="461B0E35">
            <w:pPr>
              <w:spacing w:line="360" w:lineRule="auto"/>
              <w:ind w:firstLine="482" w:firstLineChars="200"/>
              <w:rPr>
                <w:rFonts w:hint="default" w:ascii="Times New Roman" w:hAnsi="Times New Roman" w:cs="Times New Roman"/>
                <w:b/>
                <w:bCs/>
                <w:color w:val="000000" w:themeColor="text1"/>
                <w:sz w:val="24"/>
                <w:szCs w:val="24"/>
              </w:rPr>
            </w:pPr>
            <w:bookmarkStart w:id="48" w:name="_Toc512427957"/>
            <w:bookmarkStart w:id="49" w:name="_Toc859"/>
            <w:bookmarkStart w:id="50" w:name="_Toc436665737"/>
            <w:bookmarkStart w:id="51" w:name="_Toc435788219"/>
            <w:bookmarkStart w:id="52" w:name="_Toc22384"/>
            <w:r>
              <w:rPr>
                <w:rFonts w:hint="default" w:ascii="Times New Roman" w:hAnsi="Times New Roman" w:cs="Times New Roman"/>
                <w:b/>
                <w:bCs/>
                <w:color w:val="000000" w:themeColor="text1"/>
                <w:sz w:val="24"/>
                <w:szCs w:val="24"/>
              </w:rPr>
              <w:t>2、工程变动情况及“三同时”调查结论</w:t>
            </w:r>
            <w:bookmarkEnd w:id="48"/>
            <w:bookmarkEnd w:id="49"/>
            <w:bookmarkEnd w:id="50"/>
            <w:bookmarkEnd w:id="51"/>
            <w:bookmarkEnd w:id="52"/>
          </w:p>
          <w:p w14:paraId="0CFCA3FE">
            <w:pPr>
              <w:spacing w:line="360" w:lineRule="auto"/>
              <w:ind w:firstLine="480" w:firstLineChars="200"/>
              <w:rPr>
                <w:rFonts w:hint="default" w:ascii="Times New Roman" w:hAnsi="Times New Roman" w:cs="Times New Roman"/>
                <w:color w:val="000000" w:themeColor="text1"/>
                <w:sz w:val="24"/>
                <w:szCs w:val="24"/>
              </w:rPr>
            </w:pPr>
            <w:bookmarkStart w:id="53" w:name="_Toc512427958"/>
            <w:bookmarkStart w:id="54" w:name="_Toc435788220"/>
            <w:bookmarkStart w:id="55" w:name="_Toc436665738"/>
            <w:r>
              <w:rPr>
                <w:rFonts w:hint="default" w:ascii="Times New Roman" w:hAnsi="Times New Roman" w:cs="Times New Roman"/>
                <w:color w:val="000000" w:themeColor="text1"/>
                <w:sz w:val="24"/>
                <w:szCs w:val="24"/>
              </w:rPr>
              <w:t>根据</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rPr>
              <w:t>资料显示，项目在试运行过程中，随着项目发展需求，</w:t>
            </w:r>
            <w:r>
              <w:rPr>
                <w:rFonts w:hint="eastAsia"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对项目部分建设内容进行了优化调整，但总体工程和建设规模均未发生较大变化，基本与环评报告表及其批复一致。根据《污染影响类建设项目综合重大变动清单（试行）》（环办环评函</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2020</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688号），本项目不属于重大变动项目，项目变更后并未对总体工程和周围环境造成影响，可纳入竣工环境保护验收管理。</w:t>
            </w:r>
          </w:p>
          <w:p w14:paraId="15F28B6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项目建设过程中，严格执行了环境影响评价和环境保护“三同时”制度，各项环保设施与主体工程同时设计、同时施工、同时投入使用。主要环保设施是生活垃圾桶</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化粪池等</w:t>
            </w:r>
            <w:r>
              <w:rPr>
                <w:rFonts w:hint="default" w:ascii="Times New Roman" w:hAnsi="Times New Roman" w:cs="Times New Roman"/>
                <w:color w:val="000000" w:themeColor="text1"/>
                <w:sz w:val="24"/>
                <w:szCs w:val="24"/>
              </w:rPr>
              <w:t>，经过调试，配套环保设施运转正常。</w:t>
            </w:r>
          </w:p>
          <w:p w14:paraId="2F48FD7E">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3、试运行期环境影响调查分析结论</w:t>
            </w:r>
            <w:bookmarkEnd w:id="53"/>
            <w:bookmarkEnd w:id="54"/>
            <w:bookmarkEnd w:id="55"/>
          </w:p>
          <w:p w14:paraId="2B8C375F">
            <w:pPr>
              <w:spacing w:line="360" w:lineRule="auto"/>
              <w:ind w:firstLine="480" w:firstLineChars="200"/>
              <w:rPr>
                <w:rFonts w:hint="default"/>
                <w:color w:val="000000" w:themeColor="text1"/>
              </w:rPr>
            </w:pPr>
            <w:bookmarkStart w:id="56" w:name="_Toc435788221"/>
            <w:bookmarkStart w:id="57" w:name="_Toc4640"/>
            <w:bookmarkStart w:id="58" w:name="_Toc3690"/>
            <w:bookmarkStart w:id="59" w:name="_Toc512427959"/>
            <w:bookmarkStart w:id="60" w:name="_Toc436665739"/>
            <w:r>
              <w:rPr>
                <w:rFonts w:hint="default" w:ascii="Times New Roman" w:hAnsi="Times New Roman" w:cs="Times New Roman"/>
                <w:color w:val="000000" w:themeColor="text1"/>
                <w:sz w:val="24"/>
                <w:szCs w:val="24"/>
              </w:rPr>
              <w:t>经现场实际落实，项目自试运行至今，没有发生环境污染事件、相关环保污染投诉及扰民现象，项目在试运行期间项目基本按环评要求采取了相应的污染防治措施，污染物做到达标排放。</w:t>
            </w:r>
            <w:bookmarkStart w:id="61" w:name="_Toc294791675"/>
            <w:bookmarkEnd w:id="61"/>
          </w:p>
          <w:p w14:paraId="2FE02A3F">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4、环保设施调试运行效果</w:t>
            </w:r>
          </w:p>
          <w:p w14:paraId="78DD8CCD">
            <w:pPr>
              <w:spacing w:line="360" w:lineRule="auto"/>
              <w:ind w:firstLine="480" w:firstLineChars="200"/>
              <w:rPr>
                <w:rFonts w:ascii="Times New Roman" w:hAnsi="Times New Roman"/>
                <w:bCs/>
                <w:color w:val="000000" w:themeColor="text1"/>
                <w:kern w:val="18"/>
                <w:sz w:val="24"/>
              </w:rPr>
            </w:pPr>
            <w:r>
              <w:rPr>
                <w:rFonts w:ascii="Times New Roman" w:hAnsi="Times New Roman"/>
                <w:bCs/>
                <w:color w:val="000000" w:themeColor="text1"/>
                <w:sz w:val="24"/>
                <w:szCs w:val="28"/>
              </w:rPr>
              <w:t>经过调试，项目配套环保设施运行正常，其中化粪池容积满足项目</w:t>
            </w:r>
            <w:r>
              <w:rPr>
                <w:rFonts w:hint="eastAsia" w:ascii="Times New Roman" w:hAnsi="Times New Roman"/>
                <w:bCs/>
                <w:color w:val="000000" w:themeColor="text1"/>
                <w:sz w:val="24"/>
                <w:szCs w:val="28"/>
                <w:lang w:val="en-US" w:eastAsia="zh-CN"/>
              </w:rPr>
              <w:t>生活污</w:t>
            </w:r>
            <w:r>
              <w:rPr>
                <w:rFonts w:ascii="Times New Roman" w:hAnsi="Times New Roman"/>
                <w:bCs/>
                <w:color w:val="000000" w:themeColor="text1"/>
                <w:sz w:val="24"/>
                <w:szCs w:val="28"/>
              </w:rPr>
              <w:t>水的处置要求，化粪池污泥定期清掏</w:t>
            </w:r>
            <w:r>
              <w:rPr>
                <w:rFonts w:ascii="Times New Roman" w:hAnsi="Times New Roman"/>
                <w:bCs/>
                <w:color w:val="000000" w:themeColor="text1"/>
                <w:kern w:val="18"/>
                <w:sz w:val="24"/>
              </w:rPr>
              <w:t>；</w:t>
            </w:r>
            <w:r>
              <w:rPr>
                <w:rFonts w:hint="eastAsia" w:ascii="Times New Roman" w:hAnsi="Times New Roman"/>
                <w:bCs/>
                <w:color w:val="000000" w:themeColor="text1"/>
                <w:kern w:val="18"/>
                <w:sz w:val="24"/>
                <w:lang w:val="en-US" w:eastAsia="zh-CN"/>
              </w:rPr>
              <w:t>污</w:t>
            </w:r>
            <w:r>
              <w:rPr>
                <w:rFonts w:hint="eastAsia" w:ascii="Times New Roman" w:hAnsi="Times New Roman"/>
                <w:bCs/>
                <w:color w:val="000000" w:themeColor="text1"/>
                <w:kern w:val="18"/>
                <w:sz w:val="24"/>
                <w:lang w:eastAsia="zh-CN"/>
              </w:rPr>
              <w:t>水</w:t>
            </w:r>
            <w:r>
              <w:rPr>
                <w:rFonts w:hint="eastAsia" w:ascii="Times New Roman" w:hAnsi="Times New Roman"/>
                <w:bCs/>
                <w:color w:val="000000" w:themeColor="text1"/>
                <w:kern w:val="18"/>
                <w:sz w:val="24"/>
              </w:rPr>
              <w:t>处理站的处理能力能够满足</w:t>
            </w:r>
            <w:r>
              <w:rPr>
                <w:rFonts w:hint="eastAsia" w:ascii="Times New Roman" w:hAnsi="Times New Roman"/>
                <w:bCs/>
                <w:color w:val="000000" w:themeColor="text1"/>
                <w:kern w:val="18"/>
                <w:sz w:val="24"/>
                <w:lang w:eastAsia="zh-CN"/>
              </w:rPr>
              <w:t>生活污水处理</w:t>
            </w:r>
            <w:r>
              <w:rPr>
                <w:rFonts w:hint="eastAsia" w:ascii="Times New Roman" w:hAnsi="Times New Roman"/>
                <w:bCs/>
                <w:color w:val="000000" w:themeColor="text1"/>
                <w:kern w:val="18"/>
                <w:sz w:val="24"/>
              </w:rPr>
              <w:t>需求；</w:t>
            </w:r>
            <w:r>
              <w:rPr>
                <w:rFonts w:ascii="Times New Roman" w:hAnsi="Times New Roman"/>
                <w:bCs/>
                <w:color w:val="000000" w:themeColor="text1"/>
                <w:kern w:val="18"/>
                <w:sz w:val="24"/>
              </w:rPr>
              <w:t>噪声治理设施降噪效果较好，</w:t>
            </w:r>
            <w:r>
              <w:rPr>
                <w:rFonts w:hint="eastAsia" w:ascii="Times New Roman" w:hAnsi="Times New Roman"/>
                <w:bCs/>
                <w:color w:val="000000" w:themeColor="text1"/>
                <w:kern w:val="18"/>
                <w:sz w:val="24"/>
                <w:lang w:val="en-US" w:eastAsia="zh-CN"/>
              </w:rPr>
              <w:t>项目区</w:t>
            </w:r>
            <w:r>
              <w:rPr>
                <w:rFonts w:ascii="Times New Roman" w:hAnsi="Times New Roman"/>
                <w:bCs/>
                <w:color w:val="000000" w:themeColor="text1"/>
                <w:kern w:val="18"/>
                <w:sz w:val="24"/>
              </w:rPr>
              <w:t>噪声可达标排放；固体废物治理设施设置合理，固废处理率达100%。项目各环保设施对污染物的处理效率及处理效果均能达到</w:t>
            </w:r>
            <w:r>
              <w:rPr>
                <w:rFonts w:hint="default" w:ascii="Times New Roman" w:hAnsi="Times New Roman" w:cs="Times New Roman"/>
                <w:color w:val="000000" w:themeColor="text1"/>
                <w:sz w:val="24"/>
                <w:szCs w:val="24"/>
              </w:rPr>
              <w:t>环境报告表</w:t>
            </w:r>
            <w:r>
              <w:rPr>
                <w:rFonts w:ascii="Times New Roman" w:hAnsi="Times New Roman"/>
                <w:bCs/>
                <w:color w:val="000000" w:themeColor="text1"/>
                <w:kern w:val="18"/>
                <w:sz w:val="24"/>
              </w:rPr>
              <w:t>及批复中相应的要求，设施可行。</w:t>
            </w:r>
          </w:p>
          <w:bookmarkEnd w:id="56"/>
          <w:bookmarkEnd w:id="57"/>
          <w:bookmarkEnd w:id="58"/>
          <w:bookmarkEnd w:id="59"/>
          <w:bookmarkEnd w:id="60"/>
          <w:p w14:paraId="287142AC">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5、污染物排放监测结论</w:t>
            </w:r>
          </w:p>
          <w:p w14:paraId="466803E3">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（1）废气验收监测结论</w:t>
            </w:r>
          </w:p>
          <w:p w14:paraId="0B9BFFF5">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项目废气主要来源于</w:t>
            </w:r>
            <w:r>
              <w:rPr>
                <w:rFonts w:hint="eastAsia" w:ascii="Times New Roman" w:hAnsi="Times New Roman" w:cs="Times New Roman"/>
                <w:color w:val="000000" w:themeColor="text1"/>
                <w:sz w:val="24"/>
                <w:szCs w:val="24"/>
                <w:lang w:val="en-US" w:eastAsia="zh-CN"/>
              </w:rPr>
              <w:t>化粪池、污水处理站及</w:t>
            </w:r>
            <w:r>
              <w:rPr>
                <w:rFonts w:hint="default" w:ascii="Times New Roman" w:hAnsi="Times New Roman" w:cs="Times New Roman"/>
                <w:color w:val="000000" w:themeColor="text1"/>
                <w:sz w:val="24"/>
                <w:szCs w:val="24"/>
              </w:rPr>
              <w:t>垃圾收集设施产生恶臭，进出车辆的汽车尾气</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发电机废气，厨房油烟</w:t>
            </w:r>
            <w:r>
              <w:rPr>
                <w:rFonts w:hint="default" w:ascii="Times New Roman" w:hAnsi="Times New Roman" w:cs="Times New Roman"/>
                <w:color w:val="000000" w:themeColor="text1"/>
                <w:sz w:val="24"/>
                <w:szCs w:val="24"/>
              </w:rPr>
              <w:t>等。</w:t>
            </w:r>
            <w:r>
              <w:rPr>
                <w:rFonts w:hint="eastAsia" w:ascii="Times New Roman" w:hAnsi="Times New Roman" w:cs="Times New Roman"/>
                <w:color w:val="000000" w:themeColor="text1"/>
                <w:sz w:val="24"/>
                <w:szCs w:val="24"/>
                <w:lang w:val="en-US" w:eastAsia="zh-CN"/>
              </w:rPr>
              <w:t>化粪池、污水处理站及</w:t>
            </w:r>
            <w:r>
              <w:rPr>
                <w:rFonts w:hint="default" w:ascii="Times New Roman" w:hAnsi="Times New Roman" w:cs="Times New Roman"/>
                <w:color w:val="000000" w:themeColor="text1"/>
                <w:sz w:val="24"/>
                <w:szCs w:val="24"/>
              </w:rPr>
              <w:t>垃圾收集设施产生恶臭经过绿化吸收及空气扩散、稀释作用，对周围环境的影响较小；</w:t>
            </w:r>
            <w:r>
              <w:rPr>
                <w:rFonts w:hint="default" w:ascii="Times New Roman" w:hAnsi="Times New Roman" w:cs="Times New Roman"/>
                <w:color w:val="000000" w:themeColor="text1"/>
                <w:sz w:val="24"/>
                <w:szCs w:val="24"/>
                <w:lang w:val="en-US" w:eastAsia="zh-CN"/>
              </w:rPr>
              <w:t>汽车尾气</w:t>
            </w:r>
            <w:r>
              <w:rPr>
                <w:rFonts w:hint="default" w:ascii="Times New Roman" w:hAnsi="Times New Roman" w:cs="Times New Roman"/>
                <w:color w:val="000000" w:themeColor="text1"/>
                <w:sz w:val="24"/>
                <w:szCs w:val="24"/>
                <w:lang w:val="zh-CN"/>
              </w:rPr>
              <w:t>经大气稀释扩散后对周围环境空气质量产生的影响较小</w:t>
            </w:r>
            <w:r>
              <w:rPr>
                <w:rFonts w:hint="eastAsia" w:ascii="Times New Roman" w:hAnsi="Times New Roman" w:cs="Times New Roman"/>
                <w:color w:val="000000" w:themeColor="text1"/>
                <w:sz w:val="24"/>
                <w:szCs w:val="24"/>
                <w:lang w:val="zh-CN"/>
              </w:rPr>
              <w:t>；备用发电机废气空气过滤、绿化带阻隔及稀释、扩散后对项目自身及外环境的影响较小；项目住户厨房油烟通过排烟道从高空排放经过稀释扩散，油烟废气的排放对环境空气的影响轻微</w:t>
            </w:r>
            <w:r>
              <w:rPr>
                <w:rFonts w:hint="default" w:ascii="Times New Roman" w:hAnsi="Times New Roman" w:cs="Times New Roman"/>
                <w:color w:val="000000" w:themeColor="text1"/>
                <w:sz w:val="24"/>
                <w:szCs w:val="24"/>
              </w:rPr>
              <w:t>。</w:t>
            </w:r>
          </w:p>
          <w:p w14:paraId="35408095">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综上所述，项目区废气对周围环境影响较小。</w:t>
            </w:r>
          </w:p>
          <w:p w14:paraId="6F7359E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（2）废水验收结论</w:t>
            </w:r>
          </w:p>
          <w:p w14:paraId="26A52A3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本项目废水主要来源于住户生活</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水等。本项目</w:t>
            </w:r>
            <w:r>
              <w:rPr>
                <w:rFonts w:hint="eastAsia" w:ascii="Times New Roman" w:hAnsi="Times New Roman" w:cs="Times New Roman"/>
                <w:color w:val="000000" w:themeColor="text1"/>
                <w:sz w:val="24"/>
                <w:szCs w:val="24"/>
                <w:lang w:eastAsia="zh-CN"/>
              </w:rPr>
              <w:t>生活污水</w:t>
            </w:r>
            <w:r>
              <w:rPr>
                <w:rFonts w:hint="default" w:ascii="Times New Roman" w:hAnsi="Times New Roman" w:cs="Times New Roman"/>
                <w:color w:val="000000" w:themeColor="text1"/>
                <w:sz w:val="24"/>
                <w:szCs w:val="24"/>
              </w:rPr>
              <w:t>排入化粪池，再排入</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水处理站处理后的污水达到《城市污水再生利用城市杂用水水质》（GB/T18920-20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）城市绿化水质标准及《城镇污水处理厂污染物排放标准》（GB18918-2002）一级A标准后，排入市政污水管网，最终排入腾冲市污水处理厂。</w:t>
            </w:r>
          </w:p>
          <w:p w14:paraId="6C44D502">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监测结果表明，项目废水经</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水处理站处理后的污水满足《城市污水再生利用城市杂用水水质》（GB/T18920-20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）城市绿化水质标准及《城镇污水处理厂污染物排放标准》（GB18918-2002）一级A标准要求，可做到达标排放。</w:t>
            </w:r>
          </w:p>
          <w:p w14:paraId="7DF35A3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（3）噪声验收监测结论</w:t>
            </w:r>
          </w:p>
          <w:p w14:paraId="694D980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项目营运期噪声主要为社会生活噪声、交通噪声</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设备运行噪声</w:t>
            </w:r>
            <w:r>
              <w:rPr>
                <w:rFonts w:hint="default" w:ascii="Times New Roman" w:hAnsi="Times New Roman" w:cs="Times New Roman"/>
                <w:color w:val="000000" w:themeColor="text1"/>
                <w:sz w:val="24"/>
                <w:szCs w:val="24"/>
              </w:rPr>
              <w:t>。经监测结果表明：项目运行期厂界噪声，经衰减后，项目区</w:t>
            </w:r>
            <w:r>
              <w:rPr>
                <w:rFonts w:hint="default" w:ascii="Times New Roman" w:hAnsi="Times New Roman" w:cs="Times New Roman"/>
                <w:color w:val="000000" w:themeColor="text1"/>
                <w:sz w:val="24"/>
                <w:szCs w:val="24"/>
                <w:lang w:val="en-US" w:eastAsia="zh-CN"/>
              </w:rPr>
              <w:t>东南西北侧厂界</w:t>
            </w:r>
            <w:r>
              <w:rPr>
                <w:rFonts w:hint="default" w:ascii="Times New Roman" w:hAnsi="Times New Roman" w:cs="Times New Roman"/>
                <w:color w:val="000000" w:themeColor="text1"/>
                <w:sz w:val="24"/>
                <w:szCs w:val="24"/>
              </w:rPr>
              <w:t>噪声均达到《社会生活环境噪声排放标准》（GB22337-2008）2类标准，对项目区及周边环境影响较小。</w:t>
            </w:r>
          </w:p>
          <w:p w14:paraId="4A6D845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（4）固体废弃物验收结论</w:t>
            </w:r>
          </w:p>
          <w:p w14:paraId="349D8C7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项目运营期产生的固体废弃物主要包括</w:t>
            </w:r>
            <w:r>
              <w:rPr>
                <w:rFonts w:hint="default" w:ascii="Times New Roman" w:hAnsi="Times New Roman" w:cs="Times New Roman"/>
                <w:color w:val="000000" w:themeColor="text1"/>
                <w:sz w:val="24"/>
                <w:szCs w:val="24"/>
                <w:lang w:val="en-US" w:eastAsia="zh-CN"/>
              </w:rPr>
              <w:t>生活垃圾</w:t>
            </w:r>
            <w:r>
              <w:rPr>
                <w:rFonts w:hint="eastAsia" w:ascii="Times New Roman" w:hAnsi="Times New Roman" w:cs="Times New Roman"/>
                <w:color w:val="000000" w:themeColor="text1"/>
                <w:sz w:val="24"/>
                <w:szCs w:val="24"/>
                <w:lang w:val="en-US" w:eastAsia="zh-CN"/>
              </w:rPr>
              <w:t>、化粪池及污水处理站污泥</w:t>
            </w:r>
            <w:r>
              <w:rPr>
                <w:rFonts w:hint="default" w:ascii="Times New Roman" w:hAnsi="Times New Roman" w:cs="Times New Roman"/>
                <w:color w:val="000000" w:themeColor="text1"/>
                <w:sz w:val="24"/>
                <w:szCs w:val="24"/>
              </w:rPr>
              <w:t>。</w:t>
            </w:r>
          </w:p>
          <w:p w14:paraId="68CFD13B">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项目生活垃圾</w:t>
            </w:r>
            <w:r>
              <w:rPr>
                <w:rFonts w:hint="default" w:ascii="Times New Roman" w:hAnsi="Times New Roman" w:cs="Times New Roman"/>
                <w:color w:val="000000" w:themeColor="text1"/>
                <w:sz w:val="24"/>
                <w:szCs w:val="24"/>
                <w:lang w:val="en-US" w:eastAsia="zh-CN"/>
              </w:rPr>
              <w:t>分类收集后委托腾冲市无害化垃圾处理有限责任公司</w:t>
            </w:r>
            <w:r>
              <w:rPr>
                <w:rFonts w:hint="default" w:ascii="Times New Roman" w:hAnsi="Times New Roman" w:cs="Times New Roman"/>
                <w:color w:val="000000" w:themeColor="text1"/>
                <w:sz w:val="24"/>
                <w:szCs w:val="24"/>
              </w:rPr>
              <w:t>清运处置；</w:t>
            </w:r>
            <w:r>
              <w:rPr>
                <w:rFonts w:hint="eastAsia" w:ascii="Times New Roman" w:hAnsi="Times New Roman" w:cs="Times New Roman"/>
                <w:color w:val="000000" w:themeColor="text1"/>
                <w:sz w:val="24"/>
                <w:szCs w:val="24"/>
                <w:lang w:val="en-US" w:eastAsia="zh-CN"/>
              </w:rPr>
              <w:t>化粪池及污水处理站污泥定期清掏，定期委托</w:t>
            </w:r>
            <w:r>
              <w:rPr>
                <w:rFonts w:hint="default" w:ascii="Times New Roman" w:hAnsi="Times New Roman" w:cs="Times New Roman"/>
                <w:color w:val="000000" w:themeColor="text1"/>
                <w:sz w:val="24"/>
                <w:szCs w:val="24"/>
                <w:lang w:val="en-US" w:eastAsia="zh-CN"/>
              </w:rPr>
              <w:t>腾冲市无害化垃圾处理有限责任公司</w:t>
            </w:r>
            <w:r>
              <w:rPr>
                <w:rFonts w:hint="default" w:ascii="Times New Roman" w:hAnsi="Times New Roman" w:cs="Times New Roman"/>
                <w:color w:val="000000" w:themeColor="text1"/>
                <w:sz w:val="24"/>
                <w:szCs w:val="24"/>
              </w:rPr>
              <w:t>清运处置</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项目固体废弃物处置率为100%。</w:t>
            </w:r>
          </w:p>
          <w:p w14:paraId="1C3FBADA">
            <w:pPr>
              <w:spacing w:line="360" w:lineRule="auto"/>
              <w:ind w:firstLine="482" w:firstLineChars="200"/>
              <w:rPr>
                <w:rFonts w:hint="default" w:ascii="Times New Roman" w:hAnsi="Times New Roman" w:cs="Times New Roman"/>
                <w:b/>
                <w:bCs/>
                <w:color w:val="000000" w:themeColor="text1"/>
                <w:sz w:val="24"/>
                <w:szCs w:val="24"/>
              </w:rPr>
            </w:pPr>
            <w:bookmarkStart w:id="62" w:name="_Toc294791680"/>
            <w:bookmarkStart w:id="63" w:name="_Toc512427964"/>
            <w:r>
              <w:rPr>
                <w:rFonts w:hint="default" w:ascii="Times New Roman" w:hAnsi="Times New Roman" w:cs="Times New Roman"/>
                <w:b/>
                <w:bCs/>
                <w:color w:val="000000" w:themeColor="text1"/>
                <w:sz w:val="24"/>
                <w:szCs w:val="24"/>
              </w:rPr>
              <w:t>6、环境管理检查</w:t>
            </w:r>
            <w:bookmarkEnd w:id="62"/>
            <w:r>
              <w:rPr>
                <w:rFonts w:hint="default" w:ascii="Times New Roman" w:hAnsi="Times New Roman" w:cs="Times New Roman"/>
                <w:b/>
                <w:bCs/>
                <w:color w:val="000000" w:themeColor="text1"/>
                <w:sz w:val="24"/>
                <w:szCs w:val="24"/>
              </w:rPr>
              <w:t>结论</w:t>
            </w:r>
            <w:bookmarkEnd w:id="63"/>
          </w:p>
          <w:p w14:paraId="0B8CC94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环评及管理部门批复等文件资料齐全，各项环保措施与主体工程同时建成，环保设施运转正常。环境管理规章制度能满足日常工作需要，环境管理措施基本落实，环保机构健全。项目在施工期及运行阶段的环境管理措施基本得到落实，在运行期成立了环境保护领导小组，主要负责该项目的环保管理工作，并且设置了</w:t>
            </w:r>
            <w:r>
              <w:rPr>
                <w:rFonts w:hint="eastAsia" w:ascii="Times New Roman" w:hAnsi="Times New Roman" w:cs="Times New Roman"/>
                <w:color w:val="000000" w:themeColor="text1"/>
                <w:sz w:val="24"/>
                <w:szCs w:val="24"/>
                <w:lang w:val="en-US" w:eastAsia="zh-CN"/>
              </w:rPr>
              <w:t>兼</w:t>
            </w:r>
            <w:r>
              <w:rPr>
                <w:rFonts w:hint="default" w:ascii="Times New Roman" w:hAnsi="Times New Roman" w:cs="Times New Roman"/>
                <w:color w:val="000000" w:themeColor="text1"/>
                <w:sz w:val="24"/>
                <w:szCs w:val="24"/>
              </w:rPr>
              <w:t>职环保员，负责环保文件和技术资料的归档，协助有关环保部门进行环保工程的验收，负责运行期间的环境监测、事故防范和外部协调工作。</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rPr>
              <w:t>在建设中落实了环评及批复的要求，在项目建设的各阶段，均执行了建设项目环境保护管理的相关法规和“三同时”制度，手续基本完备，满足环境管理的要求。</w:t>
            </w:r>
          </w:p>
          <w:p w14:paraId="62F26B25">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7、验收监测总结论</w:t>
            </w:r>
          </w:p>
          <w:p w14:paraId="6787D53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在建设过程中，执行了建设项目“环评”和“三同时”等环保管理制度的要求，工程采取了相应环保措施防治污染；项目环评及环保管理部门批复等文件资料齐全，各项环保措施与主体工程同时建成，环保设施运转正常；项目环境管理规章制度能满足日常工作需要，环境管理措施基本落实，环保机构健全。</w:t>
            </w:r>
          </w:p>
          <w:p w14:paraId="76BB96A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竣工验收监测结果显示：项目营运期废气污染物对周围环境影响较小；项目厂界噪声全部达标；废水已按照环评及批复中的对策措施进行了有效控制；固体废弃物处理率为100%。</w:t>
            </w:r>
          </w:p>
          <w:p w14:paraId="04501AF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综上所述，项目所采取的对策措施均满足环评及批复要求，满足相关要求，基本符合竣工环保验收的要求。</w:t>
            </w:r>
          </w:p>
          <w:p w14:paraId="4872497B">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8、要求与建议</w:t>
            </w:r>
          </w:p>
          <w:p w14:paraId="7BBCF0B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（1）加强环保设施的管理，定期检查环保设施运行情况，如生活垃圾桶</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化粪池、污水处理站</w:t>
            </w:r>
            <w:r>
              <w:rPr>
                <w:rFonts w:hint="default" w:ascii="Times New Roman" w:hAnsi="Times New Roman" w:cs="Times New Roman"/>
                <w:color w:val="000000" w:themeColor="text1"/>
                <w:sz w:val="24"/>
                <w:szCs w:val="24"/>
              </w:rPr>
              <w:t>等设施是否正常运行，防止废气未经处理排放、污水溢出，污染区内外环境及环境空气、地表水环境。及时排除故障，保证环保设施正常运转。</w:t>
            </w:r>
          </w:p>
          <w:p w14:paraId="702DAB9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（2）运用经济、教育、行政、法律及其</w:t>
            </w:r>
            <w:r>
              <w:rPr>
                <w:rFonts w:hint="eastAsia" w:ascii="Times New Roman" w:hAnsi="Times New Roman" w:cs="Times New Roman"/>
                <w:color w:val="000000" w:themeColor="text1"/>
                <w:sz w:val="24"/>
                <w:szCs w:val="24"/>
                <w:lang w:eastAsia="zh-CN"/>
              </w:rPr>
              <w:t>他</w:t>
            </w:r>
            <w:r>
              <w:rPr>
                <w:rFonts w:hint="default" w:ascii="Times New Roman" w:hAnsi="Times New Roman" w:cs="Times New Roman"/>
                <w:color w:val="000000" w:themeColor="text1"/>
                <w:sz w:val="24"/>
                <w:szCs w:val="24"/>
              </w:rPr>
              <w:t>手段，加强职工的环保意识，加强环境保护的自觉性，不断提高环境管理水平。</w:t>
            </w:r>
          </w:p>
          <w:p w14:paraId="7161A33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（3）运营过程中，防止噪声以及废气对环境造成影响。</w:t>
            </w:r>
          </w:p>
          <w:p w14:paraId="0036D7E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（4）加强环境管理工作，健全各种环境保护规章制度。</w:t>
            </w:r>
          </w:p>
          <w:p w14:paraId="0FD8957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（5）对一般垃圾</w:t>
            </w:r>
            <w:r>
              <w:rPr>
                <w:rFonts w:hint="eastAsia" w:ascii="Times New Roman" w:hAnsi="Times New Roman" w:cs="Times New Roman"/>
                <w:color w:val="000000" w:themeColor="text1"/>
                <w:sz w:val="24"/>
                <w:szCs w:val="24"/>
                <w:lang w:eastAsia="zh-CN"/>
              </w:rPr>
              <w:t>做分类</w:t>
            </w:r>
            <w:r>
              <w:rPr>
                <w:rFonts w:hint="default" w:ascii="Times New Roman" w:hAnsi="Times New Roman" w:cs="Times New Roman"/>
                <w:color w:val="000000" w:themeColor="text1"/>
                <w:sz w:val="24"/>
                <w:szCs w:val="24"/>
              </w:rPr>
              <w:t>收集处理，尽量做到“减量化、资源化、无害化”。</w:t>
            </w:r>
          </w:p>
          <w:p w14:paraId="57F6BF18">
            <w:pPr>
              <w:pStyle w:val="38"/>
              <w:ind w:left="0" w:leftChars="0" w:firstLine="0" w:firstLineChars="0"/>
              <w:rPr>
                <w:rFonts w:hint="default" w:ascii="Times New Roman" w:hAnsi="Times New Roman" w:cs="Times New Roman"/>
                <w:color w:val="000000" w:themeColor="text1"/>
              </w:rPr>
            </w:pPr>
          </w:p>
        </w:tc>
      </w:tr>
    </w:tbl>
    <w:p w14:paraId="4EDE8942">
      <w:pPr>
        <w:rPr>
          <w:rFonts w:hint="default" w:ascii="Times New Roman" w:hAnsi="Times New Roman" w:cs="Times New Roman"/>
          <w:color w:val="000000" w:themeColor="text1"/>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p>
    <w:p w14:paraId="7F234BE4">
      <w:pPr>
        <w:pStyle w:val="6"/>
        <w:spacing w:line="360" w:lineRule="auto"/>
        <w:jc w:val="center"/>
        <w:rPr>
          <w:rFonts w:hint="default" w:ascii="Times New Roman" w:hAnsi="Times New Roman" w:eastAsia="宋体" w:cs="Times New Roman"/>
          <w:b/>
          <w:color w:val="000000" w:themeColor="text1"/>
          <w:sz w:val="24"/>
        </w:rPr>
      </w:pPr>
      <w:bookmarkStart w:id="64" w:name="_Toc527116049"/>
      <w:bookmarkStart w:id="65" w:name="_Toc519168819"/>
      <w:bookmarkStart w:id="66" w:name="_Toc525117874"/>
      <w:r>
        <w:rPr>
          <w:rFonts w:hint="default" w:ascii="Times New Roman" w:hAnsi="Times New Roman" w:eastAsia="宋体" w:cs="Times New Roman"/>
          <w:b/>
          <w:color w:val="000000" w:themeColor="text1"/>
          <w:sz w:val="24"/>
        </w:rPr>
        <w:t>建设项目竣工环境保护“三同时”验收登记表</w:t>
      </w:r>
      <w:bookmarkEnd w:id="64"/>
      <w:bookmarkEnd w:id="65"/>
      <w:bookmarkEnd w:id="66"/>
    </w:p>
    <w:p w14:paraId="67E0AEB5">
      <w:pPr>
        <w:spacing w:line="360" w:lineRule="auto"/>
        <w:jc w:val="left"/>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填表单位（盖章）：腾冲广恒信达房地产开发有限责任公</w:t>
      </w:r>
      <w:r>
        <w:rPr>
          <w:rFonts w:hint="eastAsia" w:ascii="Times New Roman" w:hAnsi="Times New Roman" w:cs="Times New Roman"/>
          <w:b/>
          <w:color w:val="000000" w:themeColor="text1"/>
          <w:sz w:val="18"/>
          <w:szCs w:val="18"/>
          <w:lang w:val="en-US" w:eastAsia="zh-CN"/>
        </w:rPr>
        <w:t>司</w:t>
      </w:r>
      <w:r>
        <w:rPr>
          <w:rFonts w:hint="default" w:ascii="Times New Roman" w:hAnsi="Times New Roman" w:cs="Times New Roman"/>
          <w:bCs/>
          <w:color w:val="000000" w:themeColor="text1"/>
          <w:sz w:val="18"/>
          <w:szCs w:val="18"/>
          <w:lang w:val="en-US" w:eastAsia="zh-CN"/>
        </w:rPr>
        <w:t xml:space="preserve">                       </w:t>
      </w:r>
      <w:r>
        <w:rPr>
          <w:rFonts w:hint="default" w:ascii="Times New Roman" w:hAnsi="Times New Roman" w:cs="Times New Roman"/>
          <w:b/>
          <w:color w:val="000000" w:themeColor="text1"/>
          <w:sz w:val="18"/>
          <w:szCs w:val="18"/>
        </w:rPr>
        <w:t>填表人（签字）：</w:t>
      </w:r>
      <w:r>
        <w:rPr>
          <w:rFonts w:hint="default" w:ascii="Times New Roman" w:hAnsi="Times New Roman" w:cs="Times New Roman"/>
          <w:b/>
          <w:color w:val="000000" w:themeColor="text1"/>
          <w:sz w:val="18"/>
          <w:szCs w:val="18"/>
          <w:lang w:val="en-US" w:eastAsia="zh-CN"/>
        </w:rPr>
        <w:t xml:space="preserve">                                           </w:t>
      </w:r>
      <w:r>
        <w:rPr>
          <w:rFonts w:hint="default" w:ascii="Times New Roman" w:hAnsi="Times New Roman" w:cs="Times New Roman"/>
          <w:b/>
          <w:color w:val="000000" w:themeColor="text1"/>
          <w:sz w:val="18"/>
          <w:szCs w:val="18"/>
        </w:rPr>
        <w:t>项目经办人（签字）：</w:t>
      </w:r>
    </w:p>
    <w:tbl>
      <w:tblPr>
        <w:tblStyle w:val="39"/>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644"/>
        <w:gridCol w:w="1134"/>
        <w:gridCol w:w="1417"/>
        <w:gridCol w:w="821"/>
        <w:gridCol w:w="880"/>
        <w:gridCol w:w="470"/>
        <w:gridCol w:w="600"/>
        <w:gridCol w:w="915"/>
        <w:gridCol w:w="992"/>
        <w:gridCol w:w="2403"/>
        <w:gridCol w:w="862"/>
        <w:gridCol w:w="697"/>
        <w:gridCol w:w="547"/>
        <w:gridCol w:w="1102"/>
        <w:gridCol w:w="794"/>
      </w:tblGrid>
      <w:tr w14:paraId="1E85A9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restart"/>
            <w:tcMar>
              <w:left w:w="57" w:type="dxa"/>
              <w:right w:w="57" w:type="dxa"/>
            </w:tcMar>
            <w:textDirection w:val="tbRlV"/>
            <w:vAlign w:val="center"/>
          </w:tcPr>
          <w:p w14:paraId="675308D1">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建设项目</w:t>
            </w:r>
          </w:p>
        </w:tc>
        <w:tc>
          <w:tcPr>
            <w:tcW w:w="1812" w:type="dxa"/>
            <w:gridSpan w:val="2"/>
            <w:tcMar>
              <w:left w:w="57" w:type="dxa"/>
              <w:right w:w="57" w:type="dxa"/>
            </w:tcMar>
            <w:vAlign w:val="center"/>
          </w:tcPr>
          <w:p w14:paraId="1CA4367E">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项目名称</w:t>
            </w:r>
          </w:p>
        </w:tc>
        <w:tc>
          <w:tcPr>
            <w:tcW w:w="5322" w:type="dxa"/>
            <w:gridSpan w:val="6"/>
            <w:tcMar>
              <w:left w:w="57" w:type="dxa"/>
              <w:right w:w="57" w:type="dxa"/>
            </w:tcMar>
            <w:vAlign w:val="center"/>
          </w:tcPr>
          <w:p w14:paraId="3D24D614">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腾冲市“顺颐府”住宅建设项目（一期）</w:t>
            </w:r>
          </w:p>
        </w:tc>
        <w:tc>
          <w:tcPr>
            <w:tcW w:w="1907" w:type="dxa"/>
            <w:gridSpan w:val="2"/>
            <w:tcMar>
              <w:left w:w="57" w:type="dxa"/>
              <w:right w:w="57" w:type="dxa"/>
            </w:tcMar>
            <w:vAlign w:val="center"/>
          </w:tcPr>
          <w:p w14:paraId="2B1B2AD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项目代码</w:t>
            </w:r>
          </w:p>
        </w:tc>
        <w:tc>
          <w:tcPr>
            <w:tcW w:w="2403" w:type="dxa"/>
            <w:tcMar>
              <w:left w:w="57" w:type="dxa"/>
              <w:right w:w="57" w:type="dxa"/>
            </w:tcMar>
            <w:vAlign w:val="center"/>
          </w:tcPr>
          <w:p w14:paraId="2F202A03">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w:t>
            </w:r>
          </w:p>
        </w:tc>
        <w:tc>
          <w:tcPr>
            <w:tcW w:w="1559" w:type="dxa"/>
            <w:gridSpan w:val="2"/>
            <w:tcMar>
              <w:left w:w="57" w:type="dxa"/>
              <w:right w:w="57" w:type="dxa"/>
            </w:tcMar>
            <w:vAlign w:val="center"/>
          </w:tcPr>
          <w:p w14:paraId="0C341E2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建设地点</w:t>
            </w:r>
          </w:p>
        </w:tc>
        <w:tc>
          <w:tcPr>
            <w:tcW w:w="2443" w:type="dxa"/>
            <w:gridSpan w:val="3"/>
            <w:tcMar>
              <w:left w:w="57" w:type="dxa"/>
              <w:right w:w="57" w:type="dxa"/>
            </w:tcMar>
            <w:vAlign w:val="center"/>
          </w:tcPr>
          <w:p w14:paraId="20BE8FB3">
            <w:pPr>
              <w:jc w:val="center"/>
              <w:rPr>
                <w:rFonts w:hint="default" w:ascii="Times New Roman" w:hAnsi="Times New Roman" w:cs="Times New Roman"/>
                <w:bCs/>
                <w:color w:val="000000" w:themeColor="text1"/>
                <w:kern w:val="0"/>
                <w:sz w:val="13"/>
                <w:szCs w:val="13"/>
              </w:rPr>
            </w:pPr>
            <w:r>
              <w:rPr>
                <w:rFonts w:hint="default" w:ascii="Times New Roman" w:hAnsi="Times New Roman" w:cs="Times New Roman"/>
                <w:bCs/>
                <w:color w:val="000000" w:themeColor="text1"/>
                <w:kern w:val="0"/>
                <w:sz w:val="13"/>
                <w:szCs w:val="13"/>
              </w:rPr>
              <w:t>腾冲市宝峰社区</w:t>
            </w:r>
          </w:p>
        </w:tc>
      </w:tr>
      <w:tr w14:paraId="3D7C4D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0F3B14EF">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A3C1C50">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行业类别（分类管理名录）</w:t>
            </w:r>
          </w:p>
        </w:tc>
        <w:tc>
          <w:tcPr>
            <w:tcW w:w="5322" w:type="dxa"/>
            <w:gridSpan w:val="6"/>
            <w:tcMar>
              <w:left w:w="57" w:type="dxa"/>
              <w:right w:w="57" w:type="dxa"/>
            </w:tcMar>
            <w:vAlign w:val="center"/>
          </w:tcPr>
          <w:p w14:paraId="6837C5E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highlight w:val="none"/>
              </w:rPr>
              <w:t>房地产开发经营（K7010）</w:t>
            </w:r>
          </w:p>
        </w:tc>
        <w:tc>
          <w:tcPr>
            <w:tcW w:w="1907" w:type="dxa"/>
            <w:gridSpan w:val="2"/>
            <w:tcMar>
              <w:left w:w="57" w:type="dxa"/>
              <w:right w:w="57" w:type="dxa"/>
            </w:tcMar>
            <w:vAlign w:val="center"/>
          </w:tcPr>
          <w:p w14:paraId="13E3F7B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建设性质</w:t>
            </w:r>
          </w:p>
        </w:tc>
        <w:tc>
          <w:tcPr>
            <w:tcW w:w="6405" w:type="dxa"/>
            <w:gridSpan w:val="6"/>
            <w:tcMar>
              <w:left w:w="57" w:type="dxa"/>
              <w:right w:w="57" w:type="dxa"/>
            </w:tcMar>
            <w:vAlign w:val="center"/>
          </w:tcPr>
          <w:p w14:paraId="318B00AF">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√新建□改扩建□技术改造</w:t>
            </w:r>
          </w:p>
        </w:tc>
      </w:tr>
      <w:tr w14:paraId="0057FF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6AF88EF0">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C15E52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设计生产能力</w:t>
            </w:r>
          </w:p>
        </w:tc>
        <w:tc>
          <w:tcPr>
            <w:tcW w:w="5322" w:type="dxa"/>
            <w:gridSpan w:val="6"/>
            <w:tcMar>
              <w:left w:w="57" w:type="dxa"/>
              <w:right w:w="57" w:type="dxa"/>
            </w:tcMar>
            <w:vAlign w:val="center"/>
          </w:tcPr>
          <w:p w14:paraId="30F298FF">
            <w:pPr>
              <w:spacing w:line="240" w:lineRule="atLeast"/>
              <w:jc w:val="center"/>
              <w:rPr>
                <w:rFonts w:hint="default" w:ascii="Times New Roman" w:hAnsi="Times New Roman" w:cs="Times New Roman"/>
                <w:bCs/>
                <w:color w:val="000000" w:themeColor="text1"/>
                <w:kern w:val="0"/>
                <w:sz w:val="13"/>
                <w:szCs w:val="13"/>
              </w:rPr>
            </w:pPr>
            <w:r>
              <w:rPr>
                <w:rFonts w:hint="default" w:ascii="Times New Roman" w:hAnsi="Times New Roman" w:cs="Times New Roman"/>
                <w:color w:val="000000" w:themeColor="text1"/>
                <w:sz w:val="13"/>
                <w:szCs w:val="13"/>
                <w:highlight w:val="none"/>
              </w:rPr>
              <w:t>占地面积</w:t>
            </w:r>
            <w:r>
              <w:rPr>
                <w:rFonts w:hint="eastAsia" w:ascii="Times New Roman" w:hAnsi="Times New Roman" w:cs="Times New Roman"/>
                <w:color w:val="000000" w:themeColor="text1"/>
                <w:sz w:val="13"/>
                <w:szCs w:val="13"/>
                <w:highlight w:val="none"/>
                <w:lang w:val="en-US" w:eastAsia="zh-CN"/>
              </w:rPr>
              <w:t>13897.75</w:t>
            </w:r>
            <w:r>
              <w:rPr>
                <w:rFonts w:hint="default" w:ascii="Times New Roman" w:hAnsi="Times New Roman" w:cs="Times New Roman"/>
                <w:color w:val="000000" w:themeColor="text1"/>
                <w:sz w:val="13"/>
                <w:szCs w:val="13"/>
                <w:highlight w:val="none"/>
              </w:rPr>
              <w:t>m</w:t>
            </w:r>
            <w:r>
              <w:rPr>
                <w:rFonts w:hint="default" w:ascii="Times New Roman" w:hAnsi="Times New Roman" w:cs="Times New Roman"/>
                <w:color w:val="000000" w:themeColor="text1"/>
                <w:sz w:val="13"/>
                <w:szCs w:val="13"/>
                <w:highlight w:val="none"/>
                <w:vertAlign w:val="superscript"/>
              </w:rPr>
              <w:t>2</w:t>
            </w:r>
            <w:r>
              <w:rPr>
                <w:rFonts w:hint="default" w:ascii="Times New Roman" w:hAnsi="Times New Roman" w:cs="Times New Roman"/>
                <w:color w:val="000000" w:themeColor="text1"/>
                <w:sz w:val="13"/>
                <w:szCs w:val="13"/>
                <w:highlight w:val="none"/>
              </w:rPr>
              <w:t>，建筑面积为</w:t>
            </w:r>
            <w:r>
              <w:rPr>
                <w:rFonts w:hint="eastAsia" w:ascii="Times New Roman" w:hAnsi="Times New Roman" w:cs="Times New Roman"/>
                <w:color w:val="000000" w:themeColor="text1"/>
                <w:sz w:val="13"/>
                <w:szCs w:val="13"/>
                <w:highlight w:val="none"/>
                <w:lang w:val="en-US" w:eastAsia="zh-CN"/>
              </w:rPr>
              <w:t>35012.72</w:t>
            </w:r>
            <w:r>
              <w:rPr>
                <w:rFonts w:hint="default" w:ascii="Times New Roman" w:hAnsi="Times New Roman" w:cs="Times New Roman"/>
                <w:color w:val="000000" w:themeColor="text1"/>
                <w:sz w:val="13"/>
                <w:szCs w:val="13"/>
                <w:highlight w:val="none"/>
              </w:rPr>
              <w:t>m</w:t>
            </w:r>
            <w:r>
              <w:rPr>
                <w:rFonts w:hint="default" w:ascii="Times New Roman" w:hAnsi="Times New Roman" w:cs="Times New Roman"/>
                <w:color w:val="000000" w:themeColor="text1"/>
                <w:sz w:val="13"/>
                <w:szCs w:val="13"/>
                <w:highlight w:val="none"/>
                <w:vertAlign w:val="superscript"/>
              </w:rPr>
              <w:t>2</w:t>
            </w:r>
          </w:p>
        </w:tc>
        <w:tc>
          <w:tcPr>
            <w:tcW w:w="1907" w:type="dxa"/>
            <w:gridSpan w:val="2"/>
            <w:tcMar>
              <w:left w:w="57" w:type="dxa"/>
              <w:right w:w="57" w:type="dxa"/>
            </w:tcMar>
            <w:vAlign w:val="center"/>
          </w:tcPr>
          <w:p w14:paraId="73ED2448">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实际生产能力</w:t>
            </w:r>
          </w:p>
        </w:tc>
        <w:tc>
          <w:tcPr>
            <w:tcW w:w="2403" w:type="dxa"/>
            <w:tcMar>
              <w:left w:w="57" w:type="dxa"/>
              <w:right w:w="57" w:type="dxa"/>
            </w:tcMar>
            <w:vAlign w:val="center"/>
          </w:tcPr>
          <w:p w14:paraId="63500F66">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color w:val="000000" w:themeColor="text1"/>
                <w:sz w:val="13"/>
                <w:szCs w:val="13"/>
                <w:highlight w:val="none"/>
              </w:rPr>
              <w:t>占地面积</w:t>
            </w:r>
            <w:r>
              <w:rPr>
                <w:rFonts w:hint="eastAsia" w:ascii="Times New Roman" w:hAnsi="Times New Roman" w:cs="Times New Roman"/>
                <w:color w:val="000000" w:themeColor="text1"/>
                <w:sz w:val="13"/>
                <w:szCs w:val="13"/>
                <w:highlight w:val="none"/>
                <w:lang w:val="en-US" w:eastAsia="zh-CN"/>
              </w:rPr>
              <w:t>13897.75</w:t>
            </w:r>
            <w:r>
              <w:rPr>
                <w:rFonts w:hint="default" w:ascii="Times New Roman" w:hAnsi="Times New Roman" w:cs="Times New Roman"/>
                <w:color w:val="000000" w:themeColor="text1"/>
                <w:sz w:val="13"/>
                <w:szCs w:val="13"/>
                <w:highlight w:val="none"/>
              </w:rPr>
              <w:t>m</w:t>
            </w:r>
            <w:r>
              <w:rPr>
                <w:rFonts w:hint="default" w:ascii="Times New Roman" w:hAnsi="Times New Roman" w:cs="Times New Roman"/>
                <w:color w:val="000000" w:themeColor="text1"/>
                <w:sz w:val="13"/>
                <w:szCs w:val="13"/>
                <w:highlight w:val="none"/>
                <w:vertAlign w:val="superscript"/>
              </w:rPr>
              <w:t>2</w:t>
            </w:r>
            <w:r>
              <w:rPr>
                <w:rFonts w:hint="default" w:ascii="Times New Roman" w:hAnsi="Times New Roman" w:cs="Times New Roman"/>
                <w:color w:val="000000" w:themeColor="text1"/>
                <w:sz w:val="13"/>
                <w:szCs w:val="13"/>
                <w:highlight w:val="none"/>
              </w:rPr>
              <w:t>，建筑面积为</w:t>
            </w:r>
            <w:r>
              <w:rPr>
                <w:rFonts w:hint="default" w:ascii="Times New Roman" w:hAnsi="Times New Roman" w:cs="Times New Roman"/>
                <w:color w:val="000000" w:themeColor="text1"/>
                <w:sz w:val="13"/>
                <w:szCs w:val="13"/>
                <w:highlight w:val="none"/>
                <w:lang w:val="en-US" w:eastAsia="zh-CN"/>
              </w:rPr>
              <w:t>36499.06</w:t>
            </w:r>
            <w:r>
              <w:rPr>
                <w:rFonts w:hint="default" w:ascii="Times New Roman" w:hAnsi="Times New Roman" w:cs="Times New Roman"/>
                <w:color w:val="000000" w:themeColor="text1"/>
                <w:sz w:val="13"/>
                <w:szCs w:val="13"/>
                <w:highlight w:val="none"/>
              </w:rPr>
              <w:t>m</w:t>
            </w:r>
            <w:r>
              <w:rPr>
                <w:rFonts w:hint="default" w:ascii="Times New Roman" w:hAnsi="Times New Roman" w:cs="Times New Roman"/>
                <w:color w:val="000000" w:themeColor="text1"/>
                <w:sz w:val="13"/>
                <w:szCs w:val="13"/>
                <w:highlight w:val="none"/>
                <w:vertAlign w:val="superscript"/>
              </w:rPr>
              <w:t>2</w:t>
            </w:r>
          </w:p>
        </w:tc>
        <w:tc>
          <w:tcPr>
            <w:tcW w:w="1559" w:type="dxa"/>
            <w:gridSpan w:val="2"/>
            <w:tcMar>
              <w:left w:w="57" w:type="dxa"/>
              <w:right w:w="57" w:type="dxa"/>
            </w:tcMar>
            <w:vAlign w:val="center"/>
          </w:tcPr>
          <w:p w14:paraId="77B5AFBC">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环评单位</w:t>
            </w:r>
          </w:p>
        </w:tc>
        <w:tc>
          <w:tcPr>
            <w:tcW w:w="2443" w:type="dxa"/>
            <w:gridSpan w:val="3"/>
            <w:tcMar>
              <w:left w:w="57" w:type="dxa"/>
              <w:right w:w="57" w:type="dxa"/>
            </w:tcMar>
            <w:vAlign w:val="center"/>
          </w:tcPr>
          <w:p w14:paraId="7E20AD58">
            <w:pPr>
              <w:spacing w:line="20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Cs/>
                <w:color w:val="000000" w:themeColor="text1"/>
                <w:kern w:val="0"/>
                <w:sz w:val="13"/>
                <w:szCs w:val="13"/>
              </w:rPr>
              <w:t>昆明煤炭设计研究院</w:t>
            </w:r>
          </w:p>
        </w:tc>
      </w:tr>
      <w:tr w14:paraId="33C390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66BBF6A8">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4FAC2ACB">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环评文件审批机关</w:t>
            </w:r>
          </w:p>
        </w:tc>
        <w:tc>
          <w:tcPr>
            <w:tcW w:w="5322" w:type="dxa"/>
            <w:gridSpan w:val="6"/>
            <w:tcMar>
              <w:left w:w="57" w:type="dxa"/>
              <w:right w:w="57" w:type="dxa"/>
            </w:tcMar>
            <w:vAlign w:val="center"/>
          </w:tcPr>
          <w:p w14:paraId="39CDBC5F">
            <w:pPr>
              <w:spacing w:line="240" w:lineRule="exact"/>
              <w:jc w:val="center"/>
              <w:rPr>
                <w:rFonts w:hint="default" w:ascii="Times New Roman" w:hAnsi="Times New Roman" w:cs="Times New Roman"/>
                <w:color w:val="000000" w:themeColor="text1"/>
                <w:sz w:val="13"/>
                <w:szCs w:val="13"/>
                <w:lang w:val="en-US"/>
              </w:rPr>
            </w:pPr>
            <w:r>
              <w:rPr>
                <w:rFonts w:hint="eastAsia" w:ascii="Times New Roman" w:hAnsi="Times New Roman" w:cs="Times New Roman"/>
                <w:color w:val="000000" w:themeColor="text1"/>
                <w:sz w:val="13"/>
                <w:szCs w:val="13"/>
                <w:lang w:val="en-US" w:eastAsia="zh-CN"/>
              </w:rPr>
              <w:t>保山市生态环境局腾冲分局</w:t>
            </w:r>
          </w:p>
        </w:tc>
        <w:tc>
          <w:tcPr>
            <w:tcW w:w="1907" w:type="dxa"/>
            <w:gridSpan w:val="2"/>
            <w:tcMar>
              <w:left w:w="57" w:type="dxa"/>
              <w:right w:w="57" w:type="dxa"/>
            </w:tcMar>
            <w:vAlign w:val="center"/>
          </w:tcPr>
          <w:p w14:paraId="2B4A2189">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审批文号</w:t>
            </w:r>
          </w:p>
        </w:tc>
        <w:tc>
          <w:tcPr>
            <w:tcW w:w="2403" w:type="dxa"/>
            <w:tcMar>
              <w:left w:w="57" w:type="dxa"/>
              <w:right w:w="57" w:type="dxa"/>
            </w:tcMar>
            <w:vAlign w:val="center"/>
          </w:tcPr>
          <w:p w14:paraId="55572DEA">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腾环准〔201</w:t>
            </w:r>
            <w:r>
              <w:rPr>
                <w:rFonts w:hint="default" w:ascii="Times New Roman" w:hAnsi="Times New Roman" w:cs="Times New Roman"/>
                <w:color w:val="000000" w:themeColor="text1"/>
                <w:sz w:val="13"/>
                <w:szCs w:val="13"/>
                <w:lang w:val="en-US" w:eastAsia="zh-CN"/>
              </w:rPr>
              <w:t>9</w:t>
            </w:r>
            <w:r>
              <w:rPr>
                <w:rFonts w:hint="default" w:ascii="Times New Roman" w:hAnsi="Times New Roman" w:cs="Times New Roman"/>
                <w:color w:val="000000" w:themeColor="text1"/>
                <w:sz w:val="13"/>
                <w:szCs w:val="13"/>
              </w:rPr>
              <w:t>〕</w:t>
            </w:r>
            <w:r>
              <w:rPr>
                <w:rFonts w:hint="default" w:ascii="Times New Roman" w:hAnsi="Times New Roman" w:cs="Times New Roman"/>
                <w:color w:val="000000" w:themeColor="text1"/>
                <w:sz w:val="13"/>
                <w:szCs w:val="13"/>
                <w:lang w:val="en-US" w:eastAsia="zh-CN"/>
              </w:rPr>
              <w:t>21</w:t>
            </w:r>
            <w:r>
              <w:rPr>
                <w:rFonts w:hint="default" w:ascii="Times New Roman" w:hAnsi="Times New Roman" w:cs="Times New Roman"/>
                <w:color w:val="000000" w:themeColor="text1"/>
                <w:sz w:val="13"/>
                <w:szCs w:val="13"/>
              </w:rPr>
              <w:t>号</w:t>
            </w:r>
          </w:p>
        </w:tc>
        <w:tc>
          <w:tcPr>
            <w:tcW w:w="1559" w:type="dxa"/>
            <w:gridSpan w:val="2"/>
            <w:tcMar>
              <w:left w:w="57" w:type="dxa"/>
              <w:right w:w="57" w:type="dxa"/>
            </w:tcMar>
            <w:vAlign w:val="center"/>
          </w:tcPr>
          <w:p w14:paraId="7C333F06">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环评文件类型</w:t>
            </w:r>
          </w:p>
        </w:tc>
        <w:tc>
          <w:tcPr>
            <w:tcW w:w="2443" w:type="dxa"/>
            <w:gridSpan w:val="3"/>
            <w:tcMar>
              <w:left w:w="57" w:type="dxa"/>
              <w:right w:w="57" w:type="dxa"/>
            </w:tcMar>
            <w:vAlign w:val="center"/>
          </w:tcPr>
          <w:p w14:paraId="31CCC512">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报告表</w:t>
            </w:r>
          </w:p>
        </w:tc>
      </w:tr>
      <w:tr w14:paraId="03D5E7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550DF3E3">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65D6BCF8">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开工日期</w:t>
            </w:r>
          </w:p>
        </w:tc>
        <w:tc>
          <w:tcPr>
            <w:tcW w:w="5322" w:type="dxa"/>
            <w:gridSpan w:val="6"/>
            <w:tcMar>
              <w:left w:w="57" w:type="dxa"/>
              <w:right w:w="57" w:type="dxa"/>
            </w:tcMar>
            <w:vAlign w:val="center"/>
          </w:tcPr>
          <w:p w14:paraId="398E92DD">
            <w:pPr>
              <w:spacing w:line="240" w:lineRule="exact"/>
              <w:jc w:val="center"/>
              <w:rPr>
                <w:rFonts w:hint="default" w:ascii="Times New Roman" w:hAnsi="Times New Roman" w:eastAsia="宋体" w:cs="Times New Roman"/>
                <w:color w:val="000000" w:themeColor="text1"/>
                <w:sz w:val="13"/>
                <w:szCs w:val="13"/>
                <w:lang w:val="en-US" w:eastAsia="zh-CN"/>
              </w:rPr>
            </w:pPr>
            <w:r>
              <w:rPr>
                <w:rFonts w:hint="default" w:ascii="Times New Roman" w:hAnsi="Times New Roman" w:cs="Times New Roman"/>
                <w:color w:val="000000" w:themeColor="text1"/>
                <w:sz w:val="13"/>
                <w:szCs w:val="13"/>
                <w:highlight w:val="none"/>
              </w:rPr>
              <w:t>20</w:t>
            </w:r>
            <w:r>
              <w:rPr>
                <w:rFonts w:hint="eastAsia" w:ascii="Times New Roman" w:hAnsi="Times New Roman" w:cs="Times New Roman"/>
                <w:color w:val="000000" w:themeColor="text1"/>
                <w:sz w:val="13"/>
                <w:szCs w:val="13"/>
                <w:highlight w:val="none"/>
                <w:lang w:val="en-US" w:eastAsia="zh-CN"/>
              </w:rPr>
              <w:t>19</w:t>
            </w:r>
            <w:r>
              <w:rPr>
                <w:rFonts w:hint="default" w:ascii="Times New Roman" w:hAnsi="Times New Roman" w:cs="Times New Roman"/>
                <w:color w:val="000000" w:themeColor="text1"/>
                <w:sz w:val="13"/>
                <w:szCs w:val="13"/>
                <w:highlight w:val="none"/>
              </w:rPr>
              <w:t>年</w:t>
            </w:r>
            <w:r>
              <w:rPr>
                <w:rFonts w:hint="eastAsia" w:ascii="Times New Roman" w:hAnsi="Times New Roman" w:cs="Times New Roman"/>
                <w:color w:val="000000" w:themeColor="text1"/>
                <w:sz w:val="13"/>
                <w:szCs w:val="13"/>
                <w:highlight w:val="none"/>
                <w:lang w:val="en-US" w:eastAsia="zh-CN"/>
              </w:rPr>
              <w:t>8</w:t>
            </w:r>
            <w:r>
              <w:rPr>
                <w:rFonts w:hint="default" w:ascii="Times New Roman" w:hAnsi="Times New Roman" w:cs="Times New Roman"/>
                <w:color w:val="000000" w:themeColor="text1"/>
                <w:sz w:val="13"/>
                <w:szCs w:val="13"/>
                <w:highlight w:val="none"/>
              </w:rPr>
              <w:t>月</w:t>
            </w:r>
          </w:p>
        </w:tc>
        <w:tc>
          <w:tcPr>
            <w:tcW w:w="1907" w:type="dxa"/>
            <w:gridSpan w:val="2"/>
            <w:tcMar>
              <w:left w:w="57" w:type="dxa"/>
              <w:right w:w="57" w:type="dxa"/>
            </w:tcMar>
            <w:vAlign w:val="center"/>
          </w:tcPr>
          <w:p w14:paraId="13E5C432">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竣工日期</w:t>
            </w:r>
          </w:p>
        </w:tc>
        <w:tc>
          <w:tcPr>
            <w:tcW w:w="2403" w:type="dxa"/>
            <w:tcMar>
              <w:left w:w="57" w:type="dxa"/>
              <w:right w:w="57" w:type="dxa"/>
            </w:tcMar>
            <w:vAlign w:val="center"/>
          </w:tcPr>
          <w:p w14:paraId="743EE5AA">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default" w:ascii="Times New Roman" w:hAnsi="Times New Roman" w:cs="Times New Roman"/>
                <w:color w:val="000000" w:themeColor="text1"/>
                <w:sz w:val="13"/>
                <w:szCs w:val="13"/>
                <w:highlight w:val="none"/>
              </w:rPr>
              <w:t>202</w:t>
            </w:r>
            <w:r>
              <w:rPr>
                <w:rFonts w:hint="eastAsia" w:ascii="Times New Roman" w:hAnsi="Times New Roman" w:cs="Times New Roman"/>
                <w:color w:val="000000" w:themeColor="text1"/>
                <w:sz w:val="13"/>
                <w:szCs w:val="13"/>
                <w:highlight w:val="none"/>
                <w:lang w:val="en-US" w:eastAsia="zh-CN"/>
              </w:rPr>
              <w:t>4</w:t>
            </w:r>
            <w:r>
              <w:rPr>
                <w:rFonts w:hint="default" w:ascii="Times New Roman" w:hAnsi="Times New Roman" w:cs="Times New Roman"/>
                <w:color w:val="000000" w:themeColor="text1"/>
                <w:sz w:val="13"/>
                <w:szCs w:val="13"/>
                <w:highlight w:val="none"/>
              </w:rPr>
              <w:t>年</w:t>
            </w:r>
            <w:r>
              <w:rPr>
                <w:rFonts w:hint="default" w:ascii="Times New Roman" w:hAnsi="Times New Roman" w:cs="Times New Roman"/>
                <w:color w:val="000000" w:themeColor="text1"/>
                <w:sz w:val="13"/>
                <w:szCs w:val="13"/>
                <w:highlight w:val="none"/>
                <w:lang w:val="en-US" w:eastAsia="zh-CN"/>
              </w:rPr>
              <w:t>1</w:t>
            </w:r>
            <w:r>
              <w:rPr>
                <w:rFonts w:hint="eastAsia" w:ascii="Times New Roman" w:hAnsi="Times New Roman" w:cs="Times New Roman"/>
                <w:color w:val="000000" w:themeColor="text1"/>
                <w:sz w:val="13"/>
                <w:szCs w:val="13"/>
                <w:highlight w:val="none"/>
                <w:lang w:val="en-US" w:eastAsia="zh-CN"/>
              </w:rPr>
              <w:t>0</w:t>
            </w:r>
            <w:r>
              <w:rPr>
                <w:rFonts w:hint="default" w:ascii="Times New Roman" w:hAnsi="Times New Roman" w:cs="Times New Roman"/>
                <w:color w:val="000000" w:themeColor="text1"/>
                <w:sz w:val="13"/>
                <w:szCs w:val="13"/>
                <w:highlight w:val="none"/>
              </w:rPr>
              <w:t>月</w:t>
            </w:r>
            <w:r>
              <w:rPr>
                <w:rFonts w:hint="default" w:ascii="Times New Roman" w:hAnsi="Times New Roman" w:cs="Times New Roman"/>
                <w:color w:val="000000" w:themeColor="text1"/>
                <w:sz w:val="13"/>
                <w:szCs w:val="13"/>
                <w:highlight w:val="none"/>
                <w:lang w:val="en-US" w:eastAsia="zh-CN"/>
              </w:rPr>
              <w:t>2日</w:t>
            </w:r>
          </w:p>
        </w:tc>
        <w:tc>
          <w:tcPr>
            <w:tcW w:w="1559" w:type="dxa"/>
            <w:gridSpan w:val="2"/>
            <w:tcMar>
              <w:left w:w="57" w:type="dxa"/>
              <w:right w:w="57" w:type="dxa"/>
            </w:tcMar>
            <w:vAlign w:val="center"/>
          </w:tcPr>
          <w:p w14:paraId="2B25342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排污登记申领时间</w:t>
            </w:r>
          </w:p>
        </w:tc>
        <w:tc>
          <w:tcPr>
            <w:tcW w:w="2443" w:type="dxa"/>
            <w:gridSpan w:val="3"/>
            <w:tcMar>
              <w:left w:w="57" w:type="dxa"/>
              <w:right w:w="57" w:type="dxa"/>
            </w:tcMar>
            <w:vAlign w:val="center"/>
          </w:tcPr>
          <w:p w14:paraId="6E527748">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cs="Times New Roman"/>
                <w:color w:val="000000" w:themeColor="text1"/>
                <w:sz w:val="13"/>
                <w:szCs w:val="13"/>
                <w:lang w:val="en-US" w:eastAsia="zh-CN"/>
              </w:rPr>
              <w:t>/</w:t>
            </w:r>
          </w:p>
        </w:tc>
      </w:tr>
      <w:tr w14:paraId="3008E2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430" w:type="dxa"/>
            <w:vMerge w:val="continue"/>
            <w:tcMar>
              <w:left w:w="57" w:type="dxa"/>
              <w:right w:w="57" w:type="dxa"/>
            </w:tcMar>
            <w:vAlign w:val="center"/>
          </w:tcPr>
          <w:p w14:paraId="3A05730C">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642949A4">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环保设施设计单位</w:t>
            </w:r>
          </w:p>
        </w:tc>
        <w:tc>
          <w:tcPr>
            <w:tcW w:w="5322" w:type="dxa"/>
            <w:gridSpan w:val="6"/>
            <w:tcMar>
              <w:left w:w="57" w:type="dxa"/>
              <w:right w:w="57" w:type="dxa"/>
            </w:tcMar>
            <w:vAlign w:val="center"/>
          </w:tcPr>
          <w:p w14:paraId="7BF1B32C">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lang w:val="en-US" w:eastAsia="zh-CN"/>
              </w:rPr>
              <w:t>北京广诚环境科技有限公司</w:t>
            </w:r>
          </w:p>
        </w:tc>
        <w:tc>
          <w:tcPr>
            <w:tcW w:w="1907" w:type="dxa"/>
            <w:gridSpan w:val="2"/>
            <w:tcMar>
              <w:left w:w="57" w:type="dxa"/>
              <w:right w:w="57" w:type="dxa"/>
            </w:tcMar>
            <w:vAlign w:val="center"/>
          </w:tcPr>
          <w:p w14:paraId="5E7527A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环保设施施工单位</w:t>
            </w:r>
          </w:p>
        </w:tc>
        <w:tc>
          <w:tcPr>
            <w:tcW w:w="2403" w:type="dxa"/>
            <w:tcMar>
              <w:left w:w="57" w:type="dxa"/>
              <w:right w:w="57" w:type="dxa"/>
            </w:tcMar>
            <w:vAlign w:val="center"/>
          </w:tcPr>
          <w:p w14:paraId="1646F593">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lang w:val="en-US" w:eastAsia="zh-CN"/>
              </w:rPr>
              <w:t>北京广诚环境科技有限公司</w:t>
            </w:r>
          </w:p>
        </w:tc>
        <w:tc>
          <w:tcPr>
            <w:tcW w:w="1559" w:type="dxa"/>
            <w:gridSpan w:val="2"/>
            <w:tcMar>
              <w:left w:w="57" w:type="dxa"/>
              <w:right w:w="57" w:type="dxa"/>
            </w:tcMar>
            <w:vAlign w:val="center"/>
          </w:tcPr>
          <w:p w14:paraId="2FCCAA0D">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本工程排污许可证编号</w:t>
            </w:r>
          </w:p>
        </w:tc>
        <w:tc>
          <w:tcPr>
            <w:tcW w:w="2443" w:type="dxa"/>
            <w:gridSpan w:val="3"/>
            <w:tcMar>
              <w:left w:w="57" w:type="dxa"/>
              <w:right w:w="57" w:type="dxa"/>
            </w:tcMar>
            <w:vAlign w:val="center"/>
          </w:tcPr>
          <w:p w14:paraId="1C7F70B0">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w:t>
            </w:r>
          </w:p>
        </w:tc>
      </w:tr>
      <w:tr w14:paraId="7B16AE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667F9D7A">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D4F0415">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验收单位</w:t>
            </w:r>
          </w:p>
        </w:tc>
        <w:tc>
          <w:tcPr>
            <w:tcW w:w="5322" w:type="dxa"/>
            <w:gridSpan w:val="6"/>
            <w:tcMar>
              <w:left w:w="57" w:type="dxa"/>
              <w:right w:w="57" w:type="dxa"/>
            </w:tcMar>
            <w:vAlign w:val="center"/>
          </w:tcPr>
          <w:p w14:paraId="686F596F">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eastAsia="宋体" w:cs="Times New Roman"/>
                <w:color w:val="000000" w:themeColor="text1"/>
                <w:sz w:val="13"/>
                <w:szCs w:val="13"/>
                <w:lang w:eastAsia="zh-CN"/>
              </w:rPr>
              <w:t>腾冲广恒信达房地产开发有限责任公</w:t>
            </w:r>
            <w:r>
              <w:rPr>
                <w:rFonts w:hint="eastAsia" w:ascii="Times New Roman" w:hAnsi="Times New Roman" w:eastAsia="宋体" w:cs="Times New Roman"/>
                <w:color w:val="000000" w:themeColor="text1"/>
                <w:sz w:val="13"/>
                <w:szCs w:val="13"/>
                <w:lang w:val="en-US" w:eastAsia="zh-CN"/>
              </w:rPr>
              <w:t>司</w:t>
            </w:r>
          </w:p>
        </w:tc>
        <w:tc>
          <w:tcPr>
            <w:tcW w:w="1907" w:type="dxa"/>
            <w:gridSpan w:val="2"/>
            <w:tcMar>
              <w:left w:w="57" w:type="dxa"/>
              <w:right w:w="57" w:type="dxa"/>
            </w:tcMar>
            <w:vAlign w:val="center"/>
          </w:tcPr>
          <w:p w14:paraId="757EA3F5">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环保设施监测单位</w:t>
            </w:r>
          </w:p>
        </w:tc>
        <w:tc>
          <w:tcPr>
            <w:tcW w:w="2403" w:type="dxa"/>
            <w:tcMar>
              <w:left w:w="57" w:type="dxa"/>
              <w:right w:w="57" w:type="dxa"/>
            </w:tcMar>
            <w:vAlign w:val="center"/>
          </w:tcPr>
          <w:p w14:paraId="6CBD1A11">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lang w:val="en-US"/>
              </w:rPr>
              <w:t>云南速测环境科技有限公司</w:t>
            </w:r>
          </w:p>
        </w:tc>
        <w:tc>
          <w:tcPr>
            <w:tcW w:w="1559" w:type="dxa"/>
            <w:gridSpan w:val="2"/>
            <w:tcMar>
              <w:left w:w="57" w:type="dxa"/>
              <w:right w:w="57" w:type="dxa"/>
            </w:tcMar>
            <w:vAlign w:val="center"/>
          </w:tcPr>
          <w:p w14:paraId="3612F9B8">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验收监测时工况</w:t>
            </w:r>
          </w:p>
        </w:tc>
        <w:tc>
          <w:tcPr>
            <w:tcW w:w="2443" w:type="dxa"/>
            <w:gridSpan w:val="3"/>
            <w:tcMar>
              <w:left w:w="57" w:type="dxa"/>
              <w:right w:w="57" w:type="dxa"/>
            </w:tcMar>
            <w:vAlign w:val="center"/>
          </w:tcPr>
          <w:p w14:paraId="71C1147D">
            <w:pPr>
              <w:spacing w:line="240" w:lineRule="exact"/>
              <w:jc w:val="center"/>
              <w:rPr>
                <w:rFonts w:hint="default" w:ascii="Times New Roman" w:hAnsi="Times New Roman" w:cs="Times New Roman"/>
                <w:color w:val="000000" w:themeColor="text1"/>
                <w:sz w:val="13"/>
                <w:szCs w:val="13"/>
              </w:rPr>
            </w:pPr>
            <w:r>
              <w:rPr>
                <w:rFonts w:hint="eastAsia" w:ascii="Times New Roman" w:hAnsi="Times New Roman" w:cs="Times New Roman"/>
                <w:color w:val="000000" w:themeColor="text1"/>
                <w:sz w:val="13"/>
                <w:szCs w:val="13"/>
                <w:highlight w:val="none"/>
                <w:lang w:val="en-US" w:eastAsia="zh-CN"/>
              </w:rPr>
              <w:t>9.9</w:t>
            </w:r>
            <w:r>
              <w:rPr>
                <w:rFonts w:hint="default" w:ascii="Times New Roman" w:hAnsi="Times New Roman" w:cs="Times New Roman"/>
                <w:color w:val="000000" w:themeColor="text1"/>
                <w:sz w:val="13"/>
                <w:szCs w:val="13"/>
                <w:highlight w:val="none"/>
              </w:rPr>
              <w:t>%</w:t>
            </w:r>
          </w:p>
        </w:tc>
      </w:tr>
      <w:tr w14:paraId="24DAA1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7640E16F">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6CFD53AE">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投资总概算（万元）</w:t>
            </w:r>
          </w:p>
        </w:tc>
        <w:tc>
          <w:tcPr>
            <w:tcW w:w="5322" w:type="dxa"/>
            <w:gridSpan w:val="6"/>
            <w:tcMar>
              <w:left w:w="57" w:type="dxa"/>
              <w:right w:w="57" w:type="dxa"/>
            </w:tcMar>
            <w:vAlign w:val="center"/>
          </w:tcPr>
          <w:p w14:paraId="708356E1">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8107</w:t>
            </w:r>
          </w:p>
        </w:tc>
        <w:tc>
          <w:tcPr>
            <w:tcW w:w="1907" w:type="dxa"/>
            <w:gridSpan w:val="2"/>
            <w:tcMar>
              <w:left w:w="57" w:type="dxa"/>
              <w:right w:w="57" w:type="dxa"/>
            </w:tcMar>
            <w:vAlign w:val="center"/>
          </w:tcPr>
          <w:p w14:paraId="45EED2C5">
            <w:pPr>
              <w:tabs>
                <w:tab w:val="left" w:pos="690"/>
              </w:tabs>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环保投资总概算（万元）</w:t>
            </w:r>
          </w:p>
        </w:tc>
        <w:tc>
          <w:tcPr>
            <w:tcW w:w="2403" w:type="dxa"/>
            <w:tcMar>
              <w:left w:w="57" w:type="dxa"/>
              <w:right w:w="57" w:type="dxa"/>
            </w:tcMar>
            <w:vAlign w:val="center"/>
          </w:tcPr>
          <w:p w14:paraId="4E377265">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103.45</w:t>
            </w:r>
          </w:p>
        </w:tc>
        <w:tc>
          <w:tcPr>
            <w:tcW w:w="1559" w:type="dxa"/>
            <w:gridSpan w:val="2"/>
            <w:tcMar>
              <w:left w:w="57" w:type="dxa"/>
              <w:right w:w="57" w:type="dxa"/>
            </w:tcMar>
            <w:vAlign w:val="center"/>
          </w:tcPr>
          <w:p w14:paraId="2A510C8A">
            <w:pPr>
              <w:tabs>
                <w:tab w:val="left" w:pos="690"/>
              </w:tabs>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所占比例（%）</w:t>
            </w:r>
          </w:p>
        </w:tc>
        <w:tc>
          <w:tcPr>
            <w:tcW w:w="2443" w:type="dxa"/>
            <w:gridSpan w:val="3"/>
            <w:tcMar>
              <w:left w:w="57" w:type="dxa"/>
              <w:right w:w="57" w:type="dxa"/>
            </w:tcMar>
            <w:vAlign w:val="center"/>
          </w:tcPr>
          <w:p w14:paraId="44B060F0">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default" w:ascii="Times New Roman" w:hAnsi="Times New Roman" w:cs="Times New Roman"/>
                <w:color w:val="000000" w:themeColor="text1"/>
                <w:sz w:val="13"/>
                <w:szCs w:val="13"/>
                <w:highlight w:val="none"/>
                <w:lang w:val="en-US" w:eastAsia="zh-CN"/>
              </w:rPr>
              <w:t>1.</w:t>
            </w:r>
            <w:r>
              <w:rPr>
                <w:rFonts w:hint="eastAsia" w:ascii="Times New Roman" w:hAnsi="Times New Roman" w:cs="Times New Roman"/>
                <w:color w:val="000000" w:themeColor="text1"/>
                <w:sz w:val="13"/>
                <w:szCs w:val="13"/>
                <w:highlight w:val="none"/>
                <w:lang w:val="en-US" w:eastAsia="zh-CN"/>
              </w:rPr>
              <w:t>28</w:t>
            </w:r>
          </w:p>
        </w:tc>
      </w:tr>
      <w:tr w14:paraId="3C300F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0" w:hRule="atLeast"/>
          <w:jc w:val="center"/>
        </w:trPr>
        <w:tc>
          <w:tcPr>
            <w:tcW w:w="430" w:type="dxa"/>
            <w:vMerge w:val="continue"/>
            <w:tcMar>
              <w:left w:w="57" w:type="dxa"/>
              <w:right w:w="57" w:type="dxa"/>
            </w:tcMar>
            <w:vAlign w:val="center"/>
          </w:tcPr>
          <w:p w14:paraId="59D912F7">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43CC5DA3">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实际总投资</w:t>
            </w:r>
          </w:p>
        </w:tc>
        <w:tc>
          <w:tcPr>
            <w:tcW w:w="5322" w:type="dxa"/>
            <w:gridSpan w:val="6"/>
            <w:tcMar>
              <w:left w:w="57" w:type="dxa"/>
              <w:right w:w="57" w:type="dxa"/>
            </w:tcMar>
            <w:vAlign w:val="center"/>
          </w:tcPr>
          <w:p w14:paraId="3391C67C">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8200</w:t>
            </w:r>
          </w:p>
        </w:tc>
        <w:tc>
          <w:tcPr>
            <w:tcW w:w="1907" w:type="dxa"/>
            <w:gridSpan w:val="2"/>
            <w:tcMar>
              <w:left w:w="57" w:type="dxa"/>
              <w:right w:w="57" w:type="dxa"/>
            </w:tcMar>
            <w:vAlign w:val="center"/>
          </w:tcPr>
          <w:p w14:paraId="51761BB4">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实际环保投资（万元）</w:t>
            </w:r>
          </w:p>
        </w:tc>
        <w:tc>
          <w:tcPr>
            <w:tcW w:w="2403" w:type="dxa"/>
            <w:tcMar>
              <w:left w:w="57" w:type="dxa"/>
              <w:right w:w="57" w:type="dxa"/>
            </w:tcMar>
            <w:vAlign w:val="center"/>
          </w:tcPr>
          <w:p w14:paraId="2FF15256">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196.11</w:t>
            </w:r>
          </w:p>
        </w:tc>
        <w:tc>
          <w:tcPr>
            <w:tcW w:w="1559" w:type="dxa"/>
            <w:gridSpan w:val="2"/>
            <w:tcMar>
              <w:left w:w="57" w:type="dxa"/>
              <w:right w:w="57" w:type="dxa"/>
            </w:tcMar>
            <w:vAlign w:val="center"/>
          </w:tcPr>
          <w:p w14:paraId="1147DB10">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所占比例（%）</w:t>
            </w:r>
          </w:p>
        </w:tc>
        <w:tc>
          <w:tcPr>
            <w:tcW w:w="2443" w:type="dxa"/>
            <w:gridSpan w:val="3"/>
            <w:tcMar>
              <w:left w:w="57" w:type="dxa"/>
              <w:right w:w="57" w:type="dxa"/>
            </w:tcMar>
            <w:vAlign w:val="center"/>
          </w:tcPr>
          <w:p w14:paraId="026C1DD3">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2.39</w:t>
            </w:r>
          </w:p>
        </w:tc>
      </w:tr>
      <w:tr w14:paraId="6FB370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205C2083">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5B4BDDCD">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废水治理（万元）</w:t>
            </w:r>
          </w:p>
        </w:tc>
        <w:tc>
          <w:tcPr>
            <w:tcW w:w="1134" w:type="dxa"/>
            <w:tcMar>
              <w:left w:w="57" w:type="dxa"/>
              <w:right w:w="57" w:type="dxa"/>
            </w:tcMar>
            <w:vAlign w:val="center"/>
          </w:tcPr>
          <w:p w14:paraId="1657A5C0">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115.41</w:t>
            </w:r>
          </w:p>
        </w:tc>
        <w:tc>
          <w:tcPr>
            <w:tcW w:w="1417" w:type="dxa"/>
            <w:tcMar>
              <w:left w:w="57" w:type="dxa"/>
              <w:right w:w="57" w:type="dxa"/>
            </w:tcMar>
            <w:vAlign w:val="center"/>
          </w:tcPr>
          <w:p w14:paraId="11B21384">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废气治理（万元）</w:t>
            </w:r>
          </w:p>
        </w:tc>
        <w:tc>
          <w:tcPr>
            <w:tcW w:w="821" w:type="dxa"/>
            <w:tcMar>
              <w:left w:w="57" w:type="dxa"/>
              <w:right w:w="57" w:type="dxa"/>
            </w:tcMar>
            <w:vAlign w:val="center"/>
          </w:tcPr>
          <w:p w14:paraId="1DC12907">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24.5</w:t>
            </w:r>
          </w:p>
        </w:tc>
        <w:tc>
          <w:tcPr>
            <w:tcW w:w="1350" w:type="dxa"/>
            <w:gridSpan w:val="2"/>
            <w:tcMar>
              <w:left w:w="57" w:type="dxa"/>
              <w:right w:w="57" w:type="dxa"/>
            </w:tcMar>
            <w:vAlign w:val="center"/>
          </w:tcPr>
          <w:p w14:paraId="6DE1800D">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噪声治理（万元）</w:t>
            </w:r>
          </w:p>
        </w:tc>
        <w:tc>
          <w:tcPr>
            <w:tcW w:w="600" w:type="dxa"/>
            <w:tcMar>
              <w:left w:w="57" w:type="dxa"/>
              <w:right w:w="57" w:type="dxa"/>
            </w:tcMar>
            <w:vAlign w:val="center"/>
          </w:tcPr>
          <w:p w14:paraId="5C6043F4">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default" w:ascii="Times New Roman" w:hAnsi="Times New Roman" w:cs="Times New Roman"/>
                <w:color w:val="000000" w:themeColor="text1"/>
                <w:sz w:val="13"/>
                <w:szCs w:val="13"/>
                <w:highlight w:val="none"/>
                <w:lang w:val="en-US" w:eastAsia="zh-CN"/>
              </w:rPr>
              <w:t>3</w:t>
            </w:r>
            <w:r>
              <w:rPr>
                <w:rFonts w:hint="eastAsia" w:ascii="Times New Roman" w:hAnsi="Times New Roman" w:cs="Times New Roman"/>
                <w:color w:val="000000" w:themeColor="text1"/>
                <w:sz w:val="13"/>
                <w:szCs w:val="13"/>
                <w:highlight w:val="none"/>
                <w:lang w:val="en-US" w:eastAsia="zh-CN"/>
              </w:rPr>
              <w:t>.2</w:t>
            </w:r>
          </w:p>
        </w:tc>
        <w:tc>
          <w:tcPr>
            <w:tcW w:w="1907" w:type="dxa"/>
            <w:gridSpan w:val="2"/>
            <w:tcMar>
              <w:left w:w="57" w:type="dxa"/>
              <w:right w:w="57" w:type="dxa"/>
            </w:tcMar>
            <w:vAlign w:val="center"/>
          </w:tcPr>
          <w:p w14:paraId="192FD56B">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固体废物治理（万元）</w:t>
            </w:r>
          </w:p>
        </w:tc>
        <w:tc>
          <w:tcPr>
            <w:tcW w:w="2403" w:type="dxa"/>
            <w:tcMar>
              <w:left w:w="57" w:type="dxa"/>
              <w:right w:w="57" w:type="dxa"/>
            </w:tcMar>
            <w:vAlign w:val="center"/>
          </w:tcPr>
          <w:p w14:paraId="1C32CC9A">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19</w:t>
            </w:r>
          </w:p>
        </w:tc>
        <w:tc>
          <w:tcPr>
            <w:tcW w:w="1559" w:type="dxa"/>
            <w:gridSpan w:val="2"/>
            <w:tcMar>
              <w:left w:w="57" w:type="dxa"/>
              <w:right w:w="57" w:type="dxa"/>
            </w:tcMar>
            <w:vAlign w:val="center"/>
          </w:tcPr>
          <w:p w14:paraId="06886B54">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绿化及生态（万元）</w:t>
            </w:r>
          </w:p>
        </w:tc>
        <w:tc>
          <w:tcPr>
            <w:tcW w:w="547" w:type="dxa"/>
            <w:tcMar>
              <w:left w:w="57" w:type="dxa"/>
              <w:right w:w="57" w:type="dxa"/>
            </w:tcMar>
            <w:vAlign w:val="center"/>
          </w:tcPr>
          <w:p w14:paraId="4BEDBEF5">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25</w:t>
            </w:r>
          </w:p>
        </w:tc>
        <w:tc>
          <w:tcPr>
            <w:tcW w:w="1102" w:type="dxa"/>
            <w:tcMar>
              <w:left w:w="57" w:type="dxa"/>
              <w:right w:w="57" w:type="dxa"/>
            </w:tcMar>
            <w:vAlign w:val="center"/>
          </w:tcPr>
          <w:p w14:paraId="36665309">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其他（万元）</w:t>
            </w:r>
          </w:p>
        </w:tc>
        <w:tc>
          <w:tcPr>
            <w:tcW w:w="794" w:type="dxa"/>
            <w:tcMar>
              <w:left w:w="57" w:type="dxa"/>
              <w:right w:w="57" w:type="dxa"/>
            </w:tcMar>
            <w:vAlign w:val="center"/>
          </w:tcPr>
          <w:p w14:paraId="3A54B8E3">
            <w:pPr>
              <w:spacing w:line="240" w:lineRule="exact"/>
              <w:jc w:val="center"/>
              <w:rPr>
                <w:rFonts w:hint="eastAsia" w:ascii="Times New Roman" w:hAnsi="Times New Roman" w:eastAsia="宋体" w:cs="Times New Roman"/>
                <w:color w:val="000000" w:themeColor="text1"/>
                <w:sz w:val="13"/>
                <w:szCs w:val="13"/>
                <w:lang w:val="en-US" w:eastAsia="zh-CN"/>
              </w:rPr>
            </w:pPr>
            <w:r>
              <w:rPr>
                <w:rFonts w:hint="eastAsia" w:ascii="Times New Roman" w:hAnsi="Times New Roman" w:cs="Times New Roman"/>
                <w:color w:val="000000" w:themeColor="text1"/>
                <w:sz w:val="13"/>
                <w:szCs w:val="13"/>
                <w:lang w:val="en-US" w:eastAsia="zh-CN"/>
              </w:rPr>
              <w:t>9</w:t>
            </w:r>
          </w:p>
        </w:tc>
      </w:tr>
      <w:tr w14:paraId="1BC92F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7D35FB3C">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331D7B3">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新增废水处理设施能力</w:t>
            </w:r>
          </w:p>
        </w:tc>
        <w:tc>
          <w:tcPr>
            <w:tcW w:w="5322" w:type="dxa"/>
            <w:gridSpan w:val="6"/>
            <w:tcMar>
              <w:left w:w="57" w:type="dxa"/>
              <w:right w:w="57" w:type="dxa"/>
            </w:tcMar>
            <w:vAlign w:val="center"/>
          </w:tcPr>
          <w:p w14:paraId="0035361B">
            <w:pPr>
              <w:spacing w:line="240" w:lineRule="exact"/>
              <w:jc w:val="center"/>
              <w:rPr>
                <w:rFonts w:hint="default" w:ascii="Times New Roman" w:hAnsi="Times New Roman" w:eastAsia="宋体" w:cs="Times New Roman"/>
                <w:color w:val="000000" w:themeColor="text1"/>
                <w:sz w:val="13"/>
                <w:szCs w:val="13"/>
                <w:lang w:val="en-US" w:eastAsia="zh-CN"/>
              </w:rPr>
            </w:pPr>
            <w:r>
              <w:rPr>
                <w:rFonts w:hint="eastAsia" w:ascii="Times New Roman" w:hAnsi="Times New Roman" w:cs="Times New Roman"/>
                <w:color w:val="000000" w:themeColor="text1"/>
                <w:sz w:val="13"/>
                <w:szCs w:val="13"/>
                <w:lang w:val="en-US" w:eastAsia="zh-CN"/>
              </w:rPr>
              <w:t>1个容积为100m</w:t>
            </w:r>
            <w:r>
              <w:rPr>
                <w:rFonts w:hint="eastAsia" w:ascii="Times New Roman" w:hAnsi="Times New Roman" w:cs="Times New Roman"/>
                <w:color w:val="000000" w:themeColor="text1"/>
                <w:sz w:val="13"/>
                <w:szCs w:val="13"/>
                <w:vertAlign w:val="superscript"/>
                <w:lang w:val="en-US" w:eastAsia="zh-CN"/>
              </w:rPr>
              <w:t>3</w:t>
            </w:r>
            <w:r>
              <w:rPr>
                <w:rFonts w:hint="eastAsia" w:ascii="Times New Roman" w:hAnsi="Times New Roman" w:cs="Times New Roman"/>
                <w:color w:val="000000" w:themeColor="text1"/>
                <w:sz w:val="13"/>
                <w:szCs w:val="13"/>
                <w:lang w:val="en-US" w:eastAsia="zh-CN"/>
              </w:rPr>
              <w:t>的化粪池、1个处理能力为384m</w:t>
            </w:r>
            <w:r>
              <w:rPr>
                <w:rFonts w:hint="eastAsia" w:ascii="Times New Roman" w:hAnsi="Times New Roman" w:cs="Times New Roman"/>
                <w:color w:val="000000" w:themeColor="text1"/>
                <w:sz w:val="13"/>
                <w:szCs w:val="13"/>
                <w:vertAlign w:val="superscript"/>
                <w:lang w:val="en-US" w:eastAsia="zh-CN"/>
              </w:rPr>
              <w:t>3</w:t>
            </w:r>
            <w:r>
              <w:rPr>
                <w:rFonts w:hint="eastAsia" w:ascii="Times New Roman" w:hAnsi="Times New Roman" w:cs="Times New Roman"/>
                <w:color w:val="000000" w:themeColor="text1"/>
                <w:sz w:val="13"/>
                <w:szCs w:val="13"/>
                <w:lang w:val="en-US" w:eastAsia="zh-CN"/>
              </w:rPr>
              <w:t>/d的污水处理站</w:t>
            </w:r>
          </w:p>
        </w:tc>
        <w:tc>
          <w:tcPr>
            <w:tcW w:w="1907" w:type="dxa"/>
            <w:gridSpan w:val="2"/>
            <w:tcMar>
              <w:left w:w="57" w:type="dxa"/>
              <w:right w:w="57" w:type="dxa"/>
            </w:tcMar>
            <w:vAlign w:val="center"/>
          </w:tcPr>
          <w:p w14:paraId="79A967CE">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新增废气处理设施能力</w:t>
            </w:r>
          </w:p>
        </w:tc>
        <w:tc>
          <w:tcPr>
            <w:tcW w:w="2403" w:type="dxa"/>
            <w:tcMar>
              <w:left w:w="57" w:type="dxa"/>
              <w:right w:w="57" w:type="dxa"/>
            </w:tcMar>
            <w:vAlign w:val="center"/>
          </w:tcPr>
          <w:p w14:paraId="2AB94D19">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cs="Times New Roman"/>
                <w:color w:val="000000" w:themeColor="text1"/>
                <w:sz w:val="13"/>
                <w:szCs w:val="13"/>
                <w:lang w:val="en-US" w:eastAsia="zh-CN"/>
              </w:rPr>
              <w:t>地下排风系统</w:t>
            </w:r>
          </w:p>
        </w:tc>
        <w:tc>
          <w:tcPr>
            <w:tcW w:w="1559" w:type="dxa"/>
            <w:gridSpan w:val="2"/>
            <w:tcMar>
              <w:left w:w="57" w:type="dxa"/>
              <w:right w:w="57" w:type="dxa"/>
            </w:tcMar>
            <w:vAlign w:val="center"/>
          </w:tcPr>
          <w:p w14:paraId="1A3D60EB">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年平均工作时</w:t>
            </w:r>
          </w:p>
        </w:tc>
        <w:tc>
          <w:tcPr>
            <w:tcW w:w="2443" w:type="dxa"/>
            <w:gridSpan w:val="3"/>
            <w:tcMar>
              <w:left w:w="57" w:type="dxa"/>
              <w:right w:w="57" w:type="dxa"/>
            </w:tcMar>
            <w:vAlign w:val="center"/>
          </w:tcPr>
          <w:p w14:paraId="3527B1F9">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365天</w:t>
            </w:r>
          </w:p>
        </w:tc>
      </w:tr>
      <w:tr w14:paraId="4731D2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42" w:type="dxa"/>
            <w:gridSpan w:val="3"/>
            <w:tcMar>
              <w:left w:w="57" w:type="dxa"/>
              <w:right w:w="57" w:type="dxa"/>
            </w:tcMar>
            <w:vAlign w:val="center"/>
          </w:tcPr>
          <w:p w14:paraId="44CA3FED">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运营单位</w:t>
            </w:r>
          </w:p>
        </w:tc>
        <w:tc>
          <w:tcPr>
            <w:tcW w:w="4252" w:type="dxa"/>
            <w:gridSpan w:val="4"/>
            <w:tcMar>
              <w:left w:w="57" w:type="dxa"/>
              <w:right w:w="57" w:type="dxa"/>
            </w:tcMar>
            <w:vAlign w:val="center"/>
          </w:tcPr>
          <w:p w14:paraId="557C05CD">
            <w:pPr>
              <w:spacing w:line="240" w:lineRule="exact"/>
              <w:jc w:val="center"/>
              <w:rPr>
                <w:rFonts w:hint="default" w:ascii="Times New Roman" w:hAnsi="Times New Roman" w:eastAsia="宋体" w:cs="Times New Roman"/>
                <w:color w:val="000000" w:themeColor="text1"/>
                <w:sz w:val="13"/>
                <w:szCs w:val="13"/>
                <w:lang w:eastAsia="zh-CN"/>
              </w:rPr>
            </w:pPr>
            <w:r>
              <w:rPr>
                <w:rFonts w:hint="eastAsia" w:ascii="Times New Roman" w:hAnsi="Times New Roman" w:eastAsia="宋体" w:cs="Times New Roman"/>
                <w:color w:val="000000" w:themeColor="text1"/>
                <w:sz w:val="13"/>
                <w:szCs w:val="13"/>
                <w:lang w:eastAsia="zh-CN"/>
              </w:rPr>
              <w:t>腾冲广恒信达房地产开发有限责任公司</w:t>
            </w:r>
          </w:p>
        </w:tc>
        <w:tc>
          <w:tcPr>
            <w:tcW w:w="2977" w:type="dxa"/>
            <w:gridSpan w:val="4"/>
            <w:tcMar>
              <w:left w:w="57" w:type="dxa"/>
              <w:right w:w="57" w:type="dxa"/>
            </w:tcMar>
            <w:vAlign w:val="center"/>
          </w:tcPr>
          <w:p w14:paraId="3B1DF7CF">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运营单位社会统一信用代码（或组织机构代码）</w:t>
            </w:r>
          </w:p>
        </w:tc>
        <w:tc>
          <w:tcPr>
            <w:tcW w:w="2403" w:type="dxa"/>
            <w:tcMar>
              <w:left w:w="57" w:type="dxa"/>
              <w:right w:w="57" w:type="dxa"/>
            </w:tcMar>
            <w:vAlign w:val="center"/>
          </w:tcPr>
          <w:p w14:paraId="4DC4DBA6">
            <w:pPr>
              <w:spacing w:line="240" w:lineRule="exact"/>
              <w:jc w:val="center"/>
              <w:rPr>
                <w:rFonts w:hint="default" w:ascii="Times New Roman" w:hAnsi="Times New Roman" w:eastAsia="宋体" w:cs="Times New Roman"/>
                <w:b/>
                <w:color w:val="000000" w:themeColor="text1"/>
                <w:sz w:val="13"/>
                <w:szCs w:val="13"/>
                <w:lang w:val="en-US" w:eastAsia="zh-CN"/>
              </w:rPr>
            </w:pPr>
            <w:r>
              <w:rPr>
                <w:rFonts w:hint="eastAsia" w:ascii="Times New Roman" w:hAnsi="Times New Roman" w:cs="Times New Roman"/>
                <w:b w:val="0"/>
                <w:bCs/>
                <w:color w:val="000000" w:themeColor="text1"/>
                <w:sz w:val="13"/>
                <w:szCs w:val="13"/>
                <w:highlight w:val="none"/>
                <w:lang w:val="en-US" w:eastAsia="zh-CN"/>
              </w:rPr>
              <w:t>91530522MA6NE0NG28</w:t>
            </w:r>
          </w:p>
        </w:tc>
        <w:tc>
          <w:tcPr>
            <w:tcW w:w="1559" w:type="dxa"/>
            <w:gridSpan w:val="2"/>
            <w:tcMar>
              <w:left w:w="57" w:type="dxa"/>
              <w:right w:w="57" w:type="dxa"/>
            </w:tcMar>
            <w:vAlign w:val="center"/>
          </w:tcPr>
          <w:p w14:paraId="418F0F76">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验收时间</w:t>
            </w:r>
          </w:p>
        </w:tc>
        <w:tc>
          <w:tcPr>
            <w:tcW w:w="2443" w:type="dxa"/>
            <w:gridSpan w:val="3"/>
            <w:tcMar>
              <w:left w:w="57" w:type="dxa"/>
              <w:right w:w="57" w:type="dxa"/>
            </w:tcMar>
            <w:vAlign w:val="center"/>
          </w:tcPr>
          <w:p w14:paraId="12E8A13C">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highlight w:val="none"/>
              </w:rPr>
              <w:t>202</w:t>
            </w:r>
            <w:r>
              <w:rPr>
                <w:rFonts w:hint="eastAsia" w:ascii="Times New Roman" w:hAnsi="Times New Roman" w:cs="Times New Roman"/>
                <w:color w:val="000000" w:themeColor="text1"/>
                <w:sz w:val="13"/>
                <w:szCs w:val="13"/>
                <w:highlight w:val="none"/>
                <w:lang w:val="en-US" w:eastAsia="zh-CN"/>
              </w:rPr>
              <w:t>5</w:t>
            </w:r>
            <w:r>
              <w:rPr>
                <w:rFonts w:hint="default" w:ascii="Times New Roman" w:hAnsi="Times New Roman" w:cs="Times New Roman"/>
                <w:color w:val="000000" w:themeColor="text1"/>
                <w:sz w:val="13"/>
                <w:szCs w:val="13"/>
                <w:highlight w:val="none"/>
              </w:rPr>
              <w:t>年</w:t>
            </w:r>
            <w:r>
              <w:rPr>
                <w:rFonts w:hint="eastAsia" w:ascii="Times New Roman" w:hAnsi="Times New Roman" w:cs="Times New Roman"/>
                <w:color w:val="000000" w:themeColor="text1"/>
                <w:sz w:val="13"/>
                <w:szCs w:val="13"/>
                <w:highlight w:val="none"/>
                <w:lang w:val="en-US" w:eastAsia="zh-CN"/>
              </w:rPr>
              <w:t>5</w:t>
            </w:r>
            <w:r>
              <w:rPr>
                <w:rFonts w:hint="default" w:ascii="Times New Roman" w:hAnsi="Times New Roman" w:cs="Times New Roman"/>
                <w:color w:val="000000" w:themeColor="text1"/>
                <w:sz w:val="13"/>
                <w:szCs w:val="13"/>
                <w:highlight w:val="none"/>
              </w:rPr>
              <w:t>月</w:t>
            </w:r>
          </w:p>
        </w:tc>
      </w:tr>
      <w:tr w14:paraId="13B38C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restart"/>
            <w:tcMar>
              <w:left w:w="57" w:type="dxa"/>
              <w:right w:w="57" w:type="dxa"/>
            </w:tcMar>
            <w:vAlign w:val="center"/>
          </w:tcPr>
          <w:p w14:paraId="3B713B19">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污染</w:t>
            </w:r>
          </w:p>
          <w:p w14:paraId="503A5E72">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物排</w:t>
            </w:r>
          </w:p>
          <w:p w14:paraId="509D2EE6">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放达</w:t>
            </w:r>
          </w:p>
          <w:p w14:paraId="40AE81CF">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标与</w:t>
            </w:r>
          </w:p>
          <w:p w14:paraId="02A32741">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总量</w:t>
            </w:r>
          </w:p>
          <w:p w14:paraId="6E2AD090">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控制（工</w:t>
            </w:r>
          </w:p>
          <w:p w14:paraId="027B04F3">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业建</w:t>
            </w:r>
          </w:p>
          <w:p w14:paraId="377AC37D">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设项</w:t>
            </w:r>
          </w:p>
          <w:p w14:paraId="4513546B">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目详填）</w:t>
            </w:r>
          </w:p>
        </w:tc>
        <w:tc>
          <w:tcPr>
            <w:tcW w:w="1644" w:type="dxa"/>
            <w:tcMar>
              <w:left w:w="57" w:type="dxa"/>
              <w:right w:w="57" w:type="dxa"/>
            </w:tcMar>
            <w:vAlign w:val="center"/>
          </w:tcPr>
          <w:p w14:paraId="3BF3D922">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污染物</w:t>
            </w:r>
          </w:p>
        </w:tc>
        <w:tc>
          <w:tcPr>
            <w:tcW w:w="1134" w:type="dxa"/>
            <w:tcMar>
              <w:left w:w="57" w:type="dxa"/>
              <w:right w:w="57" w:type="dxa"/>
            </w:tcMar>
            <w:vAlign w:val="center"/>
          </w:tcPr>
          <w:p w14:paraId="19FEB25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原有排放量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w:t>
            </w:r>
            <w:r>
              <w:rPr>
                <w:rFonts w:hint="eastAsia" w:ascii="Times New Roman" w:hAnsi="Times New Roman" w:cs="Times New Roman"/>
                <w:b/>
                <w:color w:val="000000" w:themeColor="text1"/>
                <w:sz w:val="13"/>
                <w:szCs w:val="13"/>
                <w:lang w:eastAsia="zh-CN"/>
              </w:rPr>
              <w:t>）</w:t>
            </w:r>
          </w:p>
        </w:tc>
        <w:tc>
          <w:tcPr>
            <w:tcW w:w="1417" w:type="dxa"/>
            <w:tcMar>
              <w:left w:w="57" w:type="dxa"/>
              <w:right w:w="57" w:type="dxa"/>
            </w:tcMar>
            <w:vAlign w:val="center"/>
          </w:tcPr>
          <w:p w14:paraId="7808C2C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本期工程实际排放浓度</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2</w:t>
            </w:r>
            <w:r>
              <w:rPr>
                <w:rFonts w:hint="eastAsia" w:ascii="Times New Roman" w:hAnsi="Times New Roman" w:cs="Times New Roman"/>
                <w:b/>
                <w:color w:val="000000" w:themeColor="text1"/>
                <w:sz w:val="13"/>
                <w:szCs w:val="13"/>
                <w:lang w:eastAsia="zh-CN"/>
              </w:rPr>
              <w:t>）</w:t>
            </w:r>
          </w:p>
        </w:tc>
        <w:tc>
          <w:tcPr>
            <w:tcW w:w="821" w:type="dxa"/>
            <w:tcMar>
              <w:left w:w="57" w:type="dxa"/>
              <w:right w:w="57" w:type="dxa"/>
            </w:tcMar>
            <w:vAlign w:val="center"/>
          </w:tcPr>
          <w:p w14:paraId="0420B12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本期工程允许排放浓度</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3</w:t>
            </w:r>
            <w:r>
              <w:rPr>
                <w:rFonts w:hint="eastAsia" w:ascii="Times New Roman" w:hAnsi="Times New Roman" w:cs="Times New Roman"/>
                <w:b/>
                <w:color w:val="000000" w:themeColor="text1"/>
                <w:sz w:val="13"/>
                <w:szCs w:val="13"/>
                <w:lang w:eastAsia="zh-CN"/>
              </w:rPr>
              <w:t>）</w:t>
            </w:r>
          </w:p>
        </w:tc>
        <w:tc>
          <w:tcPr>
            <w:tcW w:w="880" w:type="dxa"/>
            <w:tcMar>
              <w:left w:w="57" w:type="dxa"/>
              <w:right w:w="57" w:type="dxa"/>
            </w:tcMar>
            <w:vAlign w:val="center"/>
          </w:tcPr>
          <w:p w14:paraId="6F05F7AB">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本期工程产生量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4</w:t>
            </w:r>
            <w:r>
              <w:rPr>
                <w:rFonts w:hint="eastAsia" w:ascii="Times New Roman" w:hAnsi="Times New Roman" w:cs="Times New Roman"/>
                <w:b/>
                <w:color w:val="000000" w:themeColor="text1"/>
                <w:sz w:val="13"/>
                <w:szCs w:val="13"/>
                <w:lang w:eastAsia="zh-CN"/>
              </w:rPr>
              <w:t>）</w:t>
            </w:r>
          </w:p>
        </w:tc>
        <w:tc>
          <w:tcPr>
            <w:tcW w:w="1070" w:type="dxa"/>
            <w:gridSpan w:val="2"/>
            <w:tcMar>
              <w:left w:w="57" w:type="dxa"/>
              <w:right w:w="57" w:type="dxa"/>
            </w:tcMar>
            <w:vAlign w:val="center"/>
          </w:tcPr>
          <w:p w14:paraId="169980F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本期工程自身削减量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5</w:t>
            </w:r>
            <w:r>
              <w:rPr>
                <w:rFonts w:hint="eastAsia" w:ascii="Times New Roman" w:hAnsi="Times New Roman" w:cs="Times New Roman"/>
                <w:b/>
                <w:color w:val="000000" w:themeColor="text1"/>
                <w:sz w:val="13"/>
                <w:szCs w:val="13"/>
                <w:lang w:eastAsia="zh-CN"/>
              </w:rPr>
              <w:t>）</w:t>
            </w:r>
          </w:p>
        </w:tc>
        <w:tc>
          <w:tcPr>
            <w:tcW w:w="915" w:type="dxa"/>
            <w:tcMar>
              <w:left w:w="57" w:type="dxa"/>
              <w:right w:w="57" w:type="dxa"/>
            </w:tcMar>
            <w:vAlign w:val="center"/>
          </w:tcPr>
          <w:p w14:paraId="06FEAAFE">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本期工程实际排放量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6</w:t>
            </w:r>
            <w:r>
              <w:rPr>
                <w:rFonts w:hint="eastAsia" w:ascii="Times New Roman" w:hAnsi="Times New Roman" w:cs="Times New Roman"/>
                <w:b/>
                <w:color w:val="000000" w:themeColor="text1"/>
                <w:sz w:val="13"/>
                <w:szCs w:val="13"/>
                <w:lang w:eastAsia="zh-CN"/>
              </w:rPr>
              <w:t>）</w:t>
            </w:r>
          </w:p>
        </w:tc>
        <w:tc>
          <w:tcPr>
            <w:tcW w:w="992" w:type="dxa"/>
            <w:tcMar>
              <w:left w:w="57" w:type="dxa"/>
              <w:right w:w="57" w:type="dxa"/>
            </w:tcMar>
            <w:vAlign w:val="center"/>
          </w:tcPr>
          <w:p w14:paraId="1938C97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本期工程核定排放总量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7</w:t>
            </w:r>
            <w:r>
              <w:rPr>
                <w:rFonts w:hint="eastAsia" w:ascii="Times New Roman" w:hAnsi="Times New Roman" w:cs="Times New Roman"/>
                <w:b/>
                <w:color w:val="000000" w:themeColor="text1"/>
                <w:sz w:val="13"/>
                <w:szCs w:val="13"/>
                <w:lang w:eastAsia="zh-CN"/>
              </w:rPr>
              <w:t>）</w:t>
            </w:r>
          </w:p>
        </w:tc>
        <w:tc>
          <w:tcPr>
            <w:tcW w:w="2403" w:type="dxa"/>
            <w:tcMar>
              <w:left w:w="57" w:type="dxa"/>
              <w:right w:w="57" w:type="dxa"/>
            </w:tcMar>
            <w:vAlign w:val="center"/>
          </w:tcPr>
          <w:p w14:paraId="7E7DD345">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本期工程“以新带老”削减量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8</w:t>
            </w:r>
            <w:r>
              <w:rPr>
                <w:rFonts w:hint="eastAsia" w:ascii="Times New Roman" w:hAnsi="Times New Roman" w:cs="Times New Roman"/>
                <w:b/>
                <w:color w:val="000000" w:themeColor="text1"/>
                <w:sz w:val="13"/>
                <w:szCs w:val="13"/>
                <w:lang w:eastAsia="zh-CN"/>
              </w:rPr>
              <w:t>）</w:t>
            </w:r>
          </w:p>
        </w:tc>
        <w:tc>
          <w:tcPr>
            <w:tcW w:w="862" w:type="dxa"/>
            <w:tcMar>
              <w:left w:w="57" w:type="dxa"/>
              <w:right w:w="57" w:type="dxa"/>
            </w:tcMar>
            <w:vAlign w:val="center"/>
          </w:tcPr>
          <w:p w14:paraId="0378872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全厂实际排放总量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9</w:t>
            </w:r>
            <w:r>
              <w:rPr>
                <w:rFonts w:hint="eastAsia" w:ascii="Times New Roman" w:hAnsi="Times New Roman" w:cs="Times New Roman"/>
                <w:b/>
                <w:color w:val="000000" w:themeColor="text1"/>
                <w:sz w:val="13"/>
                <w:szCs w:val="13"/>
                <w:lang w:eastAsia="zh-CN"/>
              </w:rPr>
              <w:t>）</w:t>
            </w:r>
          </w:p>
        </w:tc>
        <w:tc>
          <w:tcPr>
            <w:tcW w:w="1244" w:type="dxa"/>
            <w:gridSpan w:val="2"/>
            <w:tcMar>
              <w:left w:w="57" w:type="dxa"/>
              <w:right w:w="57" w:type="dxa"/>
            </w:tcMar>
            <w:vAlign w:val="center"/>
          </w:tcPr>
          <w:p w14:paraId="4FFA7F0F">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全厂核定排放总量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10</w:t>
            </w:r>
            <w:r>
              <w:rPr>
                <w:rFonts w:hint="eastAsia" w:ascii="Times New Roman" w:hAnsi="Times New Roman" w:cs="Times New Roman"/>
                <w:b/>
                <w:color w:val="000000" w:themeColor="text1"/>
                <w:sz w:val="13"/>
                <w:szCs w:val="13"/>
                <w:lang w:eastAsia="zh-CN"/>
              </w:rPr>
              <w:t>）</w:t>
            </w:r>
          </w:p>
        </w:tc>
        <w:tc>
          <w:tcPr>
            <w:tcW w:w="1102" w:type="dxa"/>
            <w:tcMar>
              <w:left w:w="57" w:type="dxa"/>
              <w:right w:w="57" w:type="dxa"/>
            </w:tcMar>
            <w:vAlign w:val="center"/>
          </w:tcPr>
          <w:p w14:paraId="3B1C29B1">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区域平衡替代削减量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11</w:t>
            </w:r>
            <w:r>
              <w:rPr>
                <w:rFonts w:hint="eastAsia" w:ascii="Times New Roman" w:hAnsi="Times New Roman" w:cs="Times New Roman"/>
                <w:b/>
                <w:color w:val="000000" w:themeColor="text1"/>
                <w:sz w:val="13"/>
                <w:szCs w:val="13"/>
                <w:lang w:eastAsia="zh-CN"/>
              </w:rPr>
              <w:t>）</w:t>
            </w:r>
          </w:p>
        </w:tc>
        <w:tc>
          <w:tcPr>
            <w:tcW w:w="794" w:type="dxa"/>
            <w:tcMar>
              <w:left w:w="57" w:type="dxa"/>
              <w:right w:w="57" w:type="dxa"/>
            </w:tcMar>
            <w:vAlign w:val="center"/>
          </w:tcPr>
          <w:p w14:paraId="018D0218">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排放增减量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12</w:t>
            </w:r>
            <w:r>
              <w:rPr>
                <w:rFonts w:hint="eastAsia" w:ascii="Times New Roman" w:hAnsi="Times New Roman" w:cs="Times New Roman"/>
                <w:b/>
                <w:color w:val="000000" w:themeColor="text1"/>
                <w:sz w:val="13"/>
                <w:szCs w:val="13"/>
                <w:lang w:eastAsia="zh-CN"/>
              </w:rPr>
              <w:t>）</w:t>
            </w:r>
          </w:p>
        </w:tc>
      </w:tr>
      <w:tr w14:paraId="555D3C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53D7C735">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46DE051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废水</w:t>
            </w:r>
          </w:p>
        </w:tc>
        <w:tc>
          <w:tcPr>
            <w:tcW w:w="1134" w:type="dxa"/>
            <w:tcMar>
              <w:left w:w="57" w:type="dxa"/>
              <w:right w:w="57" w:type="dxa"/>
            </w:tcMar>
            <w:vAlign w:val="center"/>
          </w:tcPr>
          <w:p w14:paraId="3572EA41">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2318FAE4">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1BAB50E9">
            <w:pPr>
              <w:spacing w:line="240" w:lineRule="exact"/>
              <w:jc w:val="center"/>
              <w:rPr>
                <w:rFonts w:hint="default" w:ascii="Times New Roman" w:hAnsi="Times New Roman" w:cs="Times New Roman"/>
                <w:color w:val="000000" w:themeColor="text1"/>
                <w:sz w:val="13"/>
                <w:szCs w:val="13"/>
                <w:highlight w:val="yellow"/>
              </w:rPr>
            </w:pPr>
          </w:p>
        </w:tc>
        <w:tc>
          <w:tcPr>
            <w:tcW w:w="880" w:type="dxa"/>
            <w:tcMar>
              <w:left w:w="57" w:type="dxa"/>
              <w:right w:w="57" w:type="dxa"/>
            </w:tcMar>
            <w:vAlign w:val="center"/>
          </w:tcPr>
          <w:p w14:paraId="7E4A5ACD">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323B3DE6">
            <w:pPr>
              <w:spacing w:line="240" w:lineRule="exact"/>
              <w:jc w:val="center"/>
              <w:rPr>
                <w:rFonts w:hint="default" w:ascii="Times New Roman" w:hAnsi="Times New Roman" w:cs="Times New Roman"/>
                <w:color w:val="000000" w:themeColor="text1"/>
                <w:sz w:val="13"/>
                <w:szCs w:val="13"/>
                <w:highlight w:val="yellow"/>
              </w:rPr>
            </w:pPr>
          </w:p>
        </w:tc>
        <w:tc>
          <w:tcPr>
            <w:tcW w:w="915" w:type="dxa"/>
            <w:tcMar>
              <w:left w:w="57" w:type="dxa"/>
              <w:right w:w="57" w:type="dxa"/>
            </w:tcMar>
            <w:vAlign w:val="center"/>
          </w:tcPr>
          <w:p w14:paraId="68EC1FBB">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52C4DB84">
            <w:pPr>
              <w:spacing w:line="240" w:lineRule="exact"/>
              <w:jc w:val="center"/>
              <w:rPr>
                <w:rFonts w:hint="default" w:ascii="Times New Roman" w:hAnsi="Times New Roman" w:cs="Times New Roman"/>
                <w:color w:val="000000" w:themeColor="text1"/>
                <w:sz w:val="13"/>
                <w:szCs w:val="13"/>
                <w:highlight w:val="yellow"/>
              </w:rPr>
            </w:pPr>
          </w:p>
        </w:tc>
        <w:tc>
          <w:tcPr>
            <w:tcW w:w="2403" w:type="dxa"/>
            <w:tcMar>
              <w:left w:w="57" w:type="dxa"/>
              <w:right w:w="57" w:type="dxa"/>
            </w:tcMar>
            <w:vAlign w:val="center"/>
          </w:tcPr>
          <w:p w14:paraId="1800AD90">
            <w:pPr>
              <w:spacing w:line="240" w:lineRule="exact"/>
              <w:jc w:val="center"/>
              <w:rPr>
                <w:rFonts w:hint="default" w:ascii="Times New Roman" w:hAnsi="Times New Roman" w:cs="Times New Roman"/>
                <w:color w:val="000000" w:themeColor="text1"/>
                <w:sz w:val="13"/>
                <w:szCs w:val="13"/>
                <w:highlight w:val="yellow"/>
              </w:rPr>
            </w:pPr>
          </w:p>
        </w:tc>
        <w:tc>
          <w:tcPr>
            <w:tcW w:w="862" w:type="dxa"/>
            <w:tcMar>
              <w:left w:w="57" w:type="dxa"/>
              <w:right w:w="57" w:type="dxa"/>
            </w:tcMar>
            <w:vAlign w:val="center"/>
          </w:tcPr>
          <w:p w14:paraId="14D8DBD8">
            <w:pPr>
              <w:spacing w:line="240" w:lineRule="exact"/>
              <w:jc w:val="center"/>
              <w:rPr>
                <w:rFonts w:hint="default" w:ascii="Times New Roman" w:hAnsi="Times New Roman" w:cs="Times New Roman"/>
                <w:color w:val="000000" w:themeColor="text1"/>
                <w:sz w:val="13"/>
                <w:szCs w:val="13"/>
                <w:highlight w:val="yellow"/>
              </w:rPr>
            </w:pPr>
          </w:p>
        </w:tc>
        <w:tc>
          <w:tcPr>
            <w:tcW w:w="1244" w:type="dxa"/>
            <w:gridSpan w:val="2"/>
            <w:tcMar>
              <w:left w:w="57" w:type="dxa"/>
              <w:right w:w="57" w:type="dxa"/>
            </w:tcMar>
            <w:vAlign w:val="center"/>
          </w:tcPr>
          <w:p w14:paraId="54403F7F">
            <w:pPr>
              <w:spacing w:line="240" w:lineRule="exact"/>
              <w:jc w:val="center"/>
              <w:rPr>
                <w:rFonts w:hint="default" w:ascii="Times New Roman" w:hAnsi="Times New Roman" w:cs="Times New Roman"/>
                <w:color w:val="000000" w:themeColor="text1"/>
                <w:sz w:val="13"/>
                <w:szCs w:val="13"/>
                <w:highlight w:val="yellow"/>
              </w:rPr>
            </w:pPr>
          </w:p>
        </w:tc>
        <w:tc>
          <w:tcPr>
            <w:tcW w:w="1102" w:type="dxa"/>
            <w:tcMar>
              <w:left w:w="57" w:type="dxa"/>
              <w:right w:w="57" w:type="dxa"/>
            </w:tcMar>
            <w:vAlign w:val="center"/>
          </w:tcPr>
          <w:p w14:paraId="77286E41">
            <w:pPr>
              <w:spacing w:line="240" w:lineRule="exact"/>
              <w:jc w:val="center"/>
              <w:rPr>
                <w:rFonts w:hint="default" w:ascii="Times New Roman" w:hAnsi="Times New Roman" w:cs="Times New Roman"/>
                <w:color w:val="000000" w:themeColor="text1"/>
                <w:sz w:val="13"/>
                <w:szCs w:val="13"/>
                <w:highlight w:val="yellow"/>
              </w:rPr>
            </w:pPr>
          </w:p>
        </w:tc>
        <w:tc>
          <w:tcPr>
            <w:tcW w:w="794" w:type="dxa"/>
            <w:tcMar>
              <w:left w:w="57" w:type="dxa"/>
              <w:right w:w="57" w:type="dxa"/>
            </w:tcMar>
            <w:vAlign w:val="center"/>
          </w:tcPr>
          <w:p w14:paraId="6867B6C0">
            <w:pPr>
              <w:spacing w:line="240" w:lineRule="exact"/>
              <w:jc w:val="center"/>
              <w:rPr>
                <w:rFonts w:hint="default" w:ascii="Times New Roman" w:hAnsi="Times New Roman" w:cs="Times New Roman"/>
                <w:color w:val="000000" w:themeColor="text1"/>
                <w:sz w:val="13"/>
                <w:szCs w:val="13"/>
              </w:rPr>
            </w:pPr>
          </w:p>
        </w:tc>
      </w:tr>
      <w:tr w14:paraId="7CC37D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43" w:hRule="atLeast"/>
          <w:jc w:val="center"/>
        </w:trPr>
        <w:tc>
          <w:tcPr>
            <w:tcW w:w="598" w:type="dxa"/>
            <w:gridSpan w:val="2"/>
            <w:vMerge w:val="continue"/>
            <w:tcMar>
              <w:left w:w="57" w:type="dxa"/>
              <w:right w:w="57" w:type="dxa"/>
            </w:tcMar>
            <w:vAlign w:val="center"/>
          </w:tcPr>
          <w:p w14:paraId="14B8252A">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3849457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化学需氧量</w:t>
            </w:r>
          </w:p>
        </w:tc>
        <w:tc>
          <w:tcPr>
            <w:tcW w:w="1134" w:type="dxa"/>
            <w:tcMar>
              <w:left w:w="57" w:type="dxa"/>
              <w:right w:w="57" w:type="dxa"/>
            </w:tcMar>
            <w:vAlign w:val="center"/>
          </w:tcPr>
          <w:p w14:paraId="0F777F1F">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0E8E1004">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1D7E851E">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5C5C4051">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200F9E43">
            <w:pPr>
              <w:spacing w:line="240" w:lineRule="exact"/>
              <w:jc w:val="center"/>
              <w:rPr>
                <w:rFonts w:hint="default" w:ascii="Times New Roman" w:hAnsi="Times New Roman" w:cs="Times New Roman"/>
                <w:color w:val="000000" w:themeColor="text1"/>
                <w:sz w:val="13"/>
                <w:szCs w:val="13"/>
                <w:highlight w:val="none"/>
              </w:rPr>
            </w:pPr>
          </w:p>
        </w:tc>
        <w:tc>
          <w:tcPr>
            <w:tcW w:w="915" w:type="dxa"/>
            <w:tcMar>
              <w:left w:w="57" w:type="dxa"/>
              <w:right w:w="57" w:type="dxa"/>
            </w:tcMar>
            <w:vAlign w:val="center"/>
          </w:tcPr>
          <w:p w14:paraId="0A334E1F">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277163BC">
            <w:pPr>
              <w:spacing w:line="240" w:lineRule="exact"/>
              <w:jc w:val="center"/>
              <w:rPr>
                <w:rFonts w:hint="default" w:ascii="Times New Roman" w:hAnsi="Times New Roman" w:cs="Times New Roman"/>
                <w:color w:val="000000" w:themeColor="text1"/>
                <w:sz w:val="13"/>
                <w:szCs w:val="13"/>
                <w:highlight w:val="yellow"/>
              </w:rPr>
            </w:pPr>
          </w:p>
        </w:tc>
        <w:tc>
          <w:tcPr>
            <w:tcW w:w="2403" w:type="dxa"/>
            <w:tcMar>
              <w:left w:w="57" w:type="dxa"/>
              <w:right w:w="57" w:type="dxa"/>
            </w:tcMar>
            <w:vAlign w:val="center"/>
          </w:tcPr>
          <w:p w14:paraId="2673DB33">
            <w:pPr>
              <w:spacing w:line="240" w:lineRule="exact"/>
              <w:jc w:val="center"/>
              <w:rPr>
                <w:rFonts w:hint="default" w:ascii="Times New Roman" w:hAnsi="Times New Roman" w:cs="Times New Roman"/>
                <w:color w:val="000000" w:themeColor="text1"/>
                <w:sz w:val="13"/>
                <w:szCs w:val="13"/>
                <w:highlight w:val="yellow"/>
              </w:rPr>
            </w:pPr>
          </w:p>
        </w:tc>
        <w:tc>
          <w:tcPr>
            <w:tcW w:w="862" w:type="dxa"/>
            <w:tcMar>
              <w:left w:w="57" w:type="dxa"/>
              <w:right w:w="57" w:type="dxa"/>
            </w:tcMar>
            <w:vAlign w:val="center"/>
          </w:tcPr>
          <w:p w14:paraId="6E5C34C4">
            <w:pPr>
              <w:spacing w:line="240" w:lineRule="exact"/>
              <w:jc w:val="center"/>
              <w:rPr>
                <w:rFonts w:hint="default" w:ascii="Times New Roman" w:hAnsi="Times New Roman" w:cs="Times New Roman"/>
                <w:color w:val="000000" w:themeColor="text1"/>
                <w:sz w:val="13"/>
                <w:szCs w:val="13"/>
                <w:highlight w:val="yellow"/>
              </w:rPr>
            </w:pPr>
          </w:p>
        </w:tc>
        <w:tc>
          <w:tcPr>
            <w:tcW w:w="1244" w:type="dxa"/>
            <w:gridSpan w:val="2"/>
            <w:tcMar>
              <w:left w:w="57" w:type="dxa"/>
              <w:right w:w="57" w:type="dxa"/>
            </w:tcMar>
            <w:vAlign w:val="center"/>
          </w:tcPr>
          <w:p w14:paraId="09D01373">
            <w:pPr>
              <w:spacing w:line="240" w:lineRule="exact"/>
              <w:jc w:val="center"/>
              <w:rPr>
                <w:rFonts w:hint="default" w:ascii="Times New Roman" w:hAnsi="Times New Roman" w:cs="Times New Roman"/>
                <w:color w:val="000000" w:themeColor="text1"/>
                <w:sz w:val="13"/>
                <w:szCs w:val="13"/>
                <w:highlight w:val="yellow"/>
              </w:rPr>
            </w:pPr>
          </w:p>
        </w:tc>
        <w:tc>
          <w:tcPr>
            <w:tcW w:w="1102" w:type="dxa"/>
            <w:tcMar>
              <w:left w:w="57" w:type="dxa"/>
              <w:right w:w="57" w:type="dxa"/>
            </w:tcMar>
            <w:vAlign w:val="center"/>
          </w:tcPr>
          <w:p w14:paraId="51CB766C">
            <w:pPr>
              <w:spacing w:line="240" w:lineRule="exact"/>
              <w:jc w:val="center"/>
              <w:rPr>
                <w:rFonts w:hint="default" w:ascii="Times New Roman" w:hAnsi="Times New Roman" w:cs="Times New Roman"/>
                <w:color w:val="000000" w:themeColor="text1"/>
                <w:sz w:val="13"/>
                <w:szCs w:val="13"/>
                <w:highlight w:val="yellow"/>
              </w:rPr>
            </w:pPr>
          </w:p>
        </w:tc>
        <w:tc>
          <w:tcPr>
            <w:tcW w:w="794" w:type="dxa"/>
            <w:tcMar>
              <w:left w:w="57" w:type="dxa"/>
              <w:right w:w="57" w:type="dxa"/>
            </w:tcMar>
            <w:vAlign w:val="center"/>
          </w:tcPr>
          <w:p w14:paraId="294CE42A">
            <w:pPr>
              <w:spacing w:line="240" w:lineRule="exact"/>
              <w:jc w:val="center"/>
              <w:rPr>
                <w:rFonts w:hint="default" w:ascii="Times New Roman" w:hAnsi="Times New Roman" w:cs="Times New Roman"/>
                <w:color w:val="000000" w:themeColor="text1"/>
                <w:sz w:val="13"/>
                <w:szCs w:val="13"/>
              </w:rPr>
            </w:pPr>
          </w:p>
        </w:tc>
      </w:tr>
      <w:tr w14:paraId="3D4239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727941F9">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4B81246B">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氨氮</w:t>
            </w:r>
          </w:p>
        </w:tc>
        <w:tc>
          <w:tcPr>
            <w:tcW w:w="1134" w:type="dxa"/>
            <w:tcMar>
              <w:left w:w="57" w:type="dxa"/>
              <w:right w:w="57" w:type="dxa"/>
            </w:tcMar>
            <w:vAlign w:val="center"/>
          </w:tcPr>
          <w:p w14:paraId="09AC1F12">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F4C7A5D">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4527F92B">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03602092">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58EA8949">
            <w:pPr>
              <w:spacing w:line="240" w:lineRule="exact"/>
              <w:jc w:val="center"/>
              <w:rPr>
                <w:rFonts w:hint="default" w:ascii="Times New Roman" w:hAnsi="Times New Roman" w:cs="Times New Roman"/>
                <w:color w:val="000000" w:themeColor="text1"/>
                <w:sz w:val="13"/>
                <w:szCs w:val="13"/>
                <w:highlight w:val="none"/>
              </w:rPr>
            </w:pPr>
          </w:p>
        </w:tc>
        <w:tc>
          <w:tcPr>
            <w:tcW w:w="915" w:type="dxa"/>
            <w:tcMar>
              <w:left w:w="57" w:type="dxa"/>
              <w:right w:w="57" w:type="dxa"/>
            </w:tcMar>
            <w:vAlign w:val="center"/>
          </w:tcPr>
          <w:p w14:paraId="6989BF6A">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2209DD13">
            <w:pPr>
              <w:spacing w:line="240" w:lineRule="exact"/>
              <w:jc w:val="center"/>
              <w:rPr>
                <w:rFonts w:hint="default" w:ascii="Times New Roman" w:hAnsi="Times New Roman" w:cs="Times New Roman"/>
                <w:color w:val="000000" w:themeColor="text1"/>
                <w:sz w:val="13"/>
                <w:szCs w:val="13"/>
                <w:highlight w:val="yellow"/>
              </w:rPr>
            </w:pPr>
          </w:p>
        </w:tc>
        <w:tc>
          <w:tcPr>
            <w:tcW w:w="2403" w:type="dxa"/>
            <w:tcMar>
              <w:left w:w="57" w:type="dxa"/>
              <w:right w:w="57" w:type="dxa"/>
            </w:tcMar>
            <w:vAlign w:val="center"/>
          </w:tcPr>
          <w:p w14:paraId="6A47458E">
            <w:pPr>
              <w:spacing w:line="240" w:lineRule="exact"/>
              <w:jc w:val="center"/>
              <w:rPr>
                <w:rFonts w:hint="default" w:ascii="Times New Roman" w:hAnsi="Times New Roman" w:cs="Times New Roman"/>
                <w:color w:val="000000" w:themeColor="text1"/>
                <w:sz w:val="13"/>
                <w:szCs w:val="13"/>
                <w:highlight w:val="yellow"/>
              </w:rPr>
            </w:pPr>
          </w:p>
        </w:tc>
        <w:tc>
          <w:tcPr>
            <w:tcW w:w="862" w:type="dxa"/>
            <w:tcMar>
              <w:left w:w="57" w:type="dxa"/>
              <w:right w:w="57" w:type="dxa"/>
            </w:tcMar>
            <w:vAlign w:val="center"/>
          </w:tcPr>
          <w:p w14:paraId="5CDD43A6">
            <w:pPr>
              <w:spacing w:line="240" w:lineRule="exact"/>
              <w:jc w:val="center"/>
              <w:rPr>
                <w:rFonts w:hint="default" w:ascii="Times New Roman" w:hAnsi="Times New Roman" w:cs="Times New Roman"/>
                <w:color w:val="000000" w:themeColor="text1"/>
                <w:sz w:val="13"/>
                <w:szCs w:val="13"/>
                <w:highlight w:val="yellow"/>
              </w:rPr>
            </w:pPr>
          </w:p>
        </w:tc>
        <w:tc>
          <w:tcPr>
            <w:tcW w:w="1244" w:type="dxa"/>
            <w:gridSpan w:val="2"/>
            <w:tcMar>
              <w:left w:w="57" w:type="dxa"/>
              <w:right w:w="57" w:type="dxa"/>
            </w:tcMar>
            <w:vAlign w:val="center"/>
          </w:tcPr>
          <w:p w14:paraId="027C4F87">
            <w:pPr>
              <w:spacing w:line="240" w:lineRule="exact"/>
              <w:jc w:val="center"/>
              <w:rPr>
                <w:rFonts w:hint="default" w:ascii="Times New Roman" w:hAnsi="Times New Roman" w:cs="Times New Roman"/>
                <w:color w:val="000000" w:themeColor="text1"/>
                <w:sz w:val="13"/>
                <w:szCs w:val="13"/>
                <w:highlight w:val="yellow"/>
              </w:rPr>
            </w:pPr>
          </w:p>
        </w:tc>
        <w:tc>
          <w:tcPr>
            <w:tcW w:w="1102" w:type="dxa"/>
            <w:tcMar>
              <w:left w:w="57" w:type="dxa"/>
              <w:right w:w="57" w:type="dxa"/>
            </w:tcMar>
            <w:vAlign w:val="center"/>
          </w:tcPr>
          <w:p w14:paraId="54CAEEFA">
            <w:pPr>
              <w:spacing w:line="240" w:lineRule="exact"/>
              <w:jc w:val="center"/>
              <w:rPr>
                <w:rFonts w:hint="default" w:ascii="Times New Roman" w:hAnsi="Times New Roman" w:cs="Times New Roman"/>
                <w:color w:val="000000" w:themeColor="text1"/>
                <w:sz w:val="13"/>
                <w:szCs w:val="13"/>
                <w:highlight w:val="yellow"/>
              </w:rPr>
            </w:pPr>
          </w:p>
        </w:tc>
        <w:tc>
          <w:tcPr>
            <w:tcW w:w="794" w:type="dxa"/>
            <w:tcMar>
              <w:left w:w="57" w:type="dxa"/>
              <w:right w:w="57" w:type="dxa"/>
            </w:tcMar>
            <w:vAlign w:val="center"/>
          </w:tcPr>
          <w:p w14:paraId="305D7564">
            <w:pPr>
              <w:spacing w:line="240" w:lineRule="exact"/>
              <w:jc w:val="center"/>
              <w:rPr>
                <w:rFonts w:hint="default" w:ascii="Times New Roman" w:hAnsi="Times New Roman" w:cs="Times New Roman"/>
                <w:color w:val="000000" w:themeColor="text1"/>
                <w:sz w:val="13"/>
                <w:szCs w:val="13"/>
              </w:rPr>
            </w:pPr>
          </w:p>
        </w:tc>
      </w:tr>
      <w:tr w14:paraId="1BB1CC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703489BD">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6796318C">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石油类</w:t>
            </w:r>
          </w:p>
        </w:tc>
        <w:tc>
          <w:tcPr>
            <w:tcW w:w="1134" w:type="dxa"/>
            <w:tcMar>
              <w:left w:w="57" w:type="dxa"/>
              <w:right w:w="57" w:type="dxa"/>
            </w:tcMar>
            <w:vAlign w:val="center"/>
          </w:tcPr>
          <w:p w14:paraId="050BBF2A">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97423E8">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1EA37C02">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797BD31F">
            <w:pPr>
              <w:spacing w:line="240" w:lineRule="exact"/>
              <w:jc w:val="center"/>
              <w:rPr>
                <w:rFonts w:hint="eastAsia"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4D911371">
            <w:pPr>
              <w:spacing w:line="240" w:lineRule="exact"/>
              <w:jc w:val="center"/>
              <w:rPr>
                <w:rFonts w:hint="default" w:ascii="Times New Roman" w:hAnsi="Times New Roman" w:cs="Times New Roman"/>
                <w:color w:val="000000" w:themeColor="text1"/>
                <w:sz w:val="13"/>
                <w:szCs w:val="13"/>
              </w:rPr>
            </w:pPr>
          </w:p>
        </w:tc>
        <w:tc>
          <w:tcPr>
            <w:tcW w:w="915" w:type="dxa"/>
            <w:tcMar>
              <w:left w:w="57" w:type="dxa"/>
              <w:right w:w="57" w:type="dxa"/>
            </w:tcMar>
            <w:vAlign w:val="center"/>
          </w:tcPr>
          <w:p w14:paraId="304DCD97">
            <w:pPr>
              <w:spacing w:line="240" w:lineRule="exact"/>
              <w:jc w:val="center"/>
              <w:rPr>
                <w:rFonts w:hint="eastAsia"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21317DC3">
            <w:pPr>
              <w:spacing w:line="240" w:lineRule="exact"/>
              <w:jc w:val="center"/>
              <w:rPr>
                <w:rFonts w:hint="default" w:ascii="Times New Roman" w:hAnsi="Times New Roman" w:cs="Times New Roman"/>
                <w:color w:val="000000" w:themeColor="text1"/>
                <w:sz w:val="13"/>
                <w:szCs w:val="13"/>
              </w:rPr>
            </w:pPr>
          </w:p>
        </w:tc>
        <w:tc>
          <w:tcPr>
            <w:tcW w:w="2403" w:type="dxa"/>
            <w:tcMar>
              <w:left w:w="57" w:type="dxa"/>
              <w:right w:w="57" w:type="dxa"/>
            </w:tcMar>
            <w:vAlign w:val="center"/>
          </w:tcPr>
          <w:p w14:paraId="0B0F1F53">
            <w:pPr>
              <w:spacing w:line="240" w:lineRule="exact"/>
              <w:jc w:val="center"/>
              <w:rPr>
                <w:rFonts w:hint="default" w:ascii="Times New Roman" w:hAnsi="Times New Roman" w:cs="Times New Roman"/>
                <w:color w:val="000000" w:themeColor="text1"/>
                <w:sz w:val="13"/>
                <w:szCs w:val="13"/>
              </w:rPr>
            </w:pPr>
          </w:p>
        </w:tc>
        <w:tc>
          <w:tcPr>
            <w:tcW w:w="862" w:type="dxa"/>
            <w:tcMar>
              <w:left w:w="57" w:type="dxa"/>
              <w:right w:w="57" w:type="dxa"/>
            </w:tcMar>
            <w:vAlign w:val="center"/>
          </w:tcPr>
          <w:p w14:paraId="0A3792FC">
            <w:pPr>
              <w:spacing w:line="240" w:lineRule="exact"/>
              <w:jc w:val="center"/>
              <w:rPr>
                <w:rFonts w:hint="default" w:ascii="Times New Roman" w:hAnsi="Times New Roman" w:cs="Times New Roman"/>
                <w:color w:val="000000" w:themeColor="text1"/>
                <w:sz w:val="13"/>
                <w:szCs w:val="13"/>
              </w:rPr>
            </w:pPr>
          </w:p>
        </w:tc>
        <w:tc>
          <w:tcPr>
            <w:tcW w:w="1244" w:type="dxa"/>
            <w:gridSpan w:val="2"/>
            <w:tcMar>
              <w:left w:w="57" w:type="dxa"/>
              <w:right w:w="57" w:type="dxa"/>
            </w:tcMar>
            <w:vAlign w:val="center"/>
          </w:tcPr>
          <w:p w14:paraId="58F5791F">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5FF18B15">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48C30B21">
            <w:pPr>
              <w:spacing w:line="240" w:lineRule="exact"/>
              <w:jc w:val="center"/>
              <w:rPr>
                <w:rFonts w:hint="default" w:ascii="Times New Roman" w:hAnsi="Times New Roman" w:cs="Times New Roman"/>
                <w:color w:val="000000" w:themeColor="text1"/>
                <w:sz w:val="13"/>
                <w:szCs w:val="13"/>
              </w:rPr>
            </w:pPr>
          </w:p>
        </w:tc>
      </w:tr>
      <w:tr w14:paraId="487FAA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0846DF07">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89C6D89">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废气</w:t>
            </w:r>
          </w:p>
        </w:tc>
        <w:tc>
          <w:tcPr>
            <w:tcW w:w="1134" w:type="dxa"/>
            <w:tcMar>
              <w:left w:w="57" w:type="dxa"/>
              <w:right w:w="57" w:type="dxa"/>
            </w:tcMar>
            <w:vAlign w:val="center"/>
          </w:tcPr>
          <w:p w14:paraId="783F15EB">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424371DA">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64DAB73A">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761D7236">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11AF1E72">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02A3A82F">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1097DDC9">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01459825">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252B2BB8">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57BB14FA">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0D8EA990">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029F3550">
            <w:pPr>
              <w:spacing w:line="240" w:lineRule="exact"/>
              <w:jc w:val="center"/>
              <w:rPr>
                <w:rFonts w:hint="default" w:ascii="Times New Roman" w:hAnsi="Times New Roman" w:cs="Times New Roman"/>
                <w:color w:val="000000" w:themeColor="text1"/>
                <w:sz w:val="13"/>
                <w:szCs w:val="13"/>
              </w:rPr>
            </w:pPr>
          </w:p>
        </w:tc>
      </w:tr>
      <w:tr w14:paraId="500066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1EEDDB0A">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B1F33A5">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二氧化硫</w:t>
            </w:r>
          </w:p>
        </w:tc>
        <w:tc>
          <w:tcPr>
            <w:tcW w:w="1134" w:type="dxa"/>
            <w:tcMar>
              <w:left w:w="57" w:type="dxa"/>
              <w:right w:w="57" w:type="dxa"/>
            </w:tcMar>
            <w:vAlign w:val="center"/>
          </w:tcPr>
          <w:p w14:paraId="1085C853">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68AA48C">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5B890D8A">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763C9AAD">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791E3BAC">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3511E80E">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2676245A">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29DD6AE7">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4EAE8A0A">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4ABD7180">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2EB9CDEF">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0A051E92">
            <w:pPr>
              <w:spacing w:line="240" w:lineRule="exact"/>
              <w:jc w:val="center"/>
              <w:textAlignment w:val="center"/>
              <w:rPr>
                <w:rFonts w:hint="default" w:ascii="Times New Roman" w:hAnsi="Times New Roman" w:cs="Times New Roman"/>
                <w:color w:val="000000" w:themeColor="text1"/>
                <w:sz w:val="13"/>
                <w:szCs w:val="13"/>
              </w:rPr>
            </w:pPr>
          </w:p>
        </w:tc>
      </w:tr>
      <w:tr w14:paraId="4598B1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327A8245">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D7A216C">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烟尘</w:t>
            </w:r>
          </w:p>
        </w:tc>
        <w:tc>
          <w:tcPr>
            <w:tcW w:w="1134" w:type="dxa"/>
            <w:tcMar>
              <w:left w:w="57" w:type="dxa"/>
              <w:right w:w="57" w:type="dxa"/>
            </w:tcMar>
            <w:vAlign w:val="center"/>
          </w:tcPr>
          <w:p w14:paraId="3010759C">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197094BE">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12FCABE0">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04AFA0B6">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5741FC5E">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43D56481">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20833139">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3DA609E8">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717214F2">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7BAE0911">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27D0EFD8">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575F369D">
            <w:pPr>
              <w:spacing w:line="240" w:lineRule="exact"/>
              <w:jc w:val="center"/>
              <w:textAlignment w:val="center"/>
              <w:rPr>
                <w:rFonts w:hint="default" w:ascii="Times New Roman" w:hAnsi="Times New Roman" w:cs="Times New Roman"/>
                <w:color w:val="000000" w:themeColor="text1"/>
                <w:sz w:val="13"/>
                <w:szCs w:val="13"/>
              </w:rPr>
            </w:pPr>
          </w:p>
        </w:tc>
      </w:tr>
      <w:tr w14:paraId="6EED49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24AE7796">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7EE179A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工业粉尘</w:t>
            </w:r>
          </w:p>
        </w:tc>
        <w:tc>
          <w:tcPr>
            <w:tcW w:w="1134" w:type="dxa"/>
            <w:tcMar>
              <w:left w:w="57" w:type="dxa"/>
              <w:right w:w="57" w:type="dxa"/>
            </w:tcMar>
            <w:vAlign w:val="center"/>
          </w:tcPr>
          <w:p w14:paraId="06C90F97">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485E58E3">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193C4F9F">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09EDD603">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764BED4F">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60B279E8">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6A06FFDD">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7C1E777C">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70636F05">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6750D460">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3E3E9B1B">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35827048">
            <w:pPr>
              <w:spacing w:line="240" w:lineRule="exact"/>
              <w:jc w:val="center"/>
              <w:rPr>
                <w:rFonts w:hint="default" w:ascii="Times New Roman" w:hAnsi="Times New Roman" w:cs="Times New Roman"/>
                <w:color w:val="000000" w:themeColor="text1"/>
                <w:sz w:val="13"/>
                <w:szCs w:val="13"/>
              </w:rPr>
            </w:pPr>
          </w:p>
        </w:tc>
      </w:tr>
      <w:tr w14:paraId="458484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1CDE2E42">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9ECF7BB">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氮氧化物</w:t>
            </w:r>
          </w:p>
        </w:tc>
        <w:tc>
          <w:tcPr>
            <w:tcW w:w="1134" w:type="dxa"/>
            <w:tcMar>
              <w:left w:w="57" w:type="dxa"/>
              <w:right w:w="57" w:type="dxa"/>
            </w:tcMar>
            <w:vAlign w:val="center"/>
          </w:tcPr>
          <w:p w14:paraId="66FAC8B8">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1E17EBC0">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30E98C90">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0CEBAAC7">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421ADE9F">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59B9C56D">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579413BF">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2A4BEC64">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7E066A7E">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095EE3F3">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709972C8">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75B7B48E">
            <w:pPr>
              <w:spacing w:line="240" w:lineRule="exact"/>
              <w:jc w:val="center"/>
              <w:textAlignment w:val="center"/>
              <w:rPr>
                <w:rFonts w:hint="default" w:ascii="Times New Roman" w:hAnsi="Times New Roman" w:cs="Times New Roman"/>
                <w:color w:val="000000" w:themeColor="text1"/>
                <w:sz w:val="13"/>
                <w:szCs w:val="13"/>
              </w:rPr>
            </w:pPr>
          </w:p>
        </w:tc>
      </w:tr>
      <w:tr w14:paraId="7B044B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7BF6758E">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176A14B8">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工业固体废物</w:t>
            </w:r>
          </w:p>
        </w:tc>
        <w:tc>
          <w:tcPr>
            <w:tcW w:w="1134" w:type="dxa"/>
            <w:tcMar>
              <w:left w:w="57" w:type="dxa"/>
              <w:right w:w="57" w:type="dxa"/>
            </w:tcMar>
            <w:vAlign w:val="center"/>
          </w:tcPr>
          <w:p w14:paraId="30989136">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2A4EED7">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04AB8225">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01B676A5">
            <w:pPr>
              <w:spacing w:line="240" w:lineRule="exact"/>
              <w:jc w:val="center"/>
              <w:rPr>
                <w:rFonts w:hint="eastAsia" w:ascii="Times New Roman" w:hAnsi="Times New Roman" w:eastAsia="宋体" w:cs="Times New Roman"/>
                <w:color w:val="000000" w:themeColor="text1"/>
                <w:sz w:val="13"/>
                <w:szCs w:val="13"/>
                <w:lang w:val="en-US" w:eastAsia="zh-CN"/>
              </w:rPr>
            </w:pPr>
          </w:p>
        </w:tc>
        <w:tc>
          <w:tcPr>
            <w:tcW w:w="1070" w:type="dxa"/>
            <w:gridSpan w:val="2"/>
            <w:tcMar>
              <w:left w:w="57" w:type="dxa"/>
              <w:right w:w="57" w:type="dxa"/>
            </w:tcMar>
            <w:vAlign w:val="center"/>
          </w:tcPr>
          <w:p w14:paraId="73B87E32">
            <w:pPr>
              <w:spacing w:line="240" w:lineRule="exact"/>
              <w:jc w:val="center"/>
              <w:rPr>
                <w:rFonts w:hint="default" w:ascii="Times New Roman" w:hAnsi="Times New Roman" w:cs="Times New Roman"/>
                <w:color w:val="000000" w:themeColor="text1"/>
                <w:sz w:val="13"/>
                <w:szCs w:val="13"/>
              </w:rPr>
            </w:pPr>
          </w:p>
        </w:tc>
        <w:tc>
          <w:tcPr>
            <w:tcW w:w="915" w:type="dxa"/>
            <w:tcMar>
              <w:left w:w="57" w:type="dxa"/>
              <w:right w:w="57" w:type="dxa"/>
            </w:tcMar>
            <w:vAlign w:val="center"/>
          </w:tcPr>
          <w:p w14:paraId="0F66CA78">
            <w:pPr>
              <w:spacing w:line="240" w:lineRule="exact"/>
              <w:jc w:val="center"/>
              <w:rPr>
                <w:rFonts w:hint="eastAsia" w:ascii="Times New Roman" w:hAnsi="Times New Roman" w:eastAsia="宋体" w:cs="Times New Roman"/>
                <w:b/>
                <w:color w:val="000000" w:themeColor="text1"/>
                <w:sz w:val="13"/>
                <w:szCs w:val="13"/>
                <w:lang w:val="en-US" w:eastAsia="zh-CN"/>
              </w:rPr>
            </w:pPr>
          </w:p>
        </w:tc>
        <w:tc>
          <w:tcPr>
            <w:tcW w:w="992" w:type="dxa"/>
            <w:tcMar>
              <w:left w:w="57" w:type="dxa"/>
              <w:right w:w="57" w:type="dxa"/>
            </w:tcMar>
            <w:vAlign w:val="center"/>
          </w:tcPr>
          <w:p w14:paraId="582659A2">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3589B98A">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1AD01EA8">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6B93E3E7">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68581430">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1890A7AF">
            <w:pPr>
              <w:spacing w:line="240" w:lineRule="exact"/>
              <w:jc w:val="center"/>
              <w:textAlignment w:val="center"/>
              <w:rPr>
                <w:rFonts w:hint="default" w:ascii="Times New Roman" w:hAnsi="Times New Roman" w:cs="Times New Roman"/>
                <w:color w:val="000000" w:themeColor="text1"/>
                <w:sz w:val="13"/>
                <w:szCs w:val="13"/>
              </w:rPr>
            </w:pPr>
          </w:p>
        </w:tc>
      </w:tr>
      <w:tr w14:paraId="78A35C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29775480">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4F9ADA69">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与项目有关的其他特征污染物</w:t>
            </w:r>
          </w:p>
        </w:tc>
        <w:tc>
          <w:tcPr>
            <w:tcW w:w="1134" w:type="dxa"/>
            <w:tcMar>
              <w:left w:w="57" w:type="dxa"/>
              <w:right w:w="57" w:type="dxa"/>
            </w:tcMar>
            <w:vAlign w:val="center"/>
          </w:tcPr>
          <w:p w14:paraId="7EA75AAE">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7E631429">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32F8059F">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27DDDF24">
            <w:pPr>
              <w:spacing w:line="240" w:lineRule="exact"/>
              <w:jc w:val="center"/>
              <w:rPr>
                <w:rFonts w:hint="default" w:ascii="Times New Roman" w:hAnsi="Times New Roman" w:cs="Times New Roman"/>
                <w:color w:val="000000" w:themeColor="text1"/>
                <w:sz w:val="13"/>
                <w:szCs w:val="13"/>
              </w:rPr>
            </w:pPr>
          </w:p>
        </w:tc>
        <w:tc>
          <w:tcPr>
            <w:tcW w:w="1070" w:type="dxa"/>
            <w:gridSpan w:val="2"/>
            <w:tcMar>
              <w:left w:w="57" w:type="dxa"/>
              <w:right w:w="57" w:type="dxa"/>
            </w:tcMar>
            <w:vAlign w:val="center"/>
          </w:tcPr>
          <w:p w14:paraId="6E65DF6C">
            <w:pPr>
              <w:spacing w:line="240" w:lineRule="exact"/>
              <w:jc w:val="center"/>
              <w:rPr>
                <w:rFonts w:hint="default" w:ascii="Times New Roman" w:hAnsi="Times New Roman" w:cs="Times New Roman"/>
                <w:color w:val="000000" w:themeColor="text1"/>
                <w:sz w:val="13"/>
                <w:szCs w:val="13"/>
              </w:rPr>
            </w:pPr>
          </w:p>
        </w:tc>
        <w:tc>
          <w:tcPr>
            <w:tcW w:w="915" w:type="dxa"/>
            <w:tcMar>
              <w:left w:w="57" w:type="dxa"/>
              <w:right w:w="57" w:type="dxa"/>
            </w:tcMar>
            <w:vAlign w:val="center"/>
          </w:tcPr>
          <w:p w14:paraId="124DB5BB">
            <w:pPr>
              <w:spacing w:line="240" w:lineRule="exact"/>
              <w:jc w:val="center"/>
              <w:rPr>
                <w:rFonts w:hint="default" w:ascii="Times New Roman" w:hAnsi="Times New Roman" w:cs="Times New Roman"/>
                <w:color w:val="000000" w:themeColor="text1"/>
                <w:sz w:val="13"/>
                <w:szCs w:val="13"/>
              </w:rPr>
            </w:pPr>
          </w:p>
        </w:tc>
        <w:tc>
          <w:tcPr>
            <w:tcW w:w="992" w:type="dxa"/>
            <w:tcMar>
              <w:left w:w="57" w:type="dxa"/>
              <w:right w:w="57" w:type="dxa"/>
            </w:tcMar>
            <w:vAlign w:val="center"/>
          </w:tcPr>
          <w:p w14:paraId="26C58156">
            <w:pPr>
              <w:spacing w:line="240" w:lineRule="exact"/>
              <w:jc w:val="center"/>
              <w:rPr>
                <w:rFonts w:hint="default" w:ascii="Times New Roman" w:hAnsi="Times New Roman" w:cs="Times New Roman"/>
                <w:color w:val="000000" w:themeColor="text1"/>
                <w:sz w:val="13"/>
                <w:szCs w:val="13"/>
              </w:rPr>
            </w:pPr>
          </w:p>
        </w:tc>
        <w:tc>
          <w:tcPr>
            <w:tcW w:w="2403" w:type="dxa"/>
            <w:tcMar>
              <w:left w:w="57" w:type="dxa"/>
              <w:right w:w="57" w:type="dxa"/>
            </w:tcMar>
            <w:vAlign w:val="center"/>
          </w:tcPr>
          <w:p w14:paraId="42C98C0F">
            <w:pPr>
              <w:spacing w:line="240" w:lineRule="exact"/>
              <w:jc w:val="center"/>
              <w:rPr>
                <w:rFonts w:hint="default" w:ascii="Times New Roman" w:hAnsi="Times New Roman" w:cs="Times New Roman"/>
                <w:color w:val="000000" w:themeColor="text1"/>
                <w:sz w:val="13"/>
                <w:szCs w:val="13"/>
              </w:rPr>
            </w:pPr>
          </w:p>
        </w:tc>
        <w:tc>
          <w:tcPr>
            <w:tcW w:w="862" w:type="dxa"/>
            <w:tcMar>
              <w:left w:w="57" w:type="dxa"/>
              <w:right w:w="57" w:type="dxa"/>
            </w:tcMar>
            <w:vAlign w:val="center"/>
          </w:tcPr>
          <w:p w14:paraId="01A8D049">
            <w:pPr>
              <w:spacing w:line="240" w:lineRule="exact"/>
              <w:jc w:val="center"/>
              <w:rPr>
                <w:rFonts w:hint="default" w:ascii="Times New Roman" w:hAnsi="Times New Roman" w:cs="Times New Roman"/>
                <w:color w:val="000000" w:themeColor="text1"/>
                <w:sz w:val="13"/>
                <w:szCs w:val="13"/>
              </w:rPr>
            </w:pPr>
          </w:p>
        </w:tc>
        <w:tc>
          <w:tcPr>
            <w:tcW w:w="1244" w:type="dxa"/>
            <w:gridSpan w:val="2"/>
            <w:tcMar>
              <w:left w:w="57" w:type="dxa"/>
              <w:right w:w="57" w:type="dxa"/>
            </w:tcMar>
            <w:vAlign w:val="center"/>
          </w:tcPr>
          <w:p w14:paraId="1A53B5E5">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3758D256">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6F973992">
            <w:pPr>
              <w:spacing w:line="240" w:lineRule="exact"/>
              <w:jc w:val="center"/>
              <w:rPr>
                <w:rFonts w:hint="default" w:ascii="Times New Roman" w:hAnsi="Times New Roman" w:cs="Times New Roman"/>
                <w:color w:val="000000" w:themeColor="text1"/>
                <w:sz w:val="13"/>
                <w:szCs w:val="13"/>
              </w:rPr>
            </w:pPr>
          </w:p>
        </w:tc>
      </w:tr>
    </w:tbl>
    <w:p w14:paraId="593326BE">
      <w:pPr>
        <w:spacing w:line="360" w:lineRule="auto"/>
        <w:ind w:firstLine="301" w:firstLineChars="200"/>
        <w:jc w:val="left"/>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5"/>
          <w:szCs w:val="15"/>
        </w:rPr>
        <w:t>注</w:t>
      </w:r>
      <w:r>
        <w:rPr>
          <w:rFonts w:hint="default" w:ascii="Times New Roman" w:hAnsi="Times New Roman" w:cs="Times New Roman"/>
          <w:color w:val="000000" w:themeColor="text1"/>
          <w:sz w:val="15"/>
          <w:szCs w:val="15"/>
        </w:rPr>
        <w:t>：</w:t>
      </w:r>
      <w:r>
        <w:rPr>
          <w:rFonts w:hint="default" w:ascii="Times New Roman" w:hAnsi="Times New Roman" w:cs="Times New Roman"/>
          <w:color w:val="000000" w:themeColor="text1"/>
          <w:sz w:val="13"/>
          <w:szCs w:val="13"/>
        </w:rPr>
        <w:t>1、</w:t>
      </w:r>
      <w:r>
        <w:rPr>
          <w:rFonts w:hint="default" w:ascii="Times New Roman" w:hAnsi="Times New Roman" w:cs="Times New Roman"/>
          <w:color w:val="000000" w:themeColor="text1"/>
          <w:spacing w:val="-4"/>
          <w:sz w:val="13"/>
          <w:szCs w:val="13"/>
        </w:rPr>
        <w:t>排放增减量：（+）表示增加，（-）表示减少。2、(12)=(6)-(8)-(11)，（9）=(4)-(5)-(8)-(11)+（1）。3、计量单位：废水排放量——万吨/年；废气排放量——万标立方米/年；工业固体废物排放</w:t>
      </w:r>
      <w:r>
        <w:rPr>
          <w:rFonts w:hint="default" w:ascii="Times New Roman" w:hAnsi="Times New Roman" w:cs="Times New Roman"/>
          <w:color w:val="000000" w:themeColor="text1"/>
          <w:sz w:val="13"/>
          <w:szCs w:val="13"/>
        </w:rPr>
        <w:t>量——万吨/年；水污染物排放浓度——毫克/升</w:t>
      </w:r>
    </w:p>
    <w:p w14:paraId="55AD41A4">
      <w:pPr>
        <w:spacing w:line="360" w:lineRule="auto"/>
        <w:ind w:firstLine="585" w:firstLineChars="450"/>
        <w:jc w:val="left"/>
        <w:rPr>
          <w:rFonts w:hint="default" w:ascii="Times New Roman" w:hAnsi="Times New Roman" w:eastAsia="宋体" w:cs="Times New Roman"/>
          <w:color w:val="000000" w:themeColor="text1"/>
          <w:sz w:val="13"/>
          <w:szCs w:val="13"/>
          <w:lang w:eastAsia="zh-CN"/>
        </w:rPr>
      </w:pPr>
      <w:r>
        <w:rPr>
          <w:rFonts w:hint="default" w:ascii="Times New Roman" w:hAnsi="Times New Roman" w:cs="Times New Roman"/>
          <w:color w:val="000000" w:themeColor="text1"/>
          <w:sz w:val="13"/>
          <w:szCs w:val="13"/>
        </w:rPr>
        <w:t>2、[12]=[6]-[8]-[11]，[9]=[4]-[5]-[8]-[11]+[1]</w:t>
      </w:r>
    </w:p>
    <w:p w14:paraId="5B233008">
      <w:pPr>
        <w:spacing w:line="360" w:lineRule="auto"/>
        <w:ind w:firstLine="585" w:firstLineChars="450"/>
        <w:jc w:val="left"/>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3、计量单位：废水为万t/a，其相应污染物排放量、产生量、削减量、增减量为t/a，排放浓度为mg/l；废气排放量、产生量、削减量、增减量为m3/a，具体污染物排放量（如二氧化硫）为t/a，浓度均为mg/m3</w:t>
      </w:r>
      <w:r>
        <w:rPr>
          <w:rFonts w:hint="eastAsia" w:ascii="Times New Roman" w:hAnsi="Times New Roman" w:cs="Times New Roman"/>
          <w:color w:val="000000" w:themeColor="text1"/>
          <w:sz w:val="13"/>
          <w:szCs w:val="13"/>
          <w:lang w:eastAsia="zh-CN"/>
        </w:rPr>
        <w:t>，</w:t>
      </w:r>
      <w:r>
        <w:rPr>
          <w:rFonts w:hint="default" w:ascii="Times New Roman" w:hAnsi="Times New Roman" w:cs="Times New Roman"/>
          <w:color w:val="000000" w:themeColor="text1"/>
          <w:sz w:val="13"/>
          <w:szCs w:val="13"/>
        </w:rPr>
        <w:t>工业固体废物均为t/a，不需填写浓度。</w:t>
      </w:r>
    </w:p>
    <w:sectPr>
      <w:headerReference r:id="rId9" w:type="default"/>
      <w:pgSz w:w="16838" w:h="11906" w:orient="landscape"/>
      <w:pgMar w:top="1361" w:right="1440" w:bottom="1361" w:left="1440"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21FF3">
    <w:pPr>
      <w:pStyle w:val="27"/>
      <w:ind w:firstLine="4230" w:firstLineChars="23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FBA76">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72552">
    <w:pPr>
      <w:pStyle w:val="27"/>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lang w:val="zh-CN"/>
      </w:rPr>
      <w:t>1</w:t>
    </w:r>
    <w:r>
      <w:rPr>
        <w:rFonts w:ascii="Times New Roman" w:hAnsi="Times New Roma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9AD77">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82622">
    <w:pPr>
      <w:pStyle w:val="28"/>
      <w:pBdr>
        <w:bottom w:val="none" w:color="auto" w:sz="0" w:space="0"/>
      </w:pBdr>
      <w:tabs>
        <w:tab w:val="right" w:pos="8505"/>
        <w:tab w:val="clear" w:pos="8306"/>
      </w:tabs>
      <w:ind w:right="-664" w:rightChars="-316"/>
      <w:rPr>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5D3BF">
    <w:pPr>
      <w:pStyle w:val="2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D48FE">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327D2"/>
    <w:multiLevelType w:val="singleLevel"/>
    <w:tmpl w:val="914327D2"/>
    <w:lvl w:ilvl="0" w:tentative="0">
      <w:start w:val="1"/>
      <w:numFmt w:val="decimal"/>
      <w:suff w:val="nothing"/>
      <w:lvlText w:val="%1、"/>
      <w:lvlJc w:val="left"/>
    </w:lvl>
  </w:abstractNum>
  <w:abstractNum w:abstractNumId="1">
    <w:nsid w:val="0D1C2F65"/>
    <w:multiLevelType w:val="multilevel"/>
    <w:tmpl w:val="0D1C2F65"/>
    <w:lvl w:ilvl="0" w:tentative="0">
      <w:start w:val="1"/>
      <w:numFmt w:val="decimal"/>
      <w:lvlText w:val="%1、"/>
      <w:lvlJc w:val="left"/>
      <w:pPr>
        <w:ind w:left="857" w:hanging="375"/>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D77EA56"/>
    <w:multiLevelType w:val="singleLevel"/>
    <w:tmpl w:val="0D77EA56"/>
    <w:lvl w:ilvl="0" w:tentative="0">
      <w:start w:val="1"/>
      <w:numFmt w:val="bullet"/>
      <w:pStyle w:val="12"/>
      <w:lvlText w:val=""/>
      <w:lvlJc w:val="left"/>
      <w:pPr>
        <w:tabs>
          <w:tab w:val="left" w:pos="780"/>
        </w:tabs>
        <w:ind w:left="780" w:hanging="360"/>
      </w:pPr>
      <w:rPr>
        <w:rFonts w:hint="default" w:ascii="Wingdings" w:hAnsi="Wingdings"/>
      </w:rPr>
    </w:lvl>
  </w:abstractNum>
  <w:abstractNum w:abstractNumId="3">
    <w:nsid w:val="29FE42FD"/>
    <w:multiLevelType w:val="multilevel"/>
    <w:tmpl w:val="29FE42FD"/>
    <w:lvl w:ilvl="0" w:tentative="0">
      <w:start w:val="1"/>
      <w:numFmt w:val="decimal"/>
      <w:suff w:val="space"/>
      <w:lvlText w:val="%1"/>
      <w:lvlJc w:val="left"/>
      <w:pPr>
        <w:ind w:left="0" w:firstLine="0"/>
      </w:pPr>
      <w:rPr>
        <w:rFonts w:hint="eastAsia"/>
        <w:sz w:val="30"/>
        <w:szCs w:val="30"/>
      </w:rPr>
    </w:lvl>
    <w:lvl w:ilvl="1" w:tentative="0">
      <w:start w:val="1"/>
      <w:numFmt w:val="decimal"/>
      <w:pStyle w:val="4"/>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jQ4MWFlNTg4ZTYzZWNkZGU0MWY0NjMyNTYwMzU5YjEifQ=="/>
  </w:docVars>
  <w:rsids>
    <w:rsidRoot w:val="00172A27"/>
    <w:rsid w:val="0000116A"/>
    <w:rsid w:val="00002AB0"/>
    <w:rsid w:val="00003D45"/>
    <w:rsid w:val="00005247"/>
    <w:rsid w:val="00007350"/>
    <w:rsid w:val="00007BA8"/>
    <w:rsid w:val="00010467"/>
    <w:rsid w:val="00010DD5"/>
    <w:rsid w:val="00010DEA"/>
    <w:rsid w:val="00011DB3"/>
    <w:rsid w:val="0001287D"/>
    <w:rsid w:val="00012A40"/>
    <w:rsid w:val="000133BB"/>
    <w:rsid w:val="00013925"/>
    <w:rsid w:val="00013CF0"/>
    <w:rsid w:val="00013ED4"/>
    <w:rsid w:val="00014701"/>
    <w:rsid w:val="00015086"/>
    <w:rsid w:val="00015614"/>
    <w:rsid w:val="000161A2"/>
    <w:rsid w:val="000201D2"/>
    <w:rsid w:val="00021394"/>
    <w:rsid w:val="00023758"/>
    <w:rsid w:val="00023977"/>
    <w:rsid w:val="00023B54"/>
    <w:rsid w:val="00023CC5"/>
    <w:rsid w:val="00025915"/>
    <w:rsid w:val="00026278"/>
    <w:rsid w:val="00026386"/>
    <w:rsid w:val="00026E15"/>
    <w:rsid w:val="00026F99"/>
    <w:rsid w:val="00027538"/>
    <w:rsid w:val="0003046B"/>
    <w:rsid w:val="00030BE4"/>
    <w:rsid w:val="00031E33"/>
    <w:rsid w:val="00031E50"/>
    <w:rsid w:val="0003313A"/>
    <w:rsid w:val="00035452"/>
    <w:rsid w:val="0003697B"/>
    <w:rsid w:val="00036DC4"/>
    <w:rsid w:val="0003718C"/>
    <w:rsid w:val="00041D8A"/>
    <w:rsid w:val="000421A9"/>
    <w:rsid w:val="0004281F"/>
    <w:rsid w:val="00042D31"/>
    <w:rsid w:val="000432AA"/>
    <w:rsid w:val="0004365F"/>
    <w:rsid w:val="0004458E"/>
    <w:rsid w:val="0004471E"/>
    <w:rsid w:val="000459DE"/>
    <w:rsid w:val="00046083"/>
    <w:rsid w:val="0004680C"/>
    <w:rsid w:val="00046A5F"/>
    <w:rsid w:val="00047CEF"/>
    <w:rsid w:val="000502BE"/>
    <w:rsid w:val="0005071A"/>
    <w:rsid w:val="000513F5"/>
    <w:rsid w:val="000544C0"/>
    <w:rsid w:val="0005567A"/>
    <w:rsid w:val="00055936"/>
    <w:rsid w:val="00056127"/>
    <w:rsid w:val="000566B3"/>
    <w:rsid w:val="00057C97"/>
    <w:rsid w:val="00060220"/>
    <w:rsid w:val="00060411"/>
    <w:rsid w:val="00060435"/>
    <w:rsid w:val="0006045A"/>
    <w:rsid w:val="000629F4"/>
    <w:rsid w:val="00064F07"/>
    <w:rsid w:val="000653B5"/>
    <w:rsid w:val="000654D1"/>
    <w:rsid w:val="00066258"/>
    <w:rsid w:val="000667AB"/>
    <w:rsid w:val="00067313"/>
    <w:rsid w:val="00067B03"/>
    <w:rsid w:val="00067D96"/>
    <w:rsid w:val="00070CD8"/>
    <w:rsid w:val="00071CE9"/>
    <w:rsid w:val="000728BB"/>
    <w:rsid w:val="00073986"/>
    <w:rsid w:val="00074768"/>
    <w:rsid w:val="00074E8C"/>
    <w:rsid w:val="00075231"/>
    <w:rsid w:val="000756A8"/>
    <w:rsid w:val="00075D22"/>
    <w:rsid w:val="000762C8"/>
    <w:rsid w:val="00076769"/>
    <w:rsid w:val="00077ABA"/>
    <w:rsid w:val="00081551"/>
    <w:rsid w:val="000824A7"/>
    <w:rsid w:val="00082E2A"/>
    <w:rsid w:val="000835B8"/>
    <w:rsid w:val="00083BB4"/>
    <w:rsid w:val="0008407D"/>
    <w:rsid w:val="00086932"/>
    <w:rsid w:val="00086C79"/>
    <w:rsid w:val="000875BE"/>
    <w:rsid w:val="00090900"/>
    <w:rsid w:val="000910A9"/>
    <w:rsid w:val="00091116"/>
    <w:rsid w:val="00091182"/>
    <w:rsid w:val="000920CE"/>
    <w:rsid w:val="00092667"/>
    <w:rsid w:val="00092D91"/>
    <w:rsid w:val="00094B4E"/>
    <w:rsid w:val="00095EAB"/>
    <w:rsid w:val="00096B42"/>
    <w:rsid w:val="000A266F"/>
    <w:rsid w:val="000A372B"/>
    <w:rsid w:val="000A3A74"/>
    <w:rsid w:val="000A42D5"/>
    <w:rsid w:val="000A6BBE"/>
    <w:rsid w:val="000A6CC9"/>
    <w:rsid w:val="000A7C36"/>
    <w:rsid w:val="000B0221"/>
    <w:rsid w:val="000B0817"/>
    <w:rsid w:val="000B1367"/>
    <w:rsid w:val="000B1DB4"/>
    <w:rsid w:val="000B366B"/>
    <w:rsid w:val="000B38F4"/>
    <w:rsid w:val="000B3AF4"/>
    <w:rsid w:val="000B446B"/>
    <w:rsid w:val="000B5607"/>
    <w:rsid w:val="000B567C"/>
    <w:rsid w:val="000B5B5C"/>
    <w:rsid w:val="000B689C"/>
    <w:rsid w:val="000B71BA"/>
    <w:rsid w:val="000C3AF5"/>
    <w:rsid w:val="000C3D0B"/>
    <w:rsid w:val="000C462B"/>
    <w:rsid w:val="000C490F"/>
    <w:rsid w:val="000C49D1"/>
    <w:rsid w:val="000C4CDD"/>
    <w:rsid w:val="000C5059"/>
    <w:rsid w:val="000C50B3"/>
    <w:rsid w:val="000C619D"/>
    <w:rsid w:val="000C6E25"/>
    <w:rsid w:val="000C728A"/>
    <w:rsid w:val="000C7BF7"/>
    <w:rsid w:val="000D0C74"/>
    <w:rsid w:val="000D1491"/>
    <w:rsid w:val="000D1B2F"/>
    <w:rsid w:val="000D2880"/>
    <w:rsid w:val="000D2A60"/>
    <w:rsid w:val="000D4D89"/>
    <w:rsid w:val="000D642B"/>
    <w:rsid w:val="000D658E"/>
    <w:rsid w:val="000D6603"/>
    <w:rsid w:val="000D6FB2"/>
    <w:rsid w:val="000D74FF"/>
    <w:rsid w:val="000E0DC3"/>
    <w:rsid w:val="000E0E75"/>
    <w:rsid w:val="000E180A"/>
    <w:rsid w:val="000E23AD"/>
    <w:rsid w:val="000E293D"/>
    <w:rsid w:val="000E2A2D"/>
    <w:rsid w:val="000E545D"/>
    <w:rsid w:val="000E577B"/>
    <w:rsid w:val="000E6932"/>
    <w:rsid w:val="000E71C0"/>
    <w:rsid w:val="000F0BD0"/>
    <w:rsid w:val="000F0DC6"/>
    <w:rsid w:val="000F104B"/>
    <w:rsid w:val="000F278A"/>
    <w:rsid w:val="000F2E78"/>
    <w:rsid w:val="000F31CE"/>
    <w:rsid w:val="000F3FD6"/>
    <w:rsid w:val="000F421C"/>
    <w:rsid w:val="000F460E"/>
    <w:rsid w:val="000F473D"/>
    <w:rsid w:val="000F4D07"/>
    <w:rsid w:val="000F52C8"/>
    <w:rsid w:val="000F54FF"/>
    <w:rsid w:val="000F569E"/>
    <w:rsid w:val="000F5EB7"/>
    <w:rsid w:val="001009A2"/>
    <w:rsid w:val="00101AEB"/>
    <w:rsid w:val="00101E1E"/>
    <w:rsid w:val="001023C2"/>
    <w:rsid w:val="00103099"/>
    <w:rsid w:val="0010371B"/>
    <w:rsid w:val="00103E33"/>
    <w:rsid w:val="00104522"/>
    <w:rsid w:val="00104EB0"/>
    <w:rsid w:val="00105C6A"/>
    <w:rsid w:val="0010688E"/>
    <w:rsid w:val="00107950"/>
    <w:rsid w:val="00110325"/>
    <w:rsid w:val="00110B65"/>
    <w:rsid w:val="00110DE6"/>
    <w:rsid w:val="0011150F"/>
    <w:rsid w:val="001115C4"/>
    <w:rsid w:val="0011220A"/>
    <w:rsid w:val="001124FE"/>
    <w:rsid w:val="00112915"/>
    <w:rsid w:val="0011294E"/>
    <w:rsid w:val="00113BF6"/>
    <w:rsid w:val="001143C9"/>
    <w:rsid w:val="0011446D"/>
    <w:rsid w:val="00116851"/>
    <w:rsid w:val="00116E35"/>
    <w:rsid w:val="0011714D"/>
    <w:rsid w:val="00121424"/>
    <w:rsid w:val="00121C85"/>
    <w:rsid w:val="001222C3"/>
    <w:rsid w:val="001230B1"/>
    <w:rsid w:val="00123A11"/>
    <w:rsid w:val="001242FD"/>
    <w:rsid w:val="00124998"/>
    <w:rsid w:val="00124C60"/>
    <w:rsid w:val="00124F14"/>
    <w:rsid w:val="00126BF0"/>
    <w:rsid w:val="00127280"/>
    <w:rsid w:val="00127E94"/>
    <w:rsid w:val="00130451"/>
    <w:rsid w:val="0013322E"/>
    <w:rsid w:val="00133468"/>
    <w:rsid w:val="00133E80"/>
    <w:rsid w:val="00134C03"/>
    <w:rsid w:val="00136601"/>
    <w:rsid w:val="001369F6"/>
    <w:rsid w:val="001402BC"/>
    <w:rsid w:val="00140569"/>
    <w:rsid w:val="00140812"/>
    <w:rsid w:val="00140D9F"/>
    <w:rsid w:val="00142AFC"/>
    <w:rsid w:val="00142C37"/>
    <w:rsid w:val="00143776"/>
    <w:rsid w:val="00143913"/>
    <w:rsid w:val="00143F8D"/>
    <w:rsid w:val="001451ED"/>
    <w:rsid w:val="00146615"/>
    <w:rsid w:val="0014676A"/>
    <w:rsid w:val="00146DB3"/>
    <w:rsid w:val="00147736"/>
    <w:rsid w:val="00151500"/>
    <w:rsid w:val="00152453"/>
    <w:rsid w:val="001541AD"/>
    <w:rsid w:val="00154995"/>
    <w:rsid w:val="00154DAE"/>
    <w:rsid w:val="001554DE"/>
    <w:rsid w:val="00155523"/>
    <w:rsid w:val="001555CA"/>
    <w:rsid w:val="00155895"/>
    <w:rsid w:val="00156D51"/>
    <w:rsid w:val="00156DC5"/>
    <w:rsid w:val="001605A8"/>
    <w:rsid w:val="00163389"/>
    <w:rsid w:val="00163A70"/>
    <w:rsid w:val="00163F6A"/>
    <w:rsid w:val="001655D1"/>
    <w:rsid w:val="00165BE1"/>
    <w:rsid w:val="00165C53"/>
    <w:rsid w:val="00166E38"/>
    <w:rsid w:val="00167800"/>
    <w:rsid w:val="00167B24"/>
    <w:rsid w:val="00170D03"/>
    <w:rsid w:val="00170D59"/>
    <w:rsid w:val="00171066"/>
    <w:rsid w:val="00171AB6"/>
    <w:rsid w:val="00172A27"/>
    <w:rsid w:val="00173CD4"/>
    <w:rsid w:val="0017413C"/>
    <w:rsid w:val="001742DD"/>
    <w:rsid w:val="00174DD6"/>
    <w:rsid w:val="001768E3"/>
    <w:rsid w:val="00176E42"/>
    <w:rsid w:val="00180EB2"/>
    <w:rsid w:val="00180FD6"/>
    <w:rsid w:val="00181B6B"/>
    <w:rsid w:val="001826F3"/>
    <w:rsid w:val="00183AA2"/>
    <w:rsid w:val="001842BE"/>
    <w:rsid w:val="0018482B"/>
    <w:rsid w:val="00187B97"/>
    <w:rsid w:val="00187F1C"/>
    <w:rsid w:val="001914FF"/>
    <w:rsid w:val="00191B54"/>
    <w:rsid w:val="00193292"/>
    <w:rsid w:val="00194A2D"/>
    <w:rsid w:val="00195679"/>
    <w:rsid w:val="001964C8"/>
    <w:rsid w:val="0019659D"/>
    <w:rsid w:val="001A005F"/>
    <w:rsid w:val="001A0948"/>
    <w:rsid w:val="001A1977"/>
    <w:rsid w:val="001A23B9"/>
    <w:rsid w:val="001A2725"/>
    <w:rsid w:val="001A2E44"/>
    <w:rsid w:val="001A35DA"/>
    <w:rsid w:val="001A3888"/>
    <w:rsid w:val="001A5371"/>
    <w:rsid w:val="001A5753"/>
    <w:rsid w:val="001A66B3"/>
    <w:rsid w:val="001A70FC"/>
    <w:rsid w:val="001A7131"/>
    <w:rsid w:val="001A72CF"/>
    <w:rsid w:val="001A7536"/>
    <w:rsid w:val="001B023B"/>
    <w:rsid w:val="001B07E5"/>
    <w:rsid w:val="001B0A3E"/>
    <w:rsid w:val="001B0CE8"/>
    <w:rsid w:val="001B1084"/>
    <w:rsid w:val="001B10EB"/>
    <w:rsid w:val="001B13B4"/>
    <w:rsid w:val="001B16F5"/>
    <w:rsid w:val="001B3A65"/>
    <w:rsid w:val="001B554D"/>
    <w:rsid w:val="001B5D65"/>
    <w:rsid w:val="001B6525"/>
    <w:rsid w:val="001B775B"/>
    <w:rsid w:val="001C08B9"/>
    <w:rsid w:val="001C0D23"/>
    <w:rsid w:val="001C29F2"/>
    <w:rsid w:val="001C2AD6"/>
    <w:rsid w:val="001C2F04"/>
    <w:rsid w:val="001C34B8"/>
    <w:rsid w:val="001C3A7F"/>
    <w:rsid w:val="001C4684"/>
    <w:rsid w:val="001C4AD8"/>
    <w:rsid w:val="001C4C39"/>
    <w:rsid w:val="001C578B"/>
    <w:rsid w:val="001C5F55"/>
    <w:rsid w:val="001C6537"/>
    <w:rsid w:val="001C6B60"/>
    <w:rsid w:val="001C7238"/>
    <w:rsid w:val="001C764A"/>
    <w:rsid w:val="001D4F14"/>
    <w:rsid w:val="001D5957"/>
    <w:rsid w:val="001D5CC5"/>
    <w:rsid w:val="001D664C"/>
    <w:rsid w:val="001D6905"/>
    <w:rsid w:val="001D697E"/>
    <w:rsid w:val="001D7394"/>
    <w:rsid w:val="001E0087"/>
    <w:rsid w:val="001E0931"/>
    <w:rsid w:val="001E1730"/>
    <w:rsid w:val="001E3D8A"/>
    <w:rsid w:val="001E3DB0"/>
    <w:rsid w:val="001E3E82"/>
    <w:rsid w:val="001E3F00"/>
    <w:rsid w:val="001E4064"/>
    <w:rsid w:val="001E5157"/>
    <w:rsid w:val="001E62D1"/>
    <w:rsid w:val="001E6C08"/>
    <w:rsid w:val="001E7318"/>
    <w:rsid w:val="001F0F84"/>
    <w:rsid w:val="001F2228"/>
    <w:rsid w:val="001F2B4A"/>
    <w:rsid w:val="001F4945"/>
    <w:rsid w:val="001F5E71"/>
    <w:rsid w:val="0020133A"/>
    <w:rsid w:val="0020152D"/>
    <w:rsid w:val="00203225"/>
    <w:rsid w:val="00203CD1"/>
    <w:rsid w:val="002052CB"/>
    <w:rsid w:val="0020661D"/>
    <w:rsid w:val="00207688"/>
    <w:rsid w:val="00210215"/>
    <w:rsid w:val="002102EC"/>
    <w:rsid w:val="00210664"/>
    <w:rsid w:val="00210A1B"/>
    <w:rsid w:val="0021129F"/>
    <w:rsid w:val="00212FF9"/>
    <w:rsid w:val="00213848"/>
    <w:rsid w:val="002144A4"/>
    <w:rsid w:val="002156BF"/>
    <w:rsid w:val="00215950"/>
    <w:rsid w:val="00216121"/>
    <w:rsid w:val="002170B1"/>
    <w:rsid w:val="00217EC2"/>
    <w:rsid w:val="00220685"/>
    <w:rsid w:val="00220EC6"/>
    <w:rsid w:val="0022209A"/>
    <w:rsid w:val="002221D6"/>
    <w:rsid w:val="002253C9"/>
    <w:rsid w:val="00226D2D"/>
    <w:rsid w:val="0023053A"/>
    <w:rsid w:val="00230DFC"/>
    <w:rsid w:val="00232152"/>
    <w:rsid w:val="0023358C"/>
    <w:rsid w:val="002341FD"/>
    <w:rsid w:val="00235B21"/>
    <w:rsid w:val="00235E78"/>
    <w:rsid w:val="00236258"/>
    <w:rsid w:val="0023674C"/>
    <w:rsid w:val="00236A92"/>
    <w:rsid w:val="00236CFD"/>
    <w:rsid w:val="00237683"/>
    <w:rsid w:val="00237A89"/>
    <w:rsid w:val="00240F83"/>
    <w:rsid w:val="0024100D"/>
    <w:rsid w:val="002414A2"/>
    <w:rsid w:val="00242216"/>
    <w:rsid w:val="00242896"/>
    <w:rsid w:val="002444FD"/>
    <w:rsid w:val="002450C1"/>
    <w:rsid w:val="002452AD"/>
    <w:rsid w:val="00246195"/>
    <w:rsid w:val="0024739B"/>
    <w:rsid w:val="00247796"/>
    <w:rsid w:val="002514AE"/>
    <w:rsid w:val="0025198E"/>
    <w:rsid w:val="00252AC1"/>
    <w:rsid w:val="0025313C"/>
    <w:rsid w:val="00253DAC"/>
    <w:rsid w:val="0025575C"/>
    <w:rsid w:val="002565AE"/>
    <w:rsid w:val="0025663D"/>
    <w:rsid w:val="002568C4"/>
    <w:rsid w:val="002607C7"/>
    <w:rsid w:val="00261883"/>
    <w:rsid w:val="00261CAC"/>
    <w:rsid w:val="00261EA1"/>
    <w:rsid w:val="00262991"/>
    <w:rsid w:val="00263A1A"/>
    <w:rsid w:val="002640B1"/>
    <w:rsid w:val="00264368"/>
    <w:rsid w:val="0026543F"/>
    <w:rsid w:val="002658D9"/>
    <w:rsid w:val="00265DE6"/>
    <w:rsid w:val="0026615F"/>
    <w:rsid w:val="0027188F"/>
    <w:rsid w:val="00271DD1"/>
    <w:rsid w:val="00272329"/>
    <w:rsid w:val="002725B7"/>
    <w:rsid w:val="00274D94"/>
    <w:rsid w:val="00275253"/>
    <w:rsid w:val="00275742"/>
    <w:rsid w:val="00275AAF"/>
    <w:rsid w:val="00276E9F"/>
    <w:rsid w:val="00276EA9"/>
    <w:rsid w:val="00277659"/>
    <w:rsid w:val="00281663"/>
    <w:rsid w:val="00282B2A"/>
    <w:rsid w:val="00283193"/>
    <w:rsid w:val="002833CC"/>
    <w:rsid w:val="0028355A"/>
    <w:rsid w:val="002837C3"/>
    <w:rsid w:val="00284132"/>
    <w:rsid w:val="00286CA1"/>
    <w:rsid w:val="00287045"/>
    <w:rsid w:val="002870C3"/>
    <w:rsid w:val="00287418"/>
    <w:rsid w:val="002876B6"/>
    <w:rsid w:val="002908F1"/>
    <w:rsid w:val="00290C01"/>
    <w:rsid w:val="0029139C"/>
    <w:rsid w:val="002916EC"/>
    <w:rsid w:val="00291AA8"/>
    <w:rsid w:val="00291EB3"/>
    <w:rsid w:val="0029222C"/>
    <w:rsid w:val="00292F1D"/>
    <w:rsid w:val="0029391B"/>
    <w:rsid w:val="00294DBD"/>
    <w:rsid w:val="00294E4D"/>
    <w:rsid w:val="00297795"/>
    <w:rsid w:val="002A0FF5"/>
    <w:rsid w:val="002A2F53"/>
    <w:rsid w:val="002A3C21"/>
    <w:rsid w:val="002A3ED8"/>
    <w:rsid w:val="002A409F"/>
    <w:rsid w:val="002A5F2A"/>
    <w:rsid w:val="002A6AA0"/>
    <w:rsid w:val="002A6DE1"/>
    <w:rsid w:val="002A7577"/>
    <w:rsid w:val="002A7B1A"/>
    <w:rsid w:val="002A7C06"/>
    <w:rsid w:val="002B1D73"/>
    <w:rsid w:val="002B2BFC"/>
    <w:rsid w:val="002B2DFC"/>
    <w:rsid w:val="002B3BFF"/>
    <w:rsid w:val="002B4506"/>
    <w:rsid w:val="002B5384"/>
    <w:rsid w:val="002B5755"/>
    <w:rsid w:val="002B5A10"/>
    <w:rsid w:val="002B5D6F"/>
    <w:rsid w:val="002B6BEF"/>
    <w:rsid w:val="002B6C06"/>
    <w:rsid w:val="002B707F"/>
    <w:rsid w:val="002B7AAA"/>
    <w:rsid w:val="002C00E0"/>
    <w:rsid w:val="002C0A5F"/>
    <w:rsid w:val="002C108E"/>
    <w:rsid w:val="002C27D7"/>
    <w:rsid w:val="002C29C2"/>
    <w:rsid w:val="002C2B5B"/>
    <w:rsid w:val="002C2B7E"/>
    <w:rsid w:val="002C3CBE"/>
    <w:rsid w:val="002C547F"/>
    <w:rsid w:val="002C5535"/>
    <w:rsid w:val="002C5DAF"/>
    <w:rsid w:val="002C5FF5"/>
    <w:rsid w:val="002C6AB0"/>
    <w:rsid w:val="002D04A2"/>
    <w:rsid w:val="002D0618"/>
    <w:rsid w:val="002D0A04"/>
    <w:rsid w:val="002D24CA"/>
    <w:rsid w:val="002D2FD2"/>
    <w:rsid w:val="002D3C99"/>
    <w:rsid w:val="002D45EA"/>
    <w:rsid w:val="002D5751"/>
    <w:rsid w:val="002D683E"/>
    <w:rsid w:val="002D7211"/>
    <w:rsid w:val="002E166B"/>
    <w:rsid w:val="002E448E"/>
    <w:rsid w:val="002E4AC2"/>
    <w:rsid w:val="002E5386"/>
    <w:rsid w:val="002E608E"/>
    <w:rsid w:val="002E7A5B"/>
    <w:rsid w:val="002F07F3"/>
    <w:rsid w:val="002F2B8C"/>
    <w:rsid w:val="002F3E6D"/>
    <w:rsid w:val="002F562B"/>
    <w:rsid w:val="002F5FC3"/>
    <w:rsid w:val="002F7BB7"/>
    <w:rsid w:val="00301195"/>
    <w:rsid w:val="0030180D"/>
    <w:rsid w:val="00303116"/>
    <w:rsid w:val="0030312D"/>
    <w:rsid w:val="00303372"/>
    <w:rsid w:val="00304EE6"/>
    <w:rsid w:val="00305DE6"/>
    <w:rsid w:val="00306048"/>
    <w:rsid w:val="00306C32"/>
    <w:rsid w:val="003120FD"/>
    <w:rsid w:val="0031361D"/>
    <w:rsid w:val="00313A4F"/>
    <w:rsid w:val="0031400B"/>
    <w:rsid w:val="003144F3"/>
    <w:rsid w:val="00314541"/>
    <w:rsid w:val="003151C7"/>
    <w:rsid w:val="0031525E"/>
    <w:rsid w:val="00316794"/>
    <w:rsid w:val="00316CFE"/>
    <w:rsid w:val="00316D9D"/>
    <w:rsid w:val="0031706B"/>
    <w:rsid w:val="00317EF1"/>
    <w:rsid w:val="00320E51"/>
    <w:rsid w:val="00320E91"/>
    <w:rsid w:val="003210CA"/>
    <w:rsid w:val="00321A6D"/>
    <w:rsid w:val="00324251"/>
    <w:rsid w:val="00324ECE"/>
    <w:rsid w:val="00325051"/>
    <w:rsid w:val="00325603"/>
    <w:rsid w:val="0032681B"/>
    <w:rsid w:val="003277E6"/>
    <w:rsid w:val="0032799D"/>
    <w:rsid w:val="003304EA"/>
    <w:rsid w:val="00330AF1"/>
    <w:rsid w:val="00331FE1"/>
    <w:rsid w:val="00332CBD"/>
    <w:rsid w:val="003335E6"/>
    <w:rsid w:val="00333610"/>
    <w:rsid w:val="0033419B"/>
    <w:rsid w:val="0033433B"/>
    <w:rsid w:val="0033439B"/>
    <w:rsid w:val="0033492E"/>
    <w:rsid w:val="00335EA1"/>
    <w:rsid w:val="0033653C"/>
    <w:rsid w:val="003366B4"/>
    <w:rsid w:val="00340013"/>
    <w:rsid w:val="00341B35"/>
    <w:rsid w:val="00341B58"/>
    <w:rsid w:val="00343427"/>
    <w:rsid w:val="00343611"/>
    <w:rsid w:val="003444CF"/>
    <w:rsid w:val="003446A4"/>
    <w:rsid w:val="003446FA"/>
    <w:rsid w:val="00344BF1"/>
    <w:rsid w:val="00345294"/>
    <w:rsid w:val="00345A85"/>
    <w:rsid w:val="00345BDA"/>
    <w:rsid w:val="0034629A"/>
    <w:rsid w:val="00347743"/>
    <w:rsid w:val="003501BD"/>
    <w:rsid w:val="00350300"/>
    <w:rsid w:val="00350496"/>
    <w:rsid w:val="00351A03"/>
    <w:rsid w:val="00352CD0"/>
    <w:rsid w:val="00354070"/>
    <w:rsid w:val="00357025"/>
    <w:rsid w:val="00357855"/>
    <w:rsid w:val="00357D12"/>
    <w:rsid w:val="00360AF8"/>
    <w:rsid w:val="00360B96"/>
    <w:rsid w:val="00361BD8"/>
    <w:rsid w:val="0036253E"/>
    <w:rsid w:val="003626D4"/>
    <w:rsid w:val="003633C1"/>
    <w:rsid w:val="00364398"/>
    <w:rsid w:val="00366557"/>
    <w:rsid w:val="00366A16"/>
    <w:rsid w:val="00366ACF"/>
    <w:rsid w:val="0037244E"/>
    <w:rsid w:val="003728F4"/>
    <w:rsid w:val="00372F59"/>
    <w:rsid w:val="00374045"/>
    <w:rsid w:val="003757D8"/>
    <w:rsid w:val="00375F05"/>
    <w:rsid w:val="003762D9"/>
    <w:rsid w:val="00376C23"/>
    <w:rsid w:val="0037705A"/>
    <w:rsid w:val="003775A5"/>
    <w:rsid w:val="003814A5"/>
    <w:rsid w:val="00383268"/>
    <w:rsid w:val="0038345C"/>
    <w:rsid w:val="003835E5"/>
    <w:rsid w:val="003837AC"/>
    <w:rsid w:val="00384D66"/>
    <w:rsid w:val="00384E5C"/>
    <w:rsid w:val="00386A85"/>
    <w:rsid w:val="003877A2"/>
    <w:rsid w:val="00390855"/>
    <w:rsid w:val="00390B40"/>
    <w:rsid w:val="0039135D"/>
    <w:rsid w:val="00391FEB"/>
    <w:rsid w:val="00394A2B"/>
    <w:rsid w:val="0039551F"/>
    <w:rsid w:val="00395920"/>
    <w:rsid w:val="00395C75"/>
    <w:rsid w:val="0039601F"/>
    <w:rsid w:val="00397B40"/>
    <w:rsid w:val="003A0205"/>
    <w:rsid w:val="003A0F45"/>
    <w:rsid w:val="003A11EA"/>
    <w:rsid w:val="003A2B3E"/>
    <w:rsid w:val="003A3930"/>
    <w:rsid w:val="003A491C"/>
    <w:rsid w:val="003A6818"/>
    <w:rsid w:val="003B100C"/>
    <w:rsid w:val="003B341A"/>
    <w:rsid w:val="003B4338"/>
    <w:rsid w:val="003B480C"/>
    <w:rsid w:val="003B5AD1"/>
    <w:rsid w:val="003B61D7"/>
    <w:rsid w:val="003B649A"/>
    <w:rsid w:val="003B6B24"/>
    <w:rsid w:val="003B718F"/>
    <w:rsid w:val="003C0170"/>
    <w:rsid w:val="003C07A8"/>
    <w:rsid w:val="003C09B1"/>
    <w:rsid w:val="003C0A93"/>
    <w:rsid w:val="003C0B6B"/>
    <w:rsid w:val="003C0FC0"/>
    <w:rsid w:val="003C10BD"/>
    <w:rsid w:val="003C1E22"/>
    <w:rsid w:val="003C450A"/>
    <w:rsid w:val="003C4D9D"/>
    <w:rsid w:val="003C5E44"/>
    <w:rsid w:val="003C6847"/>
    <w:rsid w:val="003C7501"/>
    <w:rsid w:val="003D0DE4"/>
    <w:rsid w:val="003D0FA5"/>
    <w:rsid w:val="003D3562"/>
    <w:rsid w:val="003D3B3B"/>
    <w:rsid w:val="003D4BA2"/>
    <w:rsid w:val="003D501B"/>
    <w:rsid w:val="003D6D2E"/>
    <w:rsid w:val="003D73EC"/>
    <w:rsid w:val="003D7D13"/>
    <w:rsid w:val="003E129C"/>
    <w:rsid w:val="003E1647"/>
    <w:rsid w:val="003E299D"/>
    <w:rsid w:val="003E3658"/>
    <w:rsid w:val="003E3F8F"/>
    <w:rsid w:val="003E74BC"/>
    <w:rsid w:val="003F0F18"/>
    <w:rsid w:val="003F20C2"/>
    <w:rsid w:val="003F26FF"/>
    <w:rsid w:val="003F39B4"/>
    <w:rsid w:val="003F40E4"/>
    <w:rsid w:val="003F55A1"/>
    <w:rsid w:val="003F615E"/>
    <w:rsid w:val="003F6693"/>
    <w:rsid w:val="003F6C67"/>
    <w:rsid w:val="003F75D3"/>
    <w:rsid w:val="003F7DDA"/>
    <w:rsid w:val="00400256"/>
    <w:rsid w:val="0040224A"/>
    <w:rsid w:val="00402386"/>
    <w:rsid w:val="004026C3"/>
    <w:rsid w:val="004032F9"/>
    <w:rsid w:val="004036A3"/>
    <w:rsid w:val="00403EE9"/>
    <w:rsid w:val="00403F1B"/>
    <w:rsid w:val="0040498D"/>
    <w:rsid w:val="00405B83"/>
    <w:rsid w:val="00407053"/>
    <w:rsid w:val="004075DC"/>
    <w:rsid w:val="004103F5"/>
    <w:rsid w:val="004117E2"/>
    <w:rsid w:val="0041254C"/>
    <w:rsid w:val="00413AC7"/>
    <w:rsid w:val="00414623"/>
    <w:rsid w:val="00414898"/>
    <w:rsid w:val="00416AA8"/>
    <w:rsid w:val="004174DE"/>
    <w:rsid w:val="0042015D"/>
    <w:rsid w:val="004203C9"/>
    <w:rsid w:val="004212A0"/>
    <w:rsid w:val="00421A80"/>
    <w:rsid w:val="00421F3B"/>
    <w:rsid w:val="00422F9A"/>
    <w:rsid w:val="00423120"/>
    <w:rsid w:val="00423600"/>
    <w:rsid w:val="004238F1"/>
    <w:rsid w:val="0042444F"/>
    <w:rsid w:val="004247BB"/>
    <w:rsid w:val="00424D92"/>
    <w:rsid w:val="00424EB6"/>
    <w:rsid w:val="0042551D"/>
    <w:rsid w:val="00425C37"/>
    <w:rsid w:val="00426E9C"/>
    <w:rsid w:val="0042752F"/>
    <w:rsid w:val="004275BE"/>
    <w:rsid w:val="00427A3E"/>
    <w:rsid w:val="00427B77"/>
    <w:rsid w:val="0043071E"/>
    <w:rsid w:val="00430D3F"/>
    <w:rsid w:val="00431D8F"/>
    <w:rsid w:val="0043237E"/>
    <w:rsid w:val="00432D32"/>
    <w:rsid w:val="00432DD0"/>
    <w:rsid w:val="00433557"/>
    <w:rsid w:val="004335BE"/>
    <w:rsid w:val="004338C2"/>
    <w:rsid w:val="00433B7F"/>
    <w:rsid w:val="00433C84"/>
    <w:rsid w:val="00434A0C"/>
    <w:rsid w:val="0043669F"/>
    <w:rsid w:val="004379D0"/>
    <w:rsid w:val="00437FF4"/>
    <w:rsid w:val="00440A97"/>
    <w:rsid w:val="0044216C"/>
    <w:rsid w:val="004421E3"/>
    <w:rsid w:val="00442F26"/>
    <w:rsid w:val="00442F70"/>
    <w:rsid w:val="00443A46"/>
    <w:rsid w:val="00443D15"/>
    <w:rsid w:val="00444AD1"/>
    <w:rsid w:val="004460B2"/>
    <w:rsid w:val="00446377"/>
    <w:rsid w:val="00451A51"/>
    <w:rsid w:val="004526E1"/>
    <w:rsid w:val="00454EC9"/>
    <w:rsid w:val="0045502B"/>
    <w:rsid w:val="00455AFE"/>
    <w:rsid w:val="00455BA1"/>
    <w:rsid w:val="00456096"/>
    <w:rsid w:val="004567F8"/>
    <w:rsid w:val="00457957"/>
    <w:rsid w:val="004601D5"/>
    <w:rsid w:val="0046138C"/>
    <w:rsid w:val="00461FFB"/>
    <w:rsid w:val="004626C3"/>
    <w:rsid w:val="0046342B"/>
    <w:rsid w:val="0046388C"/>
    <w:rsid w:val="00463A7E"/>
    <w:rsid w:val="004649DC"/>
    <w:rsid w:val="00464F91"/>
    <w:rsid w:val="004665B6"/>
    <w:rsid w:val="0046687E"/>
    <w:rsid w:val="00467852"/>
    <w:rsid w:val="004678D6"/>
    <w:rsid w:val="00471029"/>
    <w:rsid w:val="00471887"/>
    <w:rsid w:val="00472158"/>
    <w:rsid w:val="004721D4"/>
    <w:rsid w:val="00472911"/>
    <w:rsid w:val="00473398"/>
    <w:rsid w:val="004738DA"/>
    <w:rsid w:val="004762EC"/>
    <w:rsid w:val="00477B20"/>
    <w:rsid w:val="00477D5F"/>
    <w:rsid w:val="00481BCC"/>
    <w:rsid w:val="00481BF5"/>
    <w:rsid w:val="0048295C"/>
    <w:rsid w:val="00484737"/>
    <w:rsid w:val="00485017"/>
    <w:rsid w:val="00486050"/>
    <w:rsid w:val="00487A41"/>
    <w:rsid w:val="004907DA"/>
    <w:rsid w:val="0049153E"/>
    <w:rsid w:val="00492FC3"/>
    <w:rsid w:val="0049321E"/>
    <w:rsid w:val="004939D9"/>
    <w:rsid w:val="00493FEA"/>
    <w:rsid w:val="004946E9"/>
    <w:rsid w:val="00495002"/>
    <w:rsid w:val="00495667"/>
    <w:rsid w:val="004959DE"/>
    <w:rsid w:val="00495F3C"/>
    <w:rsid w:val="00497FDC"/>
    <w:rsid w:val="004A01F9"/>
    <w:rsid w:val="004A149C"/>
    <w:rsid w:val="004A402F"/>
    <w:rsid w:val="004A4213"/>
    <w:rsid w:val="004A4C54"/>
    <w:rsid w:val="004A56E4"/>
    <w:rsid w:val="004A5818"/>
    <w:rsid w:val="004A6162"/>
    <w:rsid w:val="004A710B"/>
    <w:rsid w:val="004A75E1"/>
    <w:rsid w:val="004B1972"/>
    <w:rsid w:val="004B1BAD"/>
    <w:rsid w:val="004B2BC7"/>
    <w:rsid w:val="004B32E3"/>
    <w:rsid w:val="004B34B0"/>
    <w:rsid w:val="004B4EB7"/>
    <w:rsid w:val="004B4FEF"/>
    <w:rsid w:val="004B520D"/>
    <w:rsid w:val="004B59F4"/>
    <w:rsid w:val="004B5EAF"/>
    <w:rsid w:val="004B72C4"/>
    <w:rsid w:val="004B748D"/>
    <w:rsid w:val="004B7901"/>
    <w:rsid w:val="004B7B2C"/>
    <w:rsid w:val="004B7F1E"/>
    <w:rsid w:val="004B7F4A"/>
    <w:rsid w:val="004C0839"/>
    <w:rsid w:val="004C088E"/>
    <w:rsid w:val="004C2F2B"/>
    <w:rsid w:val="004C2FE9"/>
    <w:rsid w:val="004C4BB9"/>
    <w:rsid w:val="004C5BEC"/>
    <w:rsid w:val="004C5CA3"/>
    <w:rsid w:val="004C5D70"/>
    <w:rsid w:val="004C7D05"/>
    <w:rsid w:val="004C7F16"/>
    <w:rsid w:val="004D02B5"/>
    <w:rsid w:val="004D0BC4"/>
    <w:rsid w:val="004D179A"/>
    <w:rsid w:val="004D2D69"/>
    <w:rsid w:val="004D4475"/>
    <w:rsid w:val="004D4A1F"/>
    <w:rsid w:val="004D52C1"/>
    <w:rsid w:val="004D5F22"/>
    <w:rsid w:val="004D6E5E"/>
    <w:rsid w:val="004D720F"/>
    <w:rsid w:val="004D7C25"/>
    <w:rsid w:val="004E0192"/>
    <w:rsid w:val="004E067D"/>
    <w:rsid w:val="004E0763"/>
    <w:rsid w:val="004E0DB5"/>
    <w:rsid w:val="004E146C"/>
    <w:rsid w:val="004E266C"/>
    <w:rsid w:val="004E2D43"/>
    <w:rsid w:val="004E690E"/>
    <w:rsid w:val="004E6A12"/>
    <w:rsid w:val="004E6A87"/>
    <w:rsid w:val="004E6D8B"/>
    <w:rsid w:val="004E6FD7"/>
    <w:rsid w:val="004E72FD"/>
    <w:rsid w:val="004F01C9"/>
    <w:rsid w:val="004F13EC"/>
    <w:rsid w:val="004F1D62"/>
    <w:rsid w:val="004F35C4"/>
    <w:rsid w:val="004F45C7"/>
    <w:rsid w:val="004F4C37"/>
    <w:rsid w:val="004F5987"/>
    <w:rsid w:val="004F5F53"/>
    <w:rsid w:val="004F649E"/>
    <w:rsid w:val="004F68A8"/>
    <w:rsid w:val="004F6994"/>
    <w:rsid w:val="005015F8"/>
    <w:rsid w:val="0050274C"/>
    <w:rsid w:val="00504161"/>
    <w:rsid w:val="00504262"/>
    <w:rsid w:val="00504B38"/>
    <w:rsid w:val="00506544"/>
    <w:rsid w:val="00506CB9"/>
    <w:rsid w:val="005072B4"/>
    <w:rsid w:val="00513455"/>
    <w:rsid w:val="005137A6"/>
    <w:rsid w:val="00513CBB"/>
    <w:rsid w:val="00514BC0"/>
    <w:rsid w:val="00517722"/>
    <w:rsid w:val="0052119C"/>
    <w:rsid w:val="005215EF"/>
    <w:rsid w:val="0052173A"/>
    <w:rsid w:val="005236FE"/>
    <w:rsid w:val="00524D6E"/>
    <w:rsid w:val="00525613"/>
    <w:rsid w:val="00526B86"/>
    <w:rsid w:val="00526D5A"/>
    <w:rsid w:val="00527DCF"/>
    <w:rsid w:val="00531598"/>
    <w:rsid w:val="00531D76"/>
    <w:rsid w:val="00531F37"/>
    <w:rsid w:val="00532346"/>
    <w:rsid w:val="00533B44"/>
    <w:rsid w:val="00537CFD"/>
    <w:rsid w:val="005402F1"/>
    <w:rsid w:val="00542368"/>
    <w:rsid w:val="0054343E"/>
    <w:rsid w:val="00545B97"/>
    <w:rsid w:val="0054636B"/>
    <w:rsid w:val="00546C0A"/>
    <w:rsid w:val="0054736F"/>
    <w:rsid w:val="00550A14"/>
    <w:rsid w:val="00550B39"/>
    <w:rsid w:val="00552458"/>
    <w:rsid w:val="005527AD"/>
    <w:rsid w:val="00552C2F"/>
    <w:rsid w:val="005534EE"/>
    <w:rsid w:val="00553622"/>
    <w:rsid w:val="005562BC"/>
    <w:rsid w:val="00556C34"/>
    <w:rsid w:val="00557092"/>
    <w:rsid w:val="0056072A"/>
    <w:rsid w:val="005629DC"/>
    <w:rsid w:val="00562DC9"/>
    <w:rsid w:val="0056469A"/>
    <w:rsid w:val="00565AE0"/>
    <w:rsid w:val="00565ED2"/>
    <w:rsid w:val="00566235"/>
    <w:rsid w:val="00566BBC"/>
    <w:rsid w:val="00567A44"/>
    <w:rsid w:val="005705B7"/>
    <w:rsid w:val="00571387"/>
    <w:rsid w:val="00571742"/>
    <w:rsid w:val="00571EC7"/>
    <w:rsid w:val="0057281F"/>
    <w:rsid w:val="0057294D"/>
    <w:rsid w:val="00572D64"/>
    <w:rsid w:val="00572D90"/>
    <w:rsid w:val="00574677"/>
    <w:rsid w:val="00574AB7"/>
    <w:rsid w:val="00575DF2"/>
    <w:rsid w:val="005763BA"/>
    <w:rsid w:val="00577BA9"/>
    <w:rsid w:val="00577BE7"/>
    <w:rsid w:val="00577D89"/>
    <w:rsid w:val="005800CB"/>
    <w:rsid w:val="00580156"/>
    <w:rsid w:val="005806BB"/>
    <w:rsid w:val="00581892"/>
    <w:rsid w:val="00582038"/>
    <w:rsid w:val="005827B7"/>
    <w:rsid w:val="00583644"/>
    <w:rsid w:val="00583FB4"/>
    <w:rsid w:val="00584021"/>
    <w:rsid w:val="005848A0"/>
    <w:rsid w:val="00584DE4"/>
    <w:rsid w:val="00587938"/>
    <w:rsid w:val="00587CA2"/>
    <w:rsid w:val="00593B0F"/>
    <w:rsid w:val="00594A1E"/>
    <w:rsid w:val="005955DA"/>
    <w:rsid w:val="005958BD"/>
    <w:rsid w:val="00595E55"/>
    <w:rsid w:val="00596356"/>
    <w:rsid w:val="005967C0"/>
    <w:rsid w:val="005971E1"/>
    <w:rsid w:val="00597632"/>
    <w:rsid w:val="005A270F"/>
    <w:rsid w:val="005A2E9A"/>
    <w:rsid w:val="005A3520"/>
    <w:rsid w:val="005A354D"/>
    <w:rsid w:val="005A3813"/>
    <w:rsid w:val="005A3FB0"/>
    <w:rsid w:val="005A5351"/>
    <w:rsid w:val="005A57EE"/>
    <w:rsid w:val="005A5B94"/>
    <w:rsid w:val="005A7838"/>
    <w:rsid w:val="005B00EE"/>
    <w:rsid w:val="005B0A08"/>
    <w:rsid w:val="005B1C5C"/>
    <w:rsid w:val="005B26DC"/>
    <w:rsid w:val="005B274D"/>
    <w:rsid w:val="005B47F6"/>
    <w:rsid w:val="005B515C"/>
    <w:rsid w:val="005B6095"/>
    <w:rsid w:val="005C0571"/>
    <w:rsid w:val="005C2EED"/>
    <w:rsid w:val="005C444A"/>
    <w:rsid w:val="005C461F"/>
    <w:rsid w:val="005C4FDB"/>
    <w:rsid w:val="005C5DFD"/>
    <w:rsid w:val="005C7734"/>
    <w:rsid w:val="005C7928"/>
    <w:rsid w:val="005C7BF4"/>
    <w:rsid w:val="005D1777"/>
    <w:rsid w:val="005D1A55"/>
    <w:rsid w:val="005D1DC9"/>
    <w:rsid w:val="005D26D7"/>
    <w:rsid w:val="005D2789"/>
    <w:rsid w:val="005D296B"/>
    <w:rsid w:val="005D3404"/>
    <w:rsid w:val="005D3A84"/>
    <w:rsid w:val="005D3BEE"/>
    <w:rsid w:val="005D3E18"/>
    <w:rsid w:val="005D4189"/>
    <w:rsid w:val="005D4D8D"/>
    <w:rsid w:val="005D5B52"/>
    <w:rsid w:val="005D6055"/>
    <w:rsid w:val="005D7D85"/>
    <w:rsid w:val="005E0948"/>
    <w:rsid w:val="005E0C0F"/>
    <w:rsid w:val="005E0CD3"/>
    <w:rsid w:val="005E24D2"/>
    <w:rsid w:val="005E2F75"/>
    <w:rsid w:val="005E33FE"/>
    <w:rsid w:val="005E352C"/>
    <w:rsid w:val="005E4A15"/>
    <w:rsid w:val="005E7AB7"/>
    <w:rsid w:val="005E7B61"/>
    <w:rsid w:val="005F059C"/>
    <w:rsid w:val="005F12D1"/>
    <w:rsid w:val="005F1A94"/>
    <w:rsid w:val="005F24C6"/>
    <w:rsid w:val="005F2728"/>
    <w:rsid w:val="005F2A18"/>
    <w:rsid w:val="005F3B2B"/>
    <w:rsid w:val="005F45AA"/>
    <w:rsid w:val="005F59D3"/>
    <w:rsid w:val="005F5DE0"/>
    <w:rsid w:val="005F622F"/>
    <w:rsid w:val="005F67C1"/>
    <w:rsid w:val="005F72B5"/>
    <w:rsid w:val="005F75E2"/>
    <w:rsid w:val="006002BF"/>
    <w:rsid w:val="006003EF"/>
    <w:rsid w:val="00600CC7"/>
    <w:rsid w:val="0060167E"/>
    <w:rsid w:val="00601FDA"/>
    <w:rsid w:val="00603E70"/>
    <w:rsid w:val="00605550"/>
    <w:rsid w:val="00605E40"/>
    <w:rsid w:val="00607743"/>
    <w:rsid w:val="00607832"/>
    <w:rsid w:val="00610874"/>
    <w:rsid w:val="0061110F"/>
    <w:rsid w:val="006114C3"/>
    <w:rsid w:val="00611D6D"/>
    <w:rsid w:val="00614823"/>
    <w:rsid w:val="00614971"/>
    <w:rsid w:val="006153DD"/>
    <w:rsid w:val="006163F4"/>
    <w:rsid w:val="006168DE"/>
    <w:rsid w:val="00617882"/>
    <w:rsid w:val="006204BB"/>
    <w:rsid w:val="0062070F"/>
    <w:rsid w:val="00620CC8"/>
    <w:rsid w:val="006211EE"/>
    <w:rsid w:val="00623252"/>
    <w:rsid w:val="006232CF"/>
    <w:rsid w:val="0062390B"/>
    <w:rsid w:val="006241D7"/>
    <w:rsid w:val="00624353"/>
    <w:rsid w:val="006266D5"/>
    <w:rsid w:val="00627C8C"/>
    <w:rsid w:val="006309B2"/>
    <w:rsid w:val="00631678"/>
    <w:rsid w:val="00632327"/>
    <w:rsid w:val="006335B3"/>
    <w:rsid w:val="006335E9"/>
    <w:rsid w:val="006346A0"/>
    <w:rsid w:val="00635965"/>
    <w:rsid w:val="00635C7B"/>
    <w:rsid w:val="00635FBF"/>
    <w:rsid w:val="0063638A"/>
    <w:rsid w:val="006367C0"/>
    <w:rsid w:val="0063689A"/>
    <w:rsid w:val="00636EF1"/>
    <w:rsid w:val="00637734"/>
    <w:rsid w:val="0064051B"/>
    <w:rsid w:val="00640D54"/>
    <w:rsid w:val="00641075"/>
    <w:rsid w:val="00641795"/>
    <w:rsid w:val="006424E5"/>
    <w:rsid w:val="00642C80"/>
    <w:rsid w:val="00643E0B"/>
    <w:rsid w:val="00644E5F"/>
    <w:rsid w:val="006451B8"/>
    <w:rsid w:val="006451F9"/>
    <w:rsid w:val="006463A4"/>
    <w:rsid w:val="00647C6A"/>
    <w:rsid w:val="00647D0C"/>
    <w:rsid w:val="006509EC"/>
    <w:rsid w:val="006512AC"/>
    <w:rsid w:val="0065158F"/>
    <w:rsid w:val="00651F0D"/>
    <w:rsid w:val="00655921"/>
    <w:rsid w:val="00656163"/>
    <w:rsid w:val="0065639A"/>
    <w:rsid w:val="00656563"/>
    <w:rsid w:val="00657A46"/>
    <w:rsid w:val="00657D5B"/>
    <w:rsid w:val="006603E5"/>
    <w:rsid w:val="00661059"/>
    <w:rsid w:val="006618CB"/>
    <w:rsid w:val="00661916"/>
    <w:rsid w:val="00662403"/>
    <w:rsid w:val="00663FAE"/>
    <w:rsid w:val="0066415E"/>
    <w:rsid w:val="00664285"/>
    <w:rsid w:val="00665528"/>
    <w:rsid w:val="006656A5"/>
    <w:rsid w:val="00665B59"/>
    <w:rsid w:val="006663A2"/>
    <w:rsid w:val="00666ADF"/>
    <w:rsid w:val="0066710A"/>
    <w:rsid w:val="006703DC"/>
    <w:rsid w:val="00670B99"/>
    <w:rsid w:val="00671136"/>
    <w:rsid w:val="0067203C"/>
    <w:rsid w:val="0067308E"/>
    <w:rsid w:val="006732A8"/>
    <w:rsid w:val="006738AB"/>
    <w:rsid w:val="00675C77"/>
    <w:rsid w:val="00676207"/>
    <w:rsid w:val="00676A9B"/>
    <w:rsid w:val="00676E08"/>
    <w:rsid w:val="00677E20"/>
    <w:rsid w:val="00677E87"/>
    <w:rsid w:val="00680682"/>
    <w:rsid w:val="00681266"/>
    <w:rsid w:val="006820A3"/>
    <w:rsid w:val="0068281D"/>
    <w:rsid w:val="0068289B"/>
    <w:rsid w:val="0068337C"/>
    <w:rsid w:val="00683A8B"/>
    <w:rsid w:val="00684BEF"/>
    <w:rsid w:val="00685ADB"/>
    <w:rsid w:val="006871FE"/>
    <w:rsid w:val="006876BB"/>
    <w:rsid w:val="00690746"/>
    <w:rsid w:val="006913F8"/>
    <w:rsid w:val="006916B5"/>
    <w:rsid w:val="0069194C"/>
    <w:rsid w:val="006922C8"/>
    <w:rsid w:val="006931D7"/>
    <w:rsid w:val="00694D40"/>
    <w:rsid w:val="0069536D"/>
    <w:rsid w:val="00696163"/>
    <w:rsid w:val="00696658"/>
    <w:rsid w:val="0069697E"/>
    <w:rsid w:val="006971BE"/>
    <w:rsid w:val="006A0F6F"/>
    <w:rsid w:val="006A26B8"/>
    <w:rsid w:val="006A2892"/>
    <w:rsid w:val="006A28D2"/>
    <w:rsid w:val="006A4819"/>
    <w:rsid w:val="006A48CF"/>
    <w:rsid w:val="006A4A22"/>
    <w:rsid w:val="006A73CD"/>
    <w:rsid w:val="006B256E"/>
    <w:rsid w:val="006B4B50"/>
    <w:rsid w:val="006B4B97"/>
    <w:rsid w:val="006B56F7"/>
    <w:rsid w:val="006B69D2"/>
    <w:rsid w:val="006C0260"/>
    <w:rsid w:val="006C03C8"/>
    <w:rsid w:val="006C043D"/>
    <w:rsid w:val="006C0480"/>
    <w:rsid w:val="006C0A35"/>
    <w:rsid w:val="006C12E5"/>
    <w:rsid w:val="006C1F29"/>
    <w:rsid w:val="006C2057"/>
    <w:rsid w:val="006C2518"/>
    <w:rsid w:val="006C336F"/>
    <w:rsid w:val="006C45F3"/>
    <w:rsid w:val="006C545E"/>
    <w:rsid w:val="006C5AA1"/>
    <w:rsid w:val="006D0E3F"/>
    <w:rsid w:val="006D2154"/>
    <w:rsid w:val="006D2B4B"/>
    <w:rsid w:val="006D34AA"/>
    <w:rsid w:val="006D38AB"/>
    <w:rsid w:val="006D5099"/>
    <w:rsid w:val="006D509B"/>
    <w:rsid w:val="006D5194"/>
    <w:rsid w:val="006D5BD5"/>
    <w:rsid w:val="006D5DD3"/>
    <w:rsid w:val="006D68B2"/>
    <w:rsid w:val="006D6BFC"/>
    <w:rsid w:val="006E0A71"/>
    <w:rsid w:val="006E1EA9"/>
    <w:rsid w:val="006E35EF"/>
    <w:rsid w:val="006E5695"/>
    <w:rsid w:val="006E5801"/>
    <w:rsid w:val="006E6A98"/>
    <w:rsid w:val="006E6C59"/>
    <w:rsid w:val="006E7BB3"/>
    <w:rsid w:val="006F01F8"/>
    <w:rsid w:val="006F154B"/>
    <w:rsid w:val="006F2256"/>
    <w:rsid w:val="006F2461"/>
    <w:rsid w:val="006F36E5"/>
    <w:rsid w:val="006F620D"/>
    <w:rsid w:val="006F6D61"/>
    <w:rsid w:val="007009A2"/>
    <w:rsid w:val="00701368"/>
    <w:rsid w:val="007022A8"/>
    <w:rsid w:val="00702625"/>
    <w:rsid w:val="00702A3E"/>
    <w:rsid w:val="00703688"/>
    <w:rsid w:val="00704FDC"/>
    <w:rsid w:val="0070535B"/>
    <w:rsid w:val="00705A21"/>
    <w:rsid w:val="00705EA2"/>
    <w:rsid w:val="0070685C"/>
    <w:rsid w:val="00707A50"/>
    <w:rsid w:val="007124C1"/>
    <w:rsid w:val="00712D99"/>
    <w:rsid w:val="00715B68"/>
    <w:rsid w:val="00716233"/>
    <w:rsid w:val="00717590"/>
    <w:rsid w:val="007213AA"/>
    <w:rsid w:val="00722A22"/>
    <w:rsid w:val="00726FDF"/>
    <w:rsid w:val="00727EEC"/>
    <w:rsid w:val="007308F1"/>
    <w:rsid w:val="00730D0F"/>
    <w:rsid w:val="00733FB4"/>
    <w:rsid w:val="007342C5"/>
    <w:rsid w:val="00734B7D"/>
    <w:rsid w:val="00735364"/>
    <w:rsid w:val="007416B3"/>
    <w:rsid w:val="0074194A"/>
    <w:rsid w:val="00741B3B"/>
    <w:rsid w:val="00741B56"/>
    <w:rsid w:val="00744908"/>
    <w:rsid w:val="007452DC"/>
    <w:rsid w:val="00745C6E"/>
    <w:rsid w:val="007471B3"/>
    <w:rsid w:val="007474CD"/>
    <w:rsid w:val="00747644"/>
    <w:rsid w:val="00750DD1"/>
    <w:rsid w:val="00750FF9"/>
    <w:rsid w:val="0075111F"/>
    <w:rsid w:val="00751F74"/>
    <w:rsid w:val="007527B8"/>
    <w:rsid w:val="00753BB5"/>
    <w:rsid w:val="0075672B"/>
    <w:rsid w:val="00756B50"/>
    <w:rsid w:val="00757153"/>
    <w:rsid w:val="007575B2"/>
    <w:rsid w:val="0075774F"/>
    <w:rsid w:val="00757FE1"/>
    <w:rsid w:val="00761B07"/>
    <w:rsid w:val="007625E2"/>
    <w:rsid w:val="00762899"/>
    <w:rsid w:val="00762F37"/>
    <w:rsid w:val="00763ABA"/>
    <w:rsid w:val="00763D84"/>
    <w:rsid w:val="0076448E"/>
    <w:rsid w:val="007644AE"/>
    <w:rsid w:val="00764B94"/>
    <w:rsid w:val="00765B5F"/>
    <w:rsid w:val="00766B85"/>
    <w:rsid w:val="00767369"/>
    <w:rsid w:val="00767B31"/>
    <w:rsid w:val="0077083D"/>
    <w:rsid w:val="00771527"/>
    <w:rsid w:val="00773769"/>
    <w:rsid w:val="00776327"/>
    <w:rsid w:val="007777FD"/>
    <w:rsid w:val="00777DD7"/>
    <w:rsid w:val="00777F9B"/>
    <w:rsid w:val="00780B46"/>
    <w:rsid w:val="007813C7"/>
    <w:rsid w:val="00781A3F"/>
    <w:rsid w:val="007821A2"/>
    <w:rsid w:val="0078226A"/>
    <w:rsid w:val="0078462C"/>
    <w:rsid w:val="00784A5E"/>
    <w:rsid w:val="00792197"/>
    <w:rsid w:val="0079262B"/>
    <w:rsid w:val="00792883"/>
    <w:rsid w:val="00792E82"/>
    <w:rsid w:val="00793068"/>
    <w:rsid w:val="0079525A"/>
    <w:rsid w:val="007960EE"/>
    <w:rsid w:val="0079652C"/>
    <w:rsid w:val="00796F0B"/>
    <w:rsid w:val="00797D17"/>
    <w:rsid w:val="007A0A30"/>
    <w:rsid w:val="007A0BA6"/>
    <w:rsid w:val="007A0C37"/>
    <w:rsid w:val="007A1F71"/>
    <w:rsid w:val="007A25E9"/>
    <w:rsid w:val="007A329E"/>
    <w:rsid w:val="007A4153"/>
    <w:rsid w:val="007A565A"/>
    <w:rsid w:val="007B054E"/>
    <w:rsid w:val="007B128B"/>
    <w:rsid w:val="007B1550"/>
    <w:rsid w:val="007B26F9"/>
    <w:rsid w:val="007B3096"/>
    <w:rsid w:val="007B36DF"/>
    <w:rsid w:val="007B3713"/>
    <w:rsid w:val="007B3BCE"/>
    <w:rsid w:val="007B43FF"/>
    <w:rsid w:val="007B4994"/>
    <w:rsid w:val="007B53C7"/>
    <w:rsid w:val="007B5417"/>
    <w:rsid w:val="007B644C"/>
    <w:rsid w:val="007B7741"/>
    <w:rsid w:val="007B7D16"/>
    <w:rsid w:val="007C0E7D"/>
    <w:rsid w:val="007C106E"/>
    <w:rsid w:val="007C1FF3"/>
    <w:rsid w:val="007C290F"/>
    <w:rsid w:val="007C35AD"/>
    <w:rsid w:val="007C3EFA"/>
    <w:rsid w:val="007C410E"/>
    <w:rsid w:val="007C5514"/>
    <w:rsid w:val="007C5F79"/>
    <w:rsid w:val="007C64C1"/>
    <w:rsid w:val="007C799B"/>
    <w:rsid w:val="007D15E6"/>
    <w:rsid w:val="007D267B"/>
    <w:rsid w:val="007D323C"/>
    <w:rsid w:val="007D35CF"/>
    <w:rsid w:val="007D3C67"/>
    <w:rsid w:val="007D72D0"/>
    <w:rsid w:val="007E1BEB"/>
    <w:rsid w:val="007E1EB9"/>
    <w:rsid w:val="007E2533"/>
    <w:rsid w:val="007E3D92"/>
    <w:rsid w:val="007E49A9"/>
    <w:rsid w:val="007E49BA"/>
    <w:rsid w:val="007E4BA5"/>
    <w:rsid w:val="007E5271"/>
    <w:rsid w:val="007E57AB"/>
    <w:rsid w:val="007E6128"/>
    <w:rsid w:val="007F00C7"/>
    <w:rsid w:val="007F0542"/>
    <w:rsid w:val="007F0A4D"/>
    <w:rsid w:val="007F122F"/>
    <w:rsid w:val="007F2C73"/>
    <w:rsid w:val="007F36DB"/>
    <w:rsid w:val="007F3AB0"/>
    <w:rsid w:val="007F5494"/>
    <w:rsid w:val="007F5C3E"/>
    <w:rsid w:val="007F5D19"/>
    <w:rsid w:val="007F6CDE"/>
    <w:rsid w:val="007F6E60"/>
    <w:rsid w:val="007F7E2E"/>
    <w:rsid w:val="007F7F2F"/>
    <w:rsid w:val="00800CF8"/>
    <w:rsid w:val="00800FDE"/>
    <w:rsid w:val="00802298"/>
    <w:rsid w:val="00804014"/>
    <w:rsid w:val="0080551D"/>
    <w:rsid w:val="00805E9F"/>
    <w:rsid w:val="00806117"/>
    <w:rsid w:val="00806878"/>
    <w:rsid w:val="008078B8"/>
    <w:rsid w:val="00807A71"/>
    <w:rsid w:val="00810B00"/>
    <w:rsid w:val="0081238C"/>
    <w:rsid w:val="0081432D"/>
    <w:rsid w:val="00814971"/>
    <w:rsid w:val="00815051"/>
    <w:rsid w:val="0081508F"/>
    <w:rsid w:val="008154D3"/>
    <w:rsid w:val="00816378"/>
    <w:rsid w:val="008163FC"/>
    <w:rsid w:val="008169C1"/>
    <w:rsid w:val="00816D2E"/>
    <w:rsid w:val="00817B7C"/>
    <w:rsid w:val="008205B9"/>
    <w:rsid w:val="0082217C"/>
    <w:rsid w:val="00823099"/>
    <w:rsid w:val="00823711"/>
    <w:rsid w:val="0082386D"/>
    <w:rsid w:val="00824C7F"/>
    <w:rsid w:val="00824F1E"/>
    <w:rsid w:val="00825538"/>
    <w:rsid w:val="00826E7A"/>
    <w:rsid w:val="0083011B"/>
    <w:rsid w:val="00830B8A"/>
    <w:rsid w:val="00830CB9"/>
    <w:rsid w:val="00830DCE"/>
    <w:rsid w:val="00831868"/>
    <w:rsid w:val="00834567"/>
    <w:rsid w:val="00834A6C"/>
    <w:rsid w:val="00834FD7"/>
    <w:rsid w:val="00835481"/>
    <w:rsid w:val="00836995"/>
    <w:rsid w:val="00836AED"/>
    <w:rsid w:val="008370EE"/>
    <w:rsid w:val="0083742B"/>
    <w:rsid w:val="00837F44"/>
    <w:rsid w:val="00840B17"/>
    <w:rsid w:val="0084135C"/>
    <w:rsid w:val="00842413"/>
    <w:rsid w:val="008429C8"/>
    <w:rsid w:val="00843929"/>
    <w:rsid w:val="00844B08"/>
    <w:rsid w:val="00844DCE"/>
    <w:rsid w:val="008450ED"/>
    <w:rsid w:val="0085065D"/>
    <w:rsid w:val="008509D6"/>
    <w:rsid w:val="0085117C"/>
    <w:rsid w:val="00851B1A"/>
    <w:rsid w:val="00852293"/>
    <w:rsid w:val="00852BC9"/>
    <w:rsid w:val="00853404"/>
    <w:rsid w:val="00853901"/>
    <w:rsid w:val="00855688"/>
    <w:rsid w:val="0085631D"/>
    <w:rsid w:val="00856B10"/>
    <w:rsid w:val="00857417"/>
    <w:rsid w:val="00857D26"/>
    <w:rsid w:val="00857EB5"/>
    <w:rsid w:val="008610D5"/>
    <w:rsid w:val="00862385"/>
    <w:rsid w:val="0086247C"/>
    <w:rsid w:val="0086482D"/>
    <w:rsid w:val="008648EF"/>
    <w:rsid w:val="00867602"/>
    <w:rsid w:val="008703DC"/>
    <w:rsid w:val="00870481"/>
    <w:rsid w:val="008705AA"/>
    <w:rsid w:val="0087101F"/>
    <w:rsid w:val="0087114A"/>
    <w:rsid w:val="008711AD"/>
    <w:rsid w:val="00871861"/>
    <w:rsid w:val="00871914"/>
    <w:rsid w:val="00871A81"/>
    <w:rsid w:val="00871AEE"/>
    <w:rsid w:val="008730E6"/>
    <w:rsid w:val="00873C72"/>
    <w:rsid w:val="00874561"/>
    <w:rsid w:val="008766A2"/>
    <w:rsid w:val="008776E1"/>
    <w:rsid w:val="0088085B"/>
    <w:rsid w:val="00881778"/>
    <w:rsid w:val="00881A7C"/>
    <w:rsid w:val="00882A36"/>
    <w:rsid w:val="00883761"/>
    <w:rsid w:val="008837D8"/>
    <w:rsid w:val="008855C8"/>
    <w:rsid w:val="00885803"/>
    <w:rsid w:val="0088586A"/>
    <w:rsid w:val="00886B38"/>
    <w:rsid w:val="008877BF"/>
    <w:rsid w:val="00887DC7"/>
    <w:rsid w:val="0089269D"/>
    <w:rsid w:val="0089455D"/>
    <w:rsid w:val="0089468B"/>
    <w:rsid w:val="00894920"/>
    <w:rsid w:val="0089493F"/>
    <w:rsid w:val="008949E0"/>
    <w:rsid w:val="00894DEC"/>
    <w:rsid w:val="008961CF"/>
    <w:rsid w:val="00897D0E"/>
    <w:rsid w:val="00897D67"/>
    <w:rsid w:val="00897EDF"/>
    <w:rsid w:val="008A0B6A"/>
    <w:rsid w:val="008A1843"/>
    <w:rsid w:val="008A2C4C"/>
    <w:rsid w:val="008A359A"/>
    <w:rsid w:val="008A3BBB"/>
    <w:rsid w:val="008A44DC"/>
    <w:rsid w:val="008A4F2D"/>
    <w:rsid w:val="008A5686"/>
    <w:rsid w:val="008A5B5D"/>
    <w:rsid w:val="008A627F"/>
    <w:rsid w:val="008A640B"/>
    <w:rsid w:val="008A663C"/>
    <w:rsid w:val="008A6A36"/>
    <w:rsid w:val="008A6AEF"/>
    <w:rsid w:val="008A776A"/>
    <w:rsid w:val="008B0815"/>
    <w:rsid w:val="008B11F4"/>
    <w:rsid w:val="008B18C6"/>
    <w:rsid w:val="008B1990"/>
    <w:rsid w:val="008B2AC6"/>
    <w:rsid w:val="008B4A42"/>
    <w:rsid w:val="008B4B2C"/>
    <w:rsid w:val="008B50C4"/>
    <w:rsid w:val="008B54AD"/>
    <w:rsid w:val="008B5ECB"/>
    <w:rsid w:val="008B6651"/>
    <w:rsid w:val="008B6EB7"/>
    <w:rsid w:val="008C038B"/>
    <w:rsid w:val="008C04E8"/>
    <w:rsid w:val="008C0890"/>
    <w:rsid w:val="008C279D"/>
    <w:rsid w:val="008C3AC7"/>
    <w:rsid w:val="008C4820"/>
    <w:rsid w:val="008C5C1E"/>
    <w:rsid w:val="008D1C42"/>
    <w:rsid w:val="008D2413"/>
    <w:rsid w:val="008D2510"/>
    <w:rsid w:val="008D2D99"/>
    <w:rsid w:val="008D4060"/>
    <w:rsid w:val="008D496D"/>
    <w:rsid w:val="008D569C"/>
    <w:rsid w:val="008D5C7B"/>
    <w:rsid w:val="008D5E38"/>
    <w:rsid w:val="008E01DC"/>
    <w:rsid w:val="008E0D47"/>
    <w:rsid w:val="008E1394"/>
    <w:rsid w:val="008E1B69"/>
    <w:rsid w:val="008E3E03"/>
    <w:rsid w:val="008E45B8"/>
    <w:rsid w:val="008E48D8"/>
    <w:rsid w:val="008E5C5F"/>
    <w:rsid w:val="008E5C61"/>
    <w:rsid w:val="008E6E05"/>
    <w:rsid w:val="008E7CE0"/>
    <w:rsid w:val="008F1563"/>
    <w:rsid w:val="008F25AC"/>
    <w:rsid w:val="008F2695"/>
    <w:rsid w:val="008F2D63"/>
    <w:rsid w:val="008F3641"/>
    <w:rsid w:val="008F406D"/>
    <w:rsid w:val="008F411A"/>
    <w:rsid w:val="008F4B81"/>
    <w:rsid w:val="008F4D51"/>
    <w:rsid w:val="008F5205"/>
    <w:rsid w:val="008F5EE8"/>
    <w:rsid w:val="008F7CAE"/>
    <w:rsid w:val="0090140D"/>
    <w:rsid w:val="0090149F"/>
    <w:rsid w:val="009035AB"/>
    <w:rsid w:val="00905BA5"/>
    <w:rsid w:val="009062B7"/>
    <w:rsid w:val="00906425"/>
    <w:rsid w:val="00906976"/>
    <w:rsid w:val="00907820"/>
    <w:rsid w:val="00907B2C"/>
    <w:rsid w:val="009112AB"/>
    <w:rsid w:val="009119FD"/>
    <w:rsid w:val="00912D35"/>
    <w:rsid w:val="009134C0"/>
    <w:rsid w:val="00913DA0"/>
    <w:rsid w:val="00916700"/>
    <w:rsid w:val="009172EE"/>
    <w:rsid w:val="00917AE6"/>
    <w:rsid w:val="00917E80"/>
    <w:rsid w:val="0092101E"/>
    <w:rsid w:val="00922B9D"/>
    <w:rsid w:val="00923361"/>
    <w:rsid w:val="00923E85"/>
    <w:rsid w:val="009242A1"/>
    <w:rsid w:val="00924890"/>
    <w:rsid w:val="00925D17"/>
    <w:rsid w:val="009312EB"/>
    <w:rsid w:val="00931883"/>
    <w:rsid w:val="00931D3D"/>
    <w:rsid w:val="00932EC3"/>
    <w:rsid w:val="00933D1C"/>
    <w:rsid w:val="00934B26"/>
    <w:rsid w:val="00934BD0"/>
    <w:rsid w:val="00934FB8"/>
    <w:rsid w:val="00935864"/>
    <w:rsid w:val="00936000"/>
    <w:rsid w:val="009361AC"/>
    <w:rsid w:val="00937B6B"/>
    <w:rsid w:val="00941316"/>
    <w:rsid w:val="00941E19"/>
    <w:rsid w:val="00942F25"/>
    <w:rsid w:val="0094346F"/>
    <w:rsid w:val="0094376C"/>
    <w:rsid w:val="009445B1"/>
    <w:rsid w:val="0094491F"/>
    <w:rsid w:val="00945391"/>
    <w:rsid w:val="00946987"/>
    <w:rsid w:val="009470C2"/>
    <w:rsid w:val="00950817"/>
    <w:rsid w:val="00950935"/>
    <w:rsid w:val="009510C5"/>
    <w:rsid w:val="00951845"/>
    <w:rsid w:val="00952AD0"/>
    <w:rsid w:val="0095382E"/>
    <w:rsid w:val="00953D64"/>
    <w:rsid w:val="00953F74"/>
    <w:rsid w:val="00953FCC"/>
    <w:rsid w:val="009553A9"/>
    <w:rsid w:val="0095623F"/>
    <w:rsid w:val="00956323"/>
    <w:rsid w:val="00956F97"/>
    <w:rsid w:val="009577D3"/>
    <w:rsid w:val="0095788A"/>
    <w:rsid w:val="0096309D"/>
    <w:rsid w:val="009630DD"/>
    <w:rsid w:val="00963EA5"/>
    <w:rsid w:val="0096514E"/>
    <w:rsid w:val="00966232"/>
    <w:rsid w:val="00966622"/>
    <w:rsid w:val="00966B7F"/>
    <w:rsid w:val="00967008"/>
    <w:rsid w:val="00967A10"/>
    <w:rsid w:val="00967E1B"/>
    <w:rsid w:val="00970DC6"/>
    <w:rsid w:val="00971901"/>
    <w:rsid w:val="00972630"/>
    <w:rsid w:val="00974331"/>
    <w:rsid w:val="00974644"/>
    <w:rsid w:val="00974F79"/>
    <w:rsid w:val="00975361"/>
    <w:rsid w:val="0097588D"/>
    <w:rsid w:val="0097616A"/>
    <w:rsid w:val="0097634D"/>
    <w:rsid w:val="009766CB"/>
    <w:rsid w:val="00976D7E"/>
    <w:rsid w:val="00977933"/>
    <w:rsid w:val="00977E87"/>
    <w:rsid w:val="00980553"/>
    <w:rsid w:val="00981B8D"/>
    <w:rsid w:val="00984D31"/>
    <w:rsid w:val="00985F8E"/>
    <w:rsid w:val="00986162"/>
    <w:rsid w:val="0099008D"/>
    <w:rsid w:val="00990E22"/>
    <w:rsid w:val="00991863"/>
    <w:rsid w:val="00993D55"/>
    <w:rsid w:val="00994DCF"/>
    <w:rsid w:val="00994F56"/>
    <w:rsid w:val="009959C9"/>
    <w:rsid w:val="00995F95"/>
    <w:rsid w:val="00996122"/>
    <w:rsid w:val="00996548"/>
    <w:rsid w:val="00996A8F"/>
    <w:rsid w:val="00996CA2"/>
    <w:rsid w:val="009972DF"/>
    <w:rsid w:val="00997632"/>
    <w:rsid w:val="00997872"/>
    <w:rsid w:val="00997A8B"/>
    <w:rsid w:val="009A0D9F"/>
    <w:rsid w:val="009A2E42"/>
    <w:rsid w:val="009A421E"/>
    <w:rsid w:val="009A43E5"/>
    <w:rsid w:val="009A47A0"/>
    <w:rsid w:val="009A6267"/>
    <w:rsid w:val="009B1231"/>
    <w:rsid w:val="009B14F0"/>
    <w:rsid w:val="009B22B4"/>
    <w:rsid w:val="009B32DF"/>
    <w:rsid w:val="009B3FCF"/>
    <w:rsid w:val="009B4295"/>
    <w:rsid w:val="009B45C4"/>
    <w:rsid w:val="009B466B"/>
    <w:rsid w:val="009B4FB8"/>
    <w:rsid w:val="009B5D48"/>
    <w:rsid w:val="009B6ADB"/>
    <w:rsid w:val="009B7865"/>
    <w:rsid w:val="009B7E05"/>
    <w:rsid w:val="009C148F"/>
    <w:rsid w:val="009C1C0D"/>
    <w:rsid w:val="009C1F69"/>
    <w:rsid w:val="009C243B"/>
    <w:rsid w:val="009C26F8"/>
    <w:rsid w:val="009C2836"/>
    <w:rsid w:val="009C3719"/>
    <w:rsid w:val="009C41D1"/>
    <w:rsid w:val="009C5723"/>
    <w:rsid w:val="009C60BA"/>
    <w:rsid w:val="009C60DC"/>
    <w:rsid w:val="009C6E2F"/>
    <w:rsid w:val="009C749F"/>
    <w:rsid w:val="009D0643"/>
    <w:rsid w:val="009D0C02"/>
    <w:rsid w:val="009D151D"/>
    <w:rsid w:val="009D2958"/>
    <w:rsid w:val="009D3810"/>
    <w:rsid w:val="009D3C34"/>
    <w:rsid w:val="009D42B0"/>
    <w:rsid w:val="009D5598"/>
    <w:rsid w:val="009D5610"/>
    <w:rsid w:val="009D642E"/>
    <w:rsid w:val="009D6B3A"/>
    <w:rsid w:val="009E0D6C"/>
    <w:rsid w:val="009E10B6"/>
    <w:rsid w:val="009E13D6"/>
    <w:rsid w:val="009E15E0"/>
    <w:rsid w:val="009E1766"/>
    <w:rsid w:val="009E19F6"/>
    <w:rsid w:val="009E1E1C"/>
    <w:rsid w:val="009E1E67"/>
    <w:rsid w:val="009E23AD"/>
    <w:rsid w:val="009E252E"/>
    <w:rsid w:val="009E3BF0"/>
    <w:rsid w:val="009E4433"/>
    <w:rsid w:val="009E4D08"/>
    <w:rsid w:val="009E5287"/>
    <w:rsid w:val="009E6112"/>
    <w:rsid w:val="009E7065"/>
    <w:rsid w:val="009E755B"/>
    <w:rsid w:val="009E75F9"/>
    <w:rsid w:val="009E7DAD"/>
    <w:rsid w:val="009F0CCC"/>
    <w:rsid w:val="009F1481"/>
    <w:rsid w:val="009F18DD"/>
    <w:rsid w:val="009F1973"/>
    <w:rsid w:val="009F1F57"/>
    <w:rsid w:val="009F2AFB"/>
    <w:rsid w:val="009F5074"/>
    <w:rsid w:val="009F61B6"/>
    <w:rsid w:val="009F6B1F"/>
    <w:rsid w:val="009F6BE6"/>
    <w:rsid w:val="009F740E"/>
    <w:rsid w:val="009F7570"/>
    <w:rsid w:val="009F7A20"/>
    <w:rsid w:val="00A00B3A"/>
    <w:rsid w:val="00A00BC0"/>
    <w:rsid w:val="00A03BDC"/>
    <w:rsid w:val="00A04A89"/>
    <w:rsid w:val="00A05A20"/>
    <w:rsid w:val="00A05AA4"/>
    <w:rsid w:val="00A06FF2"/>
    <w:rsid w:val="00A06FFE"/>
    <w:rsid w:val="00A07AE4"/>
    <w:rsid w:val="00A07ED8"/>
    <w:rsid w:val="00A1002C"/>
    <w:rsid w:val="00A101D5"/>
    <w:rsid w:val="00A1037B"/>
    <w:rsid w:val="00A10E6D"/>
    <w:rsid w:val="00A1193D"/>
    <w:rsid w:val="00A1305A"/>
    <w:rsid w:val="00A14DD6"/>
    <w:rsid w:val="00A15448"/>
    <w:rsid w:val="00A15EC5"/>
    <w:rsid w:val="00A160E3"/>
    <w:rsid w:val="00A1697C"/>
    <w:rsid w:val="00A16FB4"/>
    <w:rsid w:val="00A17462"/>
    <w:rsid w:val="00A1756B"/>
    <w:rsid w:val="00A20438"/>
    <w:rsid w:val="00A222E7"/>
    <w:rsid w:val="00A22EC3"/>
    <w:rsid w:val="00A22F4B"/>
    <w:rsid w:val="00A2403F"/>
    <w:rsid w:val="00A24B18"/>
    <w:rsid w:val="00A24BB1"/>
    <w:rsid w:val="00A25460"/>
    <w:rsid w:val="00A25564"/>
    <w:rsid w:val="00A26F6C"/>
    <w:rsid w:val="00A27648"/>
    <w:rsid w:val="00A30930"/>
    <w:rsid w:val="00A30942"/>
    <w:rsid w:val="00A30CCB"/>
    <w:rsid w:val="00A31240"/>
    <w:rsid w:val="00A327BA"/>
    <w:rsid w:val="00A344E2"/>
    <w:rsid w:val="00A35887"/>
    <w:rsid w:val="00A362C1"/>
    <w:rsid w:val="00A37520"/>
    <w:rsid w:val="00A40104"/>
    <w:rsid w:val="00A41837"/>
    <w:rsid w:val="00A4438C"/>
    <w:rsid w:val="00A44413"/>
    <w:rsid w:val="00A4491A"/>
    <w:rsid w:val="00A45F35"/>
    <w:rsid w:val="00A46FD2"/>
    <w:rsid w:val="00A475D4"/>
    <w:rsid w:val="00A47CED"/>
    <w:rsid w:val="00A500AA"/>
    <w:rsid w:val="00A50ED0"/>
    <w:rsid w:val="00A53935"/>
    <w:rsid w:val="00A542F1"/>
    <w:rsid w:val="00A54E4C"/>
    <w:rsid w:val="00A5602C"/>
    <w:rsid w:val="00A567DB"/>
    <w:rsid w:val="00A56951"/>
    <w:rsid w:val="00A57C1E"/>
    <w:rsid w:val="00A6063D"/>
    <w:rsid w:val="00A60B2D"/>
    <w:rsid w:val="00A6192A"/>
    <w:rsid w:val="00A63676"/>
    <w:rsid w:val="00A64672"/>
    <w:rsid w:val="00A64A8B"/>
    <w:rsid w:val="00A65F11"/>
    <w:rsid w:val="00A6659C"/>
    <w:rsid w:val="00A669AF"/>
    <w:rsid w:val="00A66FF1"/>
    <w:rsid w:val="00A67052"/>
    <w:rsid w:val="00A67D5C"/>
    <w:rsid w:val="00A7176F"/>
    <w:rsid w:val="00A72786"/>
    <w:rsid w:val="00A72D59"/>
    <w:rsid w:val="00A76575"/>
    <w:rsid w:val="00A77309"/>
    <w:rsid w:val="00A77796"/>
    <w:rsid w:val="00A804F6"/>
    <w:rsid w:val="00A80F47"/>
    <w:rsid w:val="00A817B3"/>
    <w:rsid w:val="00A819E1"/>
    <w:rsid w:val="00A81A08"/>
    <w:rsid w:val="00A81C5F"/>
    <w:rsid w:val="00A82CE9"/>
    <w:rsid w:val="00A8344B"/>
    <w:rsid w:val="00A83CBE"/>
    <w:rsid w:val="00A846E0"/>
    <w:rsid w:val="00A84E19"/>
    <w:rsid w:val="00A85AE6"/>
    <w:rsid w:val="00A8633A"/>
    <w:rsid w:val="00A86E98"/>
    <w:rsid w:val="00A8711E"/>
    <w:rsid w:val="00A906E6"/>
    <w:rsid w:val="00A909CE"/>
    <w:rsid w:val="00A90CDF"/>
    <w:rsid w:val="00A92142"/>
    <w:rsid w:val="00A92765"/>
    <w:rsid w:val="00A92812"/>
    <w:rsid w:val="00A9502F"/>
    <w:rsid w:val="00A95ED3"/>
    <w:rsid w:val="00A95F91"/>
    <w:rsid w:val="00A96F0B"/>
    <w:rsid w:val="00A9746F"/>
    <w:rsid w:val="00A9796B"/>
    <w:rsid w:val="00A97CCA"/>
    <w:rsid w:val="00AA178D"/>
    <w:rsid w:val="00AA1B4D"/>
    <w:rsid w:val="00AA2357"/>
    <w:rsid w:val="00AA26E0"/>
    <w:rsid w:val="00AA2891"/>
    <w:rsid w:val="00AA31C2"/>
    <w:rsid w:val="00AA4CDB"/>
    <w:rsid w:val="00AA57A8"/>
    <w:rsid w:val="00AA5B2F"/>
    <w:rsid w:val="00AA6DF7"/>
    <w:rsid w:val="00AB0227"/>
    <w:rsid w:val="00AB0BA1"/>
    <w:rsid w:val="00AB1184"/>
    <w:rsid w:val="00AB1266"/>
    <w:rsid w:val="00AB4B49"/>
    <w:rsid w:val="00AB6192"/>
    <w:rsid w:val="00AB6454"/>
    <w:rsid w:val="00AB722B"/>
    <w:rsid w:val="00AB75BC"/>
    <w:rsid w:val="00AB7AE0"/>
    <w:rsid w:val="00AC075E"/>
    <w:rsid w:val="00AC369D"/>
    <w:rsid w:val="00AC4291"/>
    <w:rsid w:val="00AC4419"/>
    <w:rsid w:val="00AC503E"/>
    <w:rsid w:val="00AC64E1"/>
    <w:rsid w:val="00AC6AAA"/>
    <w:rsid w:val="00AC72AE"/>
    <w:rsid w:val="00AC7698"/>
    <w:rsid w:val="00AC7C9B"/>
    <w:rsid w:val="00AC7E2A"/>
    <w:rsid w:val="00AD0198"/>
    <w:rsid w:val="00AD08AE"/>
    <w:rsid w:val="00AD1E56"/>
    <w:rsid w:val="00AD217E"/>
    <w:rsid w:val="00AD2C28"/>
    <w:rsid w:val="00AD2DEE"/>
    <w:rsid w:val="00AD2E5F"/>
    <w:rsid w:val="00AD3F86"/>
    <w:rsid w:val="00AD4051"/>
    <w:rsid w:val="00AD43DA"/>
    <w:rsid w:val="00AD4DDB"/>
    <w:rsid w:val="00AD6668"/>
    <w:rsid w:val="00AD684E"/>
    <w:rsid w:val="00AD79E2"/>
    <w:rsid w:val="00AD7C03"/>
    <w:rsid w:val="00AE0E86"/>
    <w:rsid w:val="00AE1D3A"/>
    <w:rsid w:val="00AE3D64"/>
    <w:rsid w:val="00AE4DAF"/>
    <w:rsid w:val="00AE58D9"/>
    <w:rsid w:val="00AE5D17"/>
    <w:rsid w:val="00AE771F"/>
    <w:rsid w:val="00AE77C7"/>
    <w:rsid w:val="00AF19DC"/>
    <w:rsid w:val="00AF2AB3"/>
    <w:rsid w:val="00AF2F2E"/>
    <w:rsid w:val="00AF3BEF"/>
    <w:rsid w:val="00AF3CD6"/>
    <w:rsid w:val="00AF44FE"/>
    <w:rsid w:val="00AF52F0"/>
    <w:rsid w:val="00AF5449"/>
    <w:rsid w:val="00AF6466"/>
    <w:rsid w:val="00AF78F9"/>
    <w:rsid w:val="00B00984"/>
    <w:rsid w:val="00B00D81"/>
    <w:rsid w:val="00B021D8"/>
    <w:rsid w:val="00B02C02"/>
    <w:rsid w:val="00B03820"/>
    <w:rsid w:val="00B03EE1"/>
    <w:rsid w:val="00B04515"/>
    <w:rsid w:val="00B05210"/>
    <w:rsid w:val="00B070FA"/>
    <w:rsid w:val="00B079CC"/>
    <w:rsid w:val="00B07F61"/>
    <w:rsid w:val="00B1005C"/>
    <w:rsid w:val="00B12280"/>
    <w:rsid w:val="00B1298F"/>
    <w:rsid w:val="00B12AAA"/>
    <w:rsid w:val="00B12F28"/>
    <w:rsid w:val="00B14729"/>
    <w:rsid w:val="00B153F3"/>
    <w:rsid w:val="00B154BB"/>
    <w:rsid w:val="00B16B09"/>
    <w:rsid w:val="00B16D53"/>
    <w:rsid w:val="00B16FF8"/>
    <w:rsid w:val="00B1763F"/>
    <w:rsid w:val="00B20176"/>
    <w:rsid w:val="00B20217"/>
    <w:rsid w:val="00B20E60"/>
    <w:rsid w:val="00B2263C"/>
    <w:rsid w:val="00B22ECF"/>
    <w:rsid w:val="00B24047"/>
    <w:rsid w:val="00B2507E"/>
    <w:rsid w:val="00B26273"/>
    <w:rsid w:val="00B265D0"/>
    <w:rsid w:val="00B26BA1"/>
    <w:rsid w:val="00B300A4"/>
    <w:rsid w:val="00B30A34"/>
    <w:rsid w:val="00B30C61"/>
    <w:rsid w:val="00B315C8"/>
    <w:rsid w:val="00B31B1C"/>
    <w:rsid w:val="00B3221E"/>
    <w:rsid w:val="00B332BD"/>
    <w:rsid w:val="00B34304"/>
    <w:rsid w:val="00B34542"/>
    <w:rsid w:val="00B35342"/>
    <w:rsid w:val="00B357C3"/>
    <w:rsid w:val="00B36665"/>
    <w:rsid w:val="00B366F9"/>
    <w:rsid w:val="00B36C9B"/>
    <w:rsid w:val="00B379C1"/>
    <w:rsid w:val="00B37F49"/>
    <w:rsid w:val="00B408DD"/>
    <w:rsid w:val="00B40FAA"/>
    <w:rsid w:val="00B425FC"/>
    <w:rsid w:val="00B42938"/>
    <w:rsid w:val="00B43B40"/>
    <w:rsid w:val="00B440EE"/>
    <w:rsid w:val="00B4494F"/>
    <w:rsid w:val="00B461EF"/>
    <w:rsid w:val="00B5077D"/>
    <w:rsid w:val="00B512D0"/>
    <w:rsid w:val="00B518E7"/>
    <w:rsid w:val="00B5242F"/>
    <w:rsid w:val="00B5270A"/>
    <w:rsid w:val="00B52A5B"/>
    <w:rsid w:val="00B5343A"/>
    <w:rsid w:val="00B5440E"/>
    <w:rsid w:val="00B54C69"/>
    <w:rsid w:val="00B556D0"/>
    <w:rsid w:val="00B55925"/>
    <w:rsid w:val="00B55DF4"/>
    <w:rsid w:val="00B575EA"/>
    <w:rsid w:val="00B611CC"/>
    <w:rsid w:val="00B61436"/>
    <w:rsid w:val="00B62832"/>
    <w:rsid w:val="00B6407C"/>
    <w:rsid w:val="00B64398"/>
    <w:rsid w:val="00B6450F"/>
    <w:rsid w:val="00B64667"/>
    <w:rsid w:val="00B64998"/>
    <w:rsid w:val="00B649CB"/>
    <w:rsid w:val="00B64B38"/>
    <w:rsid w:val="00B659D7"/>
    <w:rsid w:val="00B6697B"/>
    <w:rsid w:val="00B66E4D"/>
    <w:rsid w:val="00B675F0"/>
    <w:rsid w:val="00B67964"/>
    <w:rsid w:val="00B70AE7"/>
    <w:rsid w:val="00B70E1A"/>
    <w:rsid w:val="00B71F10"/>
    <w:rsid w:val="00B72156"/>
    <w:rsid w:val="00B72332"/>
    <w:rsid w:val="00B72A43"/>
    <w:rsid w:val="00B749CA"/>
    <w:rsid w:val="00B74A5C"/>
    <w:rsid w:val="00B75C0A"/>
    <w:rsid w:val="00B75D03"/>
    <w:rsid w:val="00B76DAF"/>
    <w:rsid w:val="00B80C4F"/>
    <w:rsid w:val="00B816FD"/>
    <w:rsid w:val="00B81743"/>
    <w:rsid w:val="00B8233C"/>
    <w:rsid w:val="00B82B2D"/>
    <w:rsid w:val="00B83736"/>
    <w:rsid w:val="00B8414C"/>
    <w:rsid w:val="00B84D03"/>
    <w:rsid w:val="00B84F4D"/>
    <w:rsid w:val="00B85039"/>
    <w:rsid w:val="00B85501"/>
    <w:rsid w:val="00B86C34"/>
    <w:rsid w:val="00B87ACA"/>
    <w:rsid w:val="00B900CB"/>
    <w:rsid w:val="00B904C1"/>
    <w:rsid w:val="00B90878"/>
    <w:rsid w:val="00B91701"/>
    <w:rsid w:val="00B9189F"/>
    <w:rsid w:val="00B91D9F"/>
    <w:rsid w:val="00B91DB8"/>
    <w:rsid w:val="00B9230A"/>
    <w:rsid w:val="00B928ED"/>
    <w:rsid w:val="00B94756"/>
    <w:rsid w:val="00B94D1C"/>
    <w:rsid w:val="00B94D43"/>
    <w:rsid w:val="00B9553F"/>
    <w:rsid w:val="00B956AA"/>
    <w:rsid w:val="00B9666B"/>
    <w:rsid w:val="00B97E36"/>
    <w:rsid w:val="00BA060A"/>
    <w:rsid w:val="00BA1CCF"/>
    <w:rsid w:val="00BA21B0"/>
    <w:rsid w:val="00BA2393"/>
    <w:rsid w:val="00BA30F3"/>
    <w:rsid w:val="00BA3BBA"/>
    <w:rsid w:val="00BA3E79"/>
    <w:rsid w:val="00BA42EF"/>
    <w:rsid w:val="00BA4D0E"/>
    <w:rsid w:val="00BA4D5E"/>
    <w:rsid w:val="00BA4E8D"/>
    <w:rsid w:val="00BA5B73"/>
    <w:rsid w:val="00BA7681"/>
    <w:rsid w:val="00BB019C"/>
    <w:rsid w:val="00BB1736"/>
    <w:rsid w:val="00BB211C"/>
    <w:rsid w:val="00BB3928"/>
    <w:rsid w:val="00BB401A"/>
    <w:rsid w:val="00BB54FC"/>
    <w:rsid w:val="00BB58EA"/>
    <w:rsid w:val="00BB6187"/>
    <w:rsid w:val="00BB6F68"/>
    <w:rsid w:val="00BB75D7"/>
    <w:rsid w:val="00BC0096"/>
    <w:rsid w:val="00BC00CD"/>
    <w:rsid w:val="00BC09B0"/>
    <w:rsid w:val="00BC09CD"/>
    <w:rsid w:val="00BC1BD3"/>
    <w:rsid w:val="00BC274C"/>
    <w:rsid w:val="00BC2BE2"/>
    <w:rsid w:val="00BC3017"/>
    <w:rsid w:val="00BC34E1"/>
    <w:rsid w:val="00BC4356"/>
    <w:rsid w:val="00BC57C6"/>
    <w:rsid w:val="00BC5E87"/>
    <w:rsid w:val="00BC60D6"/>
    <w:rsid w:val="00BC6FBF"/>
    <w:rsid w:val="00BC7263"/>
    <w:rsid w:val="00BC72AA"/>
    <w:rsid w:val="00BC75E9"/>
    <w:rsid w:val="00BD073F"/>
    <w:rsid w:val="00BD0877"/>
    <w:rsid w:val="00BD1DCA"/>
    <w:rsid w:val="00BD2DA3"/>
    <w:rsid w:val="00BD31D6"/>
    <w:rsid w:val="00BD3D1B"/>
    <w:rsid w:val="00BD3D77"/>
    <w:rsid w:val="00BD4588"/>
    <w:rsid w:val="00BD503C"/>
    <w:rsid w:val="00BD5CE9"/>
    <w:rsid w:val="00BD6D80"/>
    <w:rsid w:val="00BD7465"/>
    <w:rsid w:val="00BD7A32"/>
    <w:rsid w:val="00BD7FB3"/>
    <w:rsid w:val="00BE2523"/>
    <w:rsid w:val="00BE43FF"/>
    <w:rsid w:val="00BE45BC"/>
    <w:rsid w:val="00BE590C"/>
    <w:rsid w:val="00BE6685"/>
    <w:rsid w:val="00BE67CF"/>
    <w:rsid w:val="00BE6873"/>
    <w:rsid w:val="00BE7B94"/>
    <w:rsid w:val="00BE7D91"/>
    <w:rsid w:val="00BF083E"/>
    <w:rsid w:val="00BF19BC"/>
    <w:rsid w:val="00BF259F"/>
    <w:rsid w:val="00BF2BF9"/>
    <w:rsid w:val="00BF4BB6"/>
    <w:rsid w:val="00BF5318"/>
    <w:rsid w:val="00BF59EC"/>
    <w:rsid w:val="00BF6877"/>
    <w:rsid w:val="00BF78E0"/>
    <w:rsid w:val="00C0007C"/>
    <w:rsid w:val="00C00443"/>
    <w:rsid w:val="00C00A59"/>
    <w:rsid w:val="00C02F2F"/>
    <w:rsid w:val="00C031B0"/>
    <w:rsid w:val="00C038C0"/>
    <w:rsid w:val="00C03BCE"/>
    <w:rsid w:val="00C05BC2"/>
    <w:rsid w:val="00C06891"/>
    <w:rsid w:val="00C06E4D"/>
    <w:rsid w:val="00C07173"/>
    <w:rsid w:val="00C10023"/>
    <w:rsid w:val="00C114B8"/>
    <w:rsid w:val="00C11AD3"/>
    <w:rsid w:val="00C12F79"/>
    <w:rsid w:val="00C14056"/>
    <w:rsid w:val="00C1466C"/>
    <w:rsid w:val="00C14DC8"/>
    <w:rsid w:val="00C160E0"/>
    <w:rsid w:val="00C16751"/>
    <w:rsid w:val="00C1678C"/>
    <w:rsid w:val="00C17F2E"/>
    <w:rsid w:val="00C218FC"/>
    <w:rsid w:val="00C21F74"/>
    <w:rsid w:val="00C2282A"/>
    <w:rsid w:val="00C23B00"/>
    <w:rsid w:val="00C23E40"/>
    <w:rsid w:val="00C2522C"/>
    <w:rsid w:val="00C2562F"/>
    <w:rsid w:val="00C25E5C"/>
    <w:rsid w:val="00C266BB"/>
    <w:rsid w:val="00C26801"/>
    <w:rsid w:val="00C273FC"/>
    <w:rsid w:val="00C2799F"/>
    <w:rsid w:val="00C3029C"/>
    <w:rsid w:val="00C3099A"/>
    <w:rsid w:val="00C314B0"/>
    <w:rsid w:val="00C31B6D"/>
    <w:rsid w:val="00C32906"/>
    <w:rsid w:val="00C32B9C"/>
    <w:rsid w:val="00C3425E"/>
    <w:rsid w:val="00C34D17"/>
    <w:rsid w:val="00C358C9"/>
    <w:rsid w:val="00C362C2"/>
    <w:rsid w:val="00C36849"/>
    <w:rsid w:val="00C40125"/>
    <w:rsid w:val="00C4013E"/>
    <w:rsid w:val="00C40CA3"/>
    <w:rsid w:val="00C4164C"/>
    <w:rsid w:val="00C43C41"/>
    <w:rsid w:val="00C43FC2"/>
    <w:rsid w:val="00C442EC"/>
    <w:rsid w:val="00C44561"/>
    <w:rsid w:val="00C44A9C"/>
    <w:rsid w:val="00C44EDC"/>
    <w:rsid w:val="00C45080"/>
    <w:rsid w:val="00C45D39"/>
    <w:rsid w:val="00C471D0"/>
    <w:rsid w:val="00C47AEF"/>
    <w:rsid w:val="00C47C30"/>
    <w:rsid w:val="00C47CF5"/>
    <w:rsid w:val="00C51013"/>
    <w:rsid w:val="00C510BB"/>
    <w:rsid w:val="00C53320"/>
    <w:rsid w:val="00C53BFA"/>
    <w:rsid w:val="00C541A0"/>
    <w:rsid w:val="00C547F5"/>
    <w:rsid w:val="00C54AFF"/>
    <w:rsid w:val="00C54E8F"/>
    <w:rsid w:val="00C55812"/>
    <w:rsid w:val="00C574C8"/>
    <w:rsid w:val="00C577AD"/>
    <w:rsid w:val="00C57A4B"/>
    <w:rsid w:val="00C57D34"/>
    <w:rsid w:val="00C61705"/>
    <w:rsid w:val="00C61C8C"/>
    <w:rsid w:val="00C62CA5"/>
    <w:rsid w:val="00C64217"/>
    <w:rsid w:val="00C64E87"/>
    <w:rsid w:val="00C6512B"/>
    <w:rsid w:val="00C6533A"/>
    <w:rsid w:val="00C65CFD"/>
    <w:rsid w:val="00C67B8D"/>
    <w:rsid w:val="00C67CBB"/>
    <w:rsid w:val="00C70C03"/>
    <w:rsid w:val="00C70EEF"/>
    <w:rsid w:val="00C7134E"/>
    <w:rsid w:val="00C71B15"/>
    <w:rsid w:val="00C730A5"/>
    <w:rsid w:val="00C735E8"/>
    <w:rsid w:val="00C7543E"/>
    <w:rsid w:val="00C7571A"/>
    <w:rsid w:val="00C761C6"/>
    <w:rsid w:val="00C77978"/>
    <w:rsid w:val="00C80680"/>
    <w:rsid w:val="00C80F07"/>
    <w:rsid w:val="00C80FF3"/>
    <w:rsid w:val="00C83EE3"/>
    <w:rsid w:val="00C84A7F"/>
    <w:rsid w:val="00C857FE"/>
    <w:rsid w:val="00C8674B"/>
    <w:rsid w:val="00C87EF6"/>
    <w:rsid w:val="00C91689"/>
    <w:rsid w:val="00C93992"/>
    <w:rsid w:val="00C941FF"/>
    <w:rsid w:val="00C94760"/>
    <w:rsid w:val="00C96D98"/>
    <w:rsid w:val="00C9770D"/>
    <w:rsid w:val="00C97A4E"/>
    <w:rsid w:val="00C97FCF"/>
    <w:rsid w:val="00CA0097"/>
    <w:rsid w:val="00CA05BA"/>
    <w:rsid w:val="00CA0DD1"/>
    <w:rsid w:val="00CA12D7"/>
    <w:rsid w:val="00CA1D1E"/>
    <w:rsid w:val="00CA4610"/>
    <w:rsid w:val="00CA4AE7"/>
    <w:rsid w:val="00CA4E84"/>
    <w:rsid w:val="00CA7D9E"/>
    <w:rsid w:val="00CA7E8F"/>
    <w:rsid w:val="00CB00D1"/>
    <w:rsid w:val="00CB048F"/>
    <w:rsid w:val="00CB2EDB"/>
    <w:rsid w:val="00CB3053"/>
    <w:rsid w:val="00CB37F7"/>
    <w:rsid w:val="00CB38AC"/>
    <w:rsid w:val="00CB4111"/>
    <w:rsid w:val="00CB5521"/>
    <w:rsid w:val="00CB57E4"/>
    <w:rsid w:val="00CB5AB0"/>
    <w:rsid w:val="00CB78D4"/>
    <w:rsid w:val="00CB7C86"/>
    <w:rsid w:val="00CB7E94"/>
    <w:rsid w:val="00CC0F9E"/>
    <w:rsid w:val="00CC27E2"/>
    <w:rsid w:val="00CC3603"/>
    <w:rsid w:val="00CC36A1"/>
    <w:rsid w:val="00CC37F5"/>
    <w:rsid w:val="00CC4AFD"/>
    <w:rsid w:val="00CC4B0A"/>
    <w:rsid w:val="00CC50EB"/>
    <w:rsid w:val="00CC6AA4"/>
    <w:rsid w:val="00CC6AE7"/>
    <w:rsid w:val="00CC6C23"/>
    <w:rsid w:val="00CC7C27"/>
    <w:rsid w:val="00CD028B"/>
    <w:rsid w:val="00CD3222"/>
    <w:rsid w:val="00CD35C4"/>
    <w:rsid w:val="00CD3ABC"/>
    <w:rsid w:val="00CD5493"/>
    <w:rsid w:val="00CD54C4"/>
    <w:rsid w:val="00CD5C7E"/>
    <w:rsid w:val="00CD5E0C"/>
    <w:rsid w:val="00CD5F71"/>
    <w:rsid w:val="00CD63E9"/>
    <w:rsid w:val="00CD7560"/>
    <w:rsid w:val="00CD796D"/>
    <w:rsid w:val="00CE019D"/>
    <w:rsid w:val="00CE0A39"/>
    <w:rsid w:val="00CE2532"/>
    <w:rsid w:val="00CE33C9"/>
    <w:rsid w:val="00CE3D4C"/>
    <w:rsid w:val="00CE4CAF"/>
    <w:rsid w:val="00CE69F8"/>
    <w:rsid w:val="00CE6C1B"/>
    <w:rsid w:val="00CE72C1"/>
    <w:rsid w:val="00CE777E"/>
    <w:rsid w:val="00CF1271"/>
    <w:rsid w:val="00CF12B8"/>
    <w:rsid w:val="00CF4134"/>
    <w:rsid w:val="00CF72BA"/>
    <w:rsid w:val="00CF7B05"/>
    <w:rsid w:val="00D01F56"/>
    <w:rsid w:val="00D0219A"/>
    <w:rsid w:val="00D0241B"/>
    <w:rsid w:val="00D0276E"/>
    <w:rsid w:val="00D06B3D"/>
    <w:rsid w:val="00D0729F"/>
    <w:rsid w:val="00D10100"/>
    <w:rsid w:val="00D104FD"/>
    <w:rsid w:val="00D109DC"/>
    <w:rsid w:val="00D11D5E"/>
    <w:rsid w:val="00D11DFA"/>
    <w:rsid w:val="00D124E8"/>
    <w:rsid w:val="00D134B2"/>
    <w:rsid w:val="00D137CB"/>
    <w:rsid w:val="00D141D8"/>
    <w:rsid w:val="00D14DE2"/>
    <w:rsid w:val="00D14FCD"/>
    <w:rsid w:val="00D152DB"/>
    <w:rsid w:val="00D15817"/>
    <w:rsid w:val="00D1614E"/>
    <w:rsid w:val="00D17029"/>
    <w:rsid w:val="00D1718F"/>
    <w:rsid w:val="00D17661"/>
    <w:rsid w:val="00D20366"/>
    <w:rsid w:val="00D21406"/>
    <w:rsid w:val="00D2217D"/>
    <w:rsid w:val="00D224EA"/>
    <w:rsid w:val="00D22B33"/>
    <w:rsid w:val="00D234EA"/>
    <w:rsid w:val="00D2379E"/>
    <w:rsid w:val="00D252D9"/>
    <w:rsid w:val="00D2593E"/>
    <w:rsid w:val="00D26594"/>
    <w:rsid w:val="00D26861"/>
    <w:rsid w:val="00D2686B"/>
    <w:rsid w:val="00D26A5D"/>
    <w:rsid w:val="00D277F0"/>
    <w:rsid w:val="00D30EE3"/>
    <w:rsid w:val="00D316DA"/>
    <w:rsid w:val="00D3203B"/>
    <w:rsid w:val="00D3216E"/>
    <w:rsid w:val="00D322F9"/>
    <w:rsid w:val="00D33BF5"/>
    <w:rsid w:val="00D3591B"/>
    <w:rsid w:val="00D369E0"/>
    <w:rsid w:val="00D3734E"/>
    <w:rsid w:val="00D41C18"/>
    <w:rsid w:val="00D42B8E"/>
    <w:rsid w:val="00D42CFE"/>
    <w:rsid w:val="00D4383E"/>
    <w:rsid w:val="00D43D2B"/>
    <w:rsid w:val="00D43EC3"/>
    <w:rsid w:val="00D447E9"/>
    <w:rsid w:val="00D46DE6"/>
    <w:rsid w:val="00D47659"/>
    <w:rsid w:val="00D504B0"/>
    <w:rsid w:val="00D50C39"/>
    <w:rsid w:val="00D54AB0"/>
    <w:rsid w:val="00D54B9E"/>
    <w:rsid w:val="00D54C8B"/>
    <w:rsid w:val="00D5631F"/>
    <w:rsid w:val="00D56FEC"/>
    <w:rsid w:val="00D60AE8"/>
    <w:rsid w:val="00D60CCE"/>
    <w:rsid w:val="00D60DC0"/>
    <w:rsid w:val="00D61037"/>
    <w:rsid w:val="00D611AB"/>
    <w:rsid w:val="00D6120C"/>
    <w:rsid w:val="00D61BB4"/>
    <w:rsid w:val="00D628C7"/>
    <w:rsid w:val="00D630F3"/>
    <w:rsid w:val="00D63B6E"/>
    <w:rsid w:val="00D6451A"/>
    <w:rsid w:val="00D6461D"/>
    <w:rsid w:val="00D65048"/>
    <w:rsid w:val="00D65255"/>
    <w:rsid w:val="00D665BA"/>
    <w:rsid w:val="00D669B5"/>
    <w:rsid w:val="00D7014A"/>
    <w:rsid w:val="00D707A8"/>
    <w:rsid w:val="00D70EF0"/>
    <w:rsid w:val="00D717FD"/>
    <w:rsid w:val="00D71934"/>
    <w:rsid w:val="00D72412"/>
    <w:rsid w:val="00D7276A"/>
    <w:rsid w:val="00D733AE"/>
    <w:rsid w:val="00D73D89"/>
    <w:rsid w:val="00D74B14"/>
    <w:rsid w:val="00D74D2C"/>
    <w:rsid w:val="00D74FB9"/>
    <w:rsid w:val="00D752F5"/>
    <w:rsid w:val="00D7597C"/>
    <w:rsid w:val="00D75E38"/>
    <w:rsid w:val="00D76306"/>
    <w:rsid w:val="00D76830"/>
    <w:rsid w:val="00D772C6"/>
    <w:rsid w:val="00D80131"/>
    <w:rsid w:val="00D80217"/>
    <w:rsid w:val="00D8063D"/>
    <w:rsid w:val="00D80CA6"/>
    <w:rsid w:val="00D81D7E"/>
    <w:rsid w:val="00D8251B"/>
    <w:rsid w:val="00D8262A"/>
    <w:rsid w:val="00D82A89"/>
    <w:rsid w:val="00D82EB1"/>
    <w:rsid w:val="00D860A5"/>
    <w:rsid w:val="00D865AF"/>
    <w:rsid w:val="00D86631"/>
    <w:rsid w:val="00D868B0"/>
    <w:rsid w:val="00D8744C"/>
    <w:rsid w:val="00D87A7B"/>
    <w:rsid w:val="00D90CD8"/>
    <w:rsid w:val="00D9121F"/>
    <w:rsid w:val="00D915F6"/>
    <w:rsid w:val="00D91729"/>
    <w:rsid w:val="00D9225E"/>
    <w:rsid w:val="00D92795"/>
    <w:rsid w:val="00D93F90"/>
    <w:rsid w:val="00D9461F"/>
    <w:rsid w:val="00D960D3"/>
    <w:rsid w:val="00DA0DA7"/>
    <w:rsid w:val="00DA1222"/>
    <w:rsid w:val="00DA1253"/>
    <w:rsid w:val="00DA18AF"/>
    <w:rsid w:val="00DA2122"/>
    <w:rsid w:val="00DA354E"/>
    <w:rsid w:val="00DA3F57"/>
    <w:rsid w:val="00DA3FA4"/>
    <w:rsid w:val="00DA4E9B"/>
    <w:rsid w:val="00DA5486"/>
    <w:rsid w:val="00DA6B7C"/>
    <w:rsid w:val="00DA6E44"/>
    <w:rsid w:val="00DA739F"/>
    <w:rsid w:val="00DA7EEE"/>
    <w:rsid w:val="00DB00E4"/>
    <w:rsid w:val="00DB013E"/>
    <w:rsid w:val="00DB02AC"/>
    <w:rsid w:val="00DB0384"/>
    <w:rsid w:val="00DB100D"/>
    <w:rsid w:val="00DB113F"/>
    <w:rsid w:val="00DB1709"/>
    <w:rsid w:val="00DB1734"/>
    <w:rsid w:val="00DB1BBC"/>
    <w:rsid w:val="00DB1F73"/>
    <w:rsid w:val="00DB3426"/>
    <w:rsid w:val="00DB3B34"/>
    <w:rsid w:val="00DB3FFC"/>
    <w:rsid w:val="00DB41DF"/>
    <w:rsid w:val="00DB524A"/>
    <w:rsid w:val="00DB5879"/>
    <w:rsid w:val="00DB5936"/>
    <w:rsid w:val="00DB5AB1"/>
    <w:rsid w:val="00DB6733"/>
    <w:rsid w:val="00DB6B9B"/>
    <w:rsid w:val="00DB6E78"/>
    <w:rsid w:val="00DB7A9C"/>
    <w:rsid w:val="00DC0E5C"/>
    <w:rsid w:val="00DC17B6"/>
    <w:rsid w:val="00DC2BD4"/>
    <w:rsid w:val="00DC3B59"/>
    <w:rsid w:val="00DC4F71"/>
    <w:rsid w:val="00DC5588"/>
    <w:rsid w:val="00DC5CE3"/>
    <w:rsid w:val="00DC7ADB"/>
    <w:rsid w:val="00DD0B7C"/>
    <w:rsid w:val="00DD0F55"/>
    <w:rsid w:val="00DD20BF"/>
    <w:rsid w:val="00DD21A4"/>
    <w:rsid w:val="00DD2B63"/>
    <w:rsid w:val="00DD2D6A"/>
    <w:rsid w:val="00DD3189"/>
    <w:rsid w:val="00DD376B"/>
    <w:rsid w:val="00DD3C50"/>
    <w:rsid w:val="00DD4005"/>
    <w:rsid w:val="00DD481E"/>
    <w:rsid w:val="00DD4DAE"/>
    <w:rsid w:val="00DE06C3"/>
    <w:rsid w:val="00DE20EA"/>
    <w:rsid w:val="00DE2267"/>
    <w:rsid w:val="00DE3D2F"/>
    <w:rsid w:val="00DE47E6"/>
    <w:rsid w:val="00DE537F"/>
    <w:rsid w:val="00DF1134"/>
    <w:rsid w:val="00DF1447"/>
    <w:rsid w:val="00DF25A3"/>
    <w:rsid w:val="00DF64DB"/>
    <w:rsid w:val="00DF70FC"/>
    <w:rsid w:val="00DF72D3"/>
    <w:rsid w:val="00DF77D5"/>
    <w:rsid w:val="00E0270E"/>
    <w:rsid w:val="00E02950"/>
    <w:rsid w:val="00E037DA"/>
    <w:rsid w:val="00E043D1"/>
    <w:rsid w:val="00E04845"/>
    <w:rsid w:val="00E063E8"/>
    <w:rsid w:val="00E074A0"/>
    <w:rsid w:val="00E07755"/>
    <w:rsid w:val="00E10DD6"/>
    <w:rsid w:val="00E11BBF"/>
    <w:rsid w:val="00E12838"/>
    <w:rsid w:val="00E137E8"/>
    <w:rsid w:val="00E1388C"/>
    <w:rsid w:val="00E14630"/>
    <w:rsid w:val="00E14D07"/>
    <w:rsid w:val="00E14E96"/>
    <w:rsid w:val="00E14EC6"/>
    <w:rsid w:val="00E1769E"/>
    <w:rsid w:val="00E21C6E"/>
    <w:rsid w:val="00E22FD9"/>
    <w:rsid w:val="00E2426A"/>
    <w:rsid w:val="00E24324"/>
    <w:rsid w:val="00E24BFF"/>
    <w:rsid w:val="00E24CB3"/>
    <w:rsid w:val="00E255F5"/>
    <w:rsid w:val="00E262E9"/>
    <w:rsid w:val="00E30936"/>
    <w:rsid w:val="00E30EAF"/>
    <w:rsid w:val="00E31240"/>
    <w:rsid w:val="00E3286A"/>
    <w:rsid w:val="00E33121"/>
    <w:rsid w:val="00E34BD6"/>
    <w:rsid w:val="00E3663B"/>
    <w:rsid w:val="00E36855"/>
    <w:rsid w:val="00E376E6"/>
    <w:rsid w:val="00E41C72"/>
    <w:rsid w:val="00E44F73"/>
    <w:rsid w:val="00E4512E"/>
    <w:rsid w:val="00E45C6D"/>
    <w:rsid w:val="00E46423"/>
    <w:rsid w:val="00E46776"/>
    <w:rsid w:val="00E4727A"/>
    <w:rsid w:val="00E47307"/>
    <w:rsid w:val="00E50FEA"/>
    <w:rsid w:val="00E514BB"/>
    <w:rsid w:val="00E51E69"/>
    <w:rsid w:val="00E528A3"/>
    <w:rsid w:val="00E53AB7"/>
    <w:rsid w:val="00E54195"/>
    <w:rsid w:val="00E54DC7"/>
    <w:rsid w:val="00E54F57"/>
    <w:rsid w:val="00E553D8"/>
    <w:rsid w:val="00E553E6"/>
    <w:rsid w:val="00E555FA"/>
    <w:rsid w:val="00E559E4"/>
    <w:rsid w:val="00E60305"/>
    <w:rsid w:val="00E610C2"/>
    <w:rsid w:val="00E624F0"/>
    <w:rsid w:val="00E6328E"/>
    <w:rsid w:val="00E678D8"/>
    <w:rsid w:val="00E67FCA"/>
    <w:rsid w:val="00E7084A"/>
    <w:rsid w:val="00E708BF"/>
    <w:rsid w:val="00E70A41"/>
    <w:rsid w:val="00E70CDB"/>
    <w:rsid w:val="00E719B1"/>
    <w:rsid w:val="00E72184"/>
    <w:rsid w:val="00E7285F"/>
    <w:rsid w:val="00E72919"/>
    <w:rsid w:val="00E73504"/>
    <w:rsid w:val="00E739FC"/>
    <w:rsid w:val="00E73FD9"/>
    <w:rsid w:val="00E7570A"/>
    <w:rsid w:val="00E7583D"/>
    <w:rsid w:val="00E763C1"/>
    <w:rsid w:val="00E76F5F"/>
    <w:rsid w:val="00E773E1"/>
    <w:rsid w:val="00E7750E"/>
    <w:rsid w:val="00E77FE3"/>
    <w:rsid w:val="00E8020A"/>
    <w:rsid w:val="00E80AD6"/>
    <w:rsid w:val="00E80CBF"/>
    <w:rsid w:val="00E817E3"/>
    <w:rsid w:val="00E81ADA"/>
    <w:rsid w:val="00E81F75"/>
    <w:rsid w:val="00E82C40"/>
    <w:rsid w:val="00E83459"/>
    <w:rsid w:val="00E85E79"/>
    <w:rsid w:val="00E86135"/>
    <w:rsid w:val="00E914B7"/>
    <w:rsid w:val="00E9396E"/>
    <w:rsid w:val="00E942B3"/>
    <w:rsid w:val="00E95344"/>
    <w:rsid w:val="00EA15AC"/>
    <w:rsid w:val="00EA1768"/>
    <w:rsid w:val="00EA1C98"/>
    <w:rsid w:val="00EA1D24"/>
    <w:rsid w:val="00EA1F5F"/>
    <w:rsid w:val="00EA29A2"/>
    <w:rsid w:val="00EA3813"/>
    <w:rsid w:val="00EA4705"/>
    <w:rsid w:val="00EA4852"/>
    <w:rsid w:val="00EA4B6C"/>
    <w:rsid w:val="00EA79D0"/>
    <w:rsid w:val="00EB0741"/>
    <w:rsid w:val="00EB1644"/>
    <w:rsid w:val="00EB1656"/>
    <w:rsid w:val="00EB1B0A"/>
    <w:rsid w:val="00EB1F43"/>
    <w:rsid w:val="00EB3224"/>
    <w:rsid w:val="00EB3C79"/>
    <w:rsid w:val="00EB4C33"/>
    <w:rsid w:val="00EB5545"/>
    <w:rsid w:val="00EB5C09"/>
    <w:rsid w:val="00EB5C77"/>
    <w:rsid w:val="00EB6E34"/>
    <w:rsid w:val="00EB7DD6"/>
    <w:rsid w:val="00EC04A5"/>
    <w:rsid w:val="00EC09AF"/>
    <w:rsid w:val="00EC0A44"/>
    <w:rsid w:val="00EC0DF9"/>
    <w:rsid w:val="00EC1B88"/>
    <w:rsid w:val="00EC1BC4"/>
    <w:rsid w:val="00EC3B3F"/>
    <w:rsid w:val="00EC409B"/>
    <w:rsid w:val="00EC506D"/>
    <w:rsid w:val="00EC56F4"/>
    <w:rsid w:val="00EC5C83"/>
    <w:rsid w:val="00EC61F2"/>
    <w:rsid w:val="00EC662F"/>
    <w:rsid w:val="00EC6973"/>
    <w:rsid w:val="00EC6A8E"/>
    <w:rsid w:val="00EC732B"/>
    <w:rsid w:val="00ED074B"/>
    <w:rsid w:val="00ED1144"/>
    <w:rsid w:val="00ED253E"/>
    <w:rsid w:val="00ED2AE3"/>
    <w:rsid w:val="00ED2D95"/>
    <w:rsid w:val="00ED3E31"/>
    <w:rsid w:val="00ED442A"/>
    <w:rsid w:val="00ED4F2D"/>
    <w:rsid w:val="00ED57F8"/>
    <w:rsid w:val="00ED596C"/>
    <w:rsid w:val="00ED5DB7"/>
    <w:rsid w:val="00ED6284"/>
    <w:rsid w:val="00ED6CD5"/>
    <w:rsid w:val="00ED7B69"/>
    <w:rsid w:val="00EE1853"/>
    <w:rsid w:val="00EE33A9"/>
    <w:rsid w:val="00EE6816"/>
    <w:rsid w:val="00EE6A13"/>
    <w:rsid w:val="00EE6D72"/>
    <w:rsid w:val="00EE6F8F"/>
    <w:rsid w:val="00EE707D"/>
    <w:rsid w:val="00EE7970"/>
    <w:rsid w:val="00EF0DAF"/>
    <w:rsid w:val="00EF0EC4"/>
    <w:rsid w:val="00EF13A5"/>
    <w:rsid w:val="00EF187F"/>
    <w:rsid w:val="00EF1B9B"/>
    <w:rsid w:val="00EF2E96"/>
    <w:rsid w:val="00EF2FC6"/>
    <w:rsid w:val="00EF3E87"/>
    <w:rsid w:val="00EF4277"/>
    <w:rsid w:val="00EF4B9D"/>
    <w:rsid w:val="00EF4F97"/>
    <w:rsid w:val="00EF4FE2"/>
    <w:rsid w:val="00EF6496"/>
    <w:rsid w:val="00F00F70"/>
    <w:rsid w:val="00F01D1C"/>
    <w:rsid w:val="00F0233E"/>
    <w:rsid w:val="00F03136"/>
    <w:rsid w:val="00F049DB"/>
    <w:rsid w:val="00F05043"/>
    <w:rsid w:val="00F05F74"/>
    <w:rsid w:val="00F060A6"/>
    <w:rsid w:val="00F0702F"/>
    <w:rsid w:val="00F07DF7"/>
    <w:rsid w:val="00F1000E"/>
    <w:rsid w:val="00F10123"/>
    <w:rsid w:val="00F104F7"/>
    <w:rsid w:val="00F1314D"/>
    <w:rsid w:val="00F13681"/>
    <w:rsid w:val="00F1408B"/>
    <w:rsid w:val="00F14405"/>
    <w:rsid w:val="00F14DC5"/>
    <w:rsid w:val="00F15264"/>
    <w:rsid w:val="00F15482"/>
    <w:rsid w:val="00F154CB"/>
    <w:rsid w:val="00F165A4"/>
    <w:rsid w:val="00F16606"/>
    <w:rsid w:val="00F16F77"/>
    <w:rsid w:val="00F170D3"/>
    <w:rsid w:val="00F1762C"/>
    <w:rsid w:val="00F2002F"/>
    <w:rsid w:val="00F21DD4"/>
    <w:rsid w:val="00F22295"/>
    <w:rsid w:val="00F22664"/>
    <w:rsid w:val="00F22923"/>
    <w:rsid w:val="00F22D7D"/>
    <w:rsid w:val="00F23554"/>
    <w:rsid w:val="00F24E94"/>
    <w:rsid w:val="00F2513B"/>
    <w:rsid w:val="00F25722"/>
    <w:rsid w:val="00F258FC"/>
    <w:rsid w:val="00F26E6B"/>
    <w:rsid w:val="00F272D5"/>
    <w:rsid w:val="00F27C39"/>
    <w:rsid w:val="00F27F4F"/>
    <w:rsid w:val="00F30C6C"/>
    <w:rsid w:val="00F31871"/>
    <w:rsid w:val="00F3271F"/>
    <w:rsid w:val="00F337F7"/>
    <w:rsid w:val="00F36C0F"/>
    <w:rsid w:val="00F37BDE"/>
    <w:rsid w:val="00F4004E"/>
    <w:rsid w:val="00F40577"/>
    <w:rsid w:val="00F40761"/>
    <w:rsid w:val="00F41221"/>
    <w:rsid w:val="00F413ED"/>
    <w:rsid w:val="00F417E7"/>
    <w:rsid w:val="00F41D47"/>
    <w:rsid w:val="00F4222E"/>
    <w:rsid w:val="00F42BC0"/>
    <w:rsid w:val="00F45154"/>
    <w:rsid w:val="00F451A8"/>
    <w:rsid w:val="00F4585A"/>
    <w:rsid w:val="00F46D6E"/>
    <w:rsid w:val="00F51130"/>
    <w:rsid w:val="00F53CF6"/>
    <w:rsid w:val="00F54625"/>
    <w:rsid w:val="00F54C48"/>
    <w:rsid w:val="00F5512E"/>
    <w:rsid w:val="00F60467"/>
    <w:rsid w:val="00F60999"/>
    <w:rsid w:val="00F60B4A"/>
    <w:rsid w:val="00F615B5"/>
    <w:rsid w:val="00F6163B"/>
    <w:rsid w:val="00F61DC2"/>
    <w:rsid w:val="00F61F30"/>
    <w:rsid w:val="00F63F5B"/>
    <w:rsid w:val="00F648D8"/>
    <w:rsid w:val="00F657C7"/>
    <w:rsid w:val="00F66084"/>
    <w:rsid w:val="00F67193"/>
    <w:rsid w:val="00F67359"/>
    <w:rsid w:val="00F704D6"/>
    <w:rsid w:val="00F708A4"/>
    <w:rsid w:val="00F70D91"/>
    <w:rsid w:val="00F7225D"/>
    <w:rsid w:val="00F72B70"/>
    <w:rsid w:val="00F731EE"/>
    <w:rsid w:val="00F73D74"/>
    <w:rsid w:val="00F75434"/>
    <w:rsid w:val="00F75AA6"/>
    <w:rsid w:val="00F75F43"/>
    <w:rsid w:val="00F77DE6"/>
    <w:rsid w:val="00F817F4"/>
    <w:rsid w:val="00F81CB7"/>
    <w:rsid w:val="00F83D15"/>
    <w:rsid w:val="00F8464D"/>
    <w:rsid w:val="00F8493E"/>
    <w:rsid w:val="00F853FA"/>
    <w:rsid w:val="00F85727"/>
    <w:rsid w:val="00F86B40"/>
    <w:rsid w:val="00F871BA"/>
    <w:rsid w:val="00F87A56"/>
    <w:rsid w:val="00F910B4"/>
    <w:rsid w:val="00F911BE"/>
    <w:rsid w:val="00F92BD3"/>
    <w:rsid w:val="00F947CF"/>
    <w:rsid w:val="00F94948"/>
    <w:rsid w:val="00F950F4"/>
    <w:rsid w:val="00F95EFC"/>
    <w:rsid w:val="00F970D8"/>
    <w:rsid w:val="00F9721F"/>
    <w:rsid w:val="00F97A8F"/>
    <w:rsid w:val="00FA098A"/>
    <w:rsid w:val="00FA0CF1"/>
    <w:rsid w:val="00FA542E"/>
    <w:rsid w:val="00FA57EE"/>
    <w:rsid w:val="00FA6795"/>
    <w:rsid w:val="00FA6F51"/>
    <w:rsid w:val="00FA71AC"/>
    <w:rsid w:val="00FA7B64"/>
    <w:rsid w:val="00FB00BC"/>
    <w:rsid w:val="00FB2FFF"/>
    <w:rsid w:val="00FB51A1"/>
    <w:rsid w:val="00FB5A06"/>
    <w:rsid w:val="00FB70A8"/>
    <w:rsid w:val="00FB7443"/>
    <w:rsid w:val="00FC0B4A"/>
    <w:rsid w:val="00FC0B52"/>
    <w:rsid w:val="00FC1A94"/>
    <w:rsid w:val="00FC2835"/>
    <w:rsid w:val="00FC2B6D"/>
    <w:rsid w:val="00FC47B2"/>
    <w:rsid w:val="00FC5B9B"/>
    <w:rsid w:val="00FC6520"/>
    <w:rsid w:val="00FC6E22"/>
    <w:rsid w:val="00FC7548"/>
    <w:rsid w:val="00FC7AF8"/>
    <w:rsid w:val="00FD040C"/>
    <w:rsid w:val="00FD0BDA"/>
    <w:rsid w:val="00FD1099"/>
    <w:rsid w:val="00FD173D"/>
    <w:rsid w:val="00FD22A3"/>
    <w:rsid w:val="00FD4639"/>
    <w:rsid w:val="00FD4B74"/>
    <w:rsid w:val="00FD6FEB"/>
    <w:rsid w:val="00FD7057"/>
    <w:rsid w:val="00FD7DAB"/>
    <w:rsid w:val="00FE04E0"/>
    <w:rsid w:val="00FE0F3E"/>
    <w:rsid w:val="00FE137C"/>
    <w:rsid w:val="00FE188C"/>
    <w:rsid w:val="00FE2E89"/>
    <w:rsid w:val="00FE7795"/>
    <w:rsid w:val="00FE7C89"/>
    <w:rsid w:val="00FE7DBE"/>
    <w:rsid w:val="00FF0060"/>
    <w:rsid w:val="00FF1566"/>
    <w:rsid w:val="00FF3309"/>
    <w:rsid w:val="00FF3E16"/>
    <w:rsid w:val="00FF4FA8"/>
    <w:rsid w:val="00FF590C"/>
    <w:rsid w:val="00FF7B7A"/>
    <w:rsid w:val="01121EDF"/>
    <w:rsid w:val="01253372"/>
    <w:rsid w:val="01394CDE"/>
    <w:rsid w:val="0147342A"/>
    <w:rsid w:val="015875BC"/>
    <w:rsid w:val="01630298"/>
    <w:rsid w:val="016814B1"/>
    <w:rsid w:val="01687C14"/>
    <w:rsid w:val="016F45ED"/>
    <w:rsid w:val="01822573"/>
    <w:rsid w:val="019417AA"/>
    <w:rsid w:val="019736A8"/>
    <w:rsid w:val="01997156"/>
    <w:rsid w:val="01B666C0"/>
    <w:rsid w:val="01E1249D"/>
    <w:rsid w:val="01F62F61"/>
    <w:rsid w:val="01FD33D4"/>
    <w:rsid w:val="020B536D"/>
    <w:rsid w:val="02151639"/>
    <w:rsid w:val="0250441F"/>
    <w:rsid w:val="025A4337"/>
    <w:rsid w:val="026E0D49"/>
    <w:rsid w:val="028F70AD"/>
    <w:rsid w:val="029600EB"/>
    <w:rsid w:val="02A36C44"/>
    <w:rsid w:val="02C00ADC"/>
    <w:rsid w:val="02DA63DE"/>
    <w:rsid w:val="02EC3A4D"/>
    <w:rsid w:val="02ED7995"/>
    <w:rsid w:val="03036A22"/>
    <w:rsid w:val="03044500"/>
    <w:rsid w:val="031A3F14"/>
    <w:rsid w:val="03272315"/>
    <w:rsid w:val="032B6C3A"/>
    <w:rsid w:val="03321BFA"/>
    <w:rsid w:val="03550A7E"/>
    <w:rsid w:val="03696167"/>
    <w:rsid w:val="037472F8"/>
    <w:rsid w:val="037B54CB"/>
    <w:rsid w:val="037C638A"/>
    <w:rsid w:val="03896422"/>
    <w:rsid w:val="038C6846"/>
    <w:rsid w:val="039207D6"/>
    <w:rsid w:val="03AF786B"/>
    <w:rsid w:val="03D66BA6"/>
    <w:rsid w:val="03F31506"/>
    <w:rsid w:val="03F87E8D"/>
    <w:rsid w:val="04131BA8"/>
    <w:rsid w:val="042E253E"/>
    <w:rsid w:val="043B3DB4"/>
    <w:rsid w:val="04880D6B"/>
    <w:rsid w:val="048B2435"/>
    <w:rsid w:val="048C3261"/>
    <w:rsid w:val="04926F71"/>
    <w:rsid w:val="049D5915"/>
    <w:rsid w:val="049F343C"/>
    <w:rsid w:val="04AB053A"/>
    <w:rsid w:val="04B26464"/>
    <w:rsid w:val="04B34EFE"/>
    <w:rsid w:val="04B35139"/>
    <w:rsid w:val="04BB27B8"/>
    <w:rsid w:val="04CD0C8A"/>
    <w:rsid w:val="051F05F1"/>
    <w:rsid w:val="052971A9"/>
    <w:rsid w:val="052B5905"/>
    <w:rsid w:val="05341DD6"/>
    <w:rsid w:val="05555647"/>
    <w:rsid w:val="05AA659D"/>
    <w:rsid w:val="05C05B9F"/>
    <w:rsid w:val="05C53B30"/>
    <w:rsid w:val="05C62EFF"/>
    <w:rsid w:val="05DF4DBB"/>
    <w:rsid w:val="063858F6"/>
    <w:rsid w:val="064560FF"/>
    <w:rsid w:val="066C2930"/>
    <w:rsid w:val="068723D9"/>
    <w:rsid w:val="06976AC0"/>
    <w:rsid w:val="06B17105"/>
    <w:rsid w:val="06B35CA6"/>
    <w:rsid w:val="06BF0DF1"/>
    <w:rsid w:val="06D33070"/>
    <w:rsid w:val="07175E76"/>
    <w:rsid w:val="073E6677"/>
    <w:rsid w:val="0757155A"/>
    <w:rsid w:val="075739B0"/>
    <w:rsid w:val="0766687E"/>
    <w:rsid w:val="079C0106"/>
    <w:rsid w:val="07AF1BE8"/>
    <w:rsid w:val="07C63C30"/>
    <w:rsid w:val="07D117D3"/>
    <w:rsid w:val="07E2214C"/>
    <w:rsid w:val="080C757A"/>
    <w:rsid w:val="082C4FE6"/>
    <w:rsid w:val="082C72D1"/>
    <w:rsid w:val="0832726C"/>
    <w:rsid w:val="083E2F6B"/>
    <w:rsid w:val="0858512B"/>
    <w:rsid w:val="087E62AC"/>
    <w:rsid w:val="088272FC"/>
    <w:rsid w:val="08DE07BF"/>
    <w:rsid w:val="08DE1CE0"/>
    <w:rsid w:val="08F77DE9"/>
    <w:rsid w:val="08FF486A"/>
    <w:rsid w:val="09192A4B"/>
    <w:rsid w:val="091E56D7"/>
    <w:rsid w:val="092975AF"/>
    <w:rsid w:val="09324EBC"/>
    <w:rsid w:val="09385C0D"/>
    <w:rsid w:val="093A79E2"/>
    <w:rsid w:val="095A3DD5"/>
    <w:rsid w:val="09715D50"/>
    <w:rsid w:val="09952F4F"/>
    <w:rsid w:val="09B259BF"/>
    <w:rsid w:val="09F74D8E"/>
    <w:rsid w:val="0A0908DB"/>
    <w:rsid w:val="0A147970"/>
    <w:rsid w:val="0A2873EA"/>
    <w:rsid w:val="0A2E0844"/>
    <w:rsid w:val="0A430E7C"/>
    <w:rsid w:val="0A49109E"/>
    <w:rsid w:val="0A9450C5"/>
    <w:rsid w:val="0AA41808"/>
    <w:rsid w:val="0AB10684"/>
    <w:rsid w:val="0ADA11CD"/>
    <w:rsid w:val="0AE918B4"/>
    <w:rsid w:val="0B0C7351"/>
    <w:rsid w:val="0B113F58"/>
    <w:rsid w:val="0B234B22"/>
    <w:rsid w:val="0B662FF7"/>
    <w:rsid w:val="0BA27687"/>
    <w:rsid w:val="0BCE3601"/>
    <w:rsid w:val="0C004406"/>
    <w:rsid w:val="0C037EC0"/>
    <w:rsid w:val="0C2E702B"/>
    <w:rsid w:val="0C516500"/>
    <w:rsid w:val="0C7B57C4"/>
    <w:rsid w:val="0C90690B"/>
    <w:rsid w:val="0CA041F5"/>
    <w:rsid w:val="0CC07198"/>
    <w:rsid w:val="0CFD0BAA"/>
    <w:rsid w:val="0D3B7C60"/>
    <w:rsid w:val="0D45149F"/>
    <w:rsid w:val="0D4A5F0F"/>
    <w:rsid w:val="0D4C1C87"/>
    <w:rsid w:val="0D501777"/>
    <w:rsid w:val="0D5B54E2"/>
    <w:rsid w:val="0D6A5B67"/>
    <w:rsid w:val="0D7160F7"/>
    <w:rsid w:val="0D725B91"/>
    <w:rsid w:val="0D7D4536"/>
    <w:rsid w:val="0D903910"/>
    <w:rsid w:val="0DB066B9"/>
    <w:rsid w:val="0DE0548C"/>
    <w:rsid w:val="0DE17130"/>
    <w:rsid w:val="0DEA1BCB"/>
    <w:rsid w:val="0DF06351"/>
    <w:rsid w:val="0DFA0AC1"/>
    <w:rsid w:val="0E41120E"/>
    <w:rsid w:val="0E65692D"/>
    <w:rsid w:val="0E694661"/>
    <w:rsid w:val="0E80588A"/>
    <w:rsid w:val="0E8119C9"/>
    <w:rsid w:val="0E9E4764"/>
    <w:rsid w:val="0EA63E86"/>
    <w:rsid w:val="0EB21A94"/>
    <w:rsid w:val="0ECF5A59"/>
    <w:rsid w:val="0ED168E7"/>
    <w:rsid w:val="0EDB6E6E"/>
    <w:rsid w:val="0EFF42CE"/>
    <w:rsid w:val="0F075562"/>
    <w:rsid w:val="0F1935DF"/>
    <w:rsid w:val="0F1A64E0"/>
    <w:rsid w:val="0F1B7D03"/>
    <w:rsid w:val="0F292DAB"/>
    <w:rsid w:val="0F3A26DF"/>
    <w:rsid w:val="0F5A7965"/>
    <w:rsid w:val="0F5B1387"/>
    <w:rsid w:val="0F5F6650"/>
    <w:rsid w:val="0F711790"/>
    <w:rsid w:val="0F781459"/>
    <w:rsid w:val="0F815BCA"/>
    <w:rsid w:val="0F901E41"/>
    <w:rsid w:val="0FA71681"/>
    <w:rsid w:val="0FBE21B6"/>
    <w:rsid w:val="0FC4644C"/>
    <w:rsid w:val="0FC67436"/>
    <w:rsid w:val="0FD47DD8"/>
    <w:rsid w:val="0FDA5C70"/>
    <w:rsid w:val="0FDF728B"/>
    <w:rsid w:val="0FE13B35"/>
    <w:rsid w:val="10010DE7"/>
    <w:rsid w:val="102A1A5D"/>
    <w:rsid w:val="102B44C8"/>
    <w:rsid w:val="10541C8F"/>
    <w:rsid w:val="10857989"/>
    <w:rsid w:val="109A51DE"/>
    <w:rsid w:val="10A35C77"/>
    <w:rsid w:val="10A84B66"/>
    <w:rsid w:val="10B26E67"/>
    <w:rsid w:val="10E43559"/>
    <w:rsid w:val="10F620C4"/>
    <w:rsid w:val="11357601"/>
    <w:rsid w:val="115368F0"/>
    <w:rsid w:val="11773C89"/>
    <w:rsid w:val="117F0380"/>
    <w:rsid w:val="118045F5"/>
    <w:rsid w:val="118872C8"/>
    <w:rsid w:val="11980CFE"/>
    <w:rsid w:val="11AC41B0"/>
    <w:rsid w:val="11C33F2E"/>
    <w:rsid w:val="12507465"/>
    <w:rsid w:val="127D762D"/>
    <w:rsid w:val="12887C05"/>
    <w:rsid w:val="128D6FC9"/>
    <w:rsid w:val="12A26688"/>
    <w:rsid w:val="12DF1BDD"/>
    <w:rsid w:val="12F435C9"/>
    <w:rsid w:val="12FB0AD1"/>
    <w:rsid w:val="130B1A27"/>
    <w:rsid w:val="13AB6C67"/>
    <w:rsid w:val="13C20156"/>
    <w:rsid w:val="14086729"/>
    <w:rsid w:val="140B2954"/>
    <w:rsid w:val="14167224"/>
    <w:rsid w:val="1420761F"/>
    <w:rsid w:val="14446056"/>
    <w:rsid w:val="147167A1"/>
    <w:rsid w:val="14745D51"/>
    <w:rsid w:val="14885154"/>
    <w:rsid w:val="14BA2238"/>
    <w:rsid w:val="14C35937"/>
    <w:rsid w:val="14D21E77"/>
    <w:rsid w:val="14D93ABC"/>
    <w:rsid w:val="14F055ED"/>
    <w:rsid w:val="150F0695"/>
    <w:rsid w:val="152B4878"/>
    <w:rsid w:val="15470B40"/>
    <w:rsid w:val="15767708"/>
    <w:rsid w:val="15826B8D"/>
    <w:rsid w:val="15940B43"/>
    <w:rsid w:val="15BC782F"/>
    <w:rsid w:val="15CD4A25"/>
    <w:rsid w:val="15DE7A56"/>
    <w:rsid w:val="15E46F00"/>
    <w:rsid w:val="163A2FC4"/>
    <w:rsid w:val="16442050"/>
    <w:rsid w:val="16510D8B"/>
    <w:rsid w:val="16761AFD"/>
    <w:rsid w:val="167B14E0"/>
    <w:rsid w:val="17054011"/>
    <w:rsid w:val="17054146"/>
    <w:rsid w:val="17233804"/>
    <w:rsid w:val="176C19AD"/>
    <w:rsid w:val="177B5999"/>
    <w:rsid w:val="178F0780"/>
    <w:rsid w:val="17CF735C"/>
    <w:rsid w:val="17FA2946"/>
    <w:rsid w:val="1807150B"/>
    <w:rsid w:val="181E27FB"/>
    <w:rsid w:val="184647C4"/>
    <w:rsid w:val="185F31B6"/>
    <w:rsid w:val="18871757"/>
    <w:rsid w:val="188744BB"/>
    <w:rsid w:val="188B608C"/>
    <w:rsid w:val="18C37D20"/>
    <w:rsid w:val="18F433FC"/>
    <w:rsid w:val="190E326D"/>
    <w:rsid w:val="191503C5"/>
    <w:rsid w:val="19272CE2"/>
    <w:rsid w:val="19294302"/>
    <w:rsid w:val="198966EA"/>
    <w:rsid w:val="19C77A15"/>
    <w:rsid w:val="19C96FE5"/>
    <w:rsid w:val="19D32A67"/>
    <w:rsid w:val="19D433E0"/>
    <w:rsid w:val="19FA6497"/>
    <w:rsid w:val="1A190AEF"/>
    <w:rsid w:val="1A2024D1"/>
    <w:rsid w:val="1A5605E9"/>
    <w:rsid w:val="1A5B5EA0"/>
    <w:rsid w:val="1A661DAE"/>
    <w:rsid w:val="1A6946B4"/>
    <w:rsid w:val="1A740A60"/>
    <w:rsid w:val="1A821F87"/>
    <w:rsid w:val="1A9B3249"/>
    <w:rsid w:val="1AA67969"/>
    <w:rsid w:val="1AC011EF"/>
    <w:rsid w:val="1AC75042"/>
    <w:rsid w:val="1B3E07F2"/>
    <w:rsid w:val="1B4B1658"/>
    <w:rsid w:val="1B854A9A"/>
    <w:rsid w:val="1B8E0A51"/>
    <w:rsid w:val="1B966EEF"/>
    <w:rsid w:val="1BA32FFC"/>
    <w:rsid w:val="1BAC1126"/>
    <w:rsid w:val="1BC33A5C"/>
    <w:rsid w:val="1BCF7B5C"/>
    <w:rsid w:val="1BE9507B"/>
    <w:rsid w:val="1C007148"/>
    <w:rsid w:val="1C0C71B1"/>
    <w:rsid w:val="1C17644E"/>
    <w:rsid w:val="1C212AA1"/>
    <w:rsid w:val="1C256AA4"/>
    <w:rsid w:val="1C2E21D7"/>
    <w:rsid w:val="1C3E1334"/>
    <w:rsid w:val="1C4F03B0"/>
    <w:rsid w:val="1C5841A4"/>
    <w:rsid w:val="1C650B1A"/>
    <w:rsid w:val="1C9D14F3"/>
    <w:rsid w:val="1CAC5EDA"/>
    <w:rsid w:val="1CDF0421"/>
    <w:rsid w:val="1CEE2D5A"/>
    <w:rsid w:val="1CFB2835"/>
    <w:rsid w:val="1D4B34D5"/>
    <w:rsid w:val="1D8F7948"/>
    <w:rsid w:val="1D9120FB"/>
    <w:rsid w:val="1D9D3524"/>
    <w:rsid w:val="1D9F206C"/>
    <w:rsid w:val="1DA879AE"/>
    <w:rsid w:val="1DB21FDA"/>
    <w:rsid w:val="1DBA3C6D"/>
    <w:rsid w:val="1DBB7A07"/>
    <w:rsid w:val="1DC55869"/>
    <w:rsid w:val="1DCD2970"/>
    <w:rsid w:val="1DE33F41"/>
    <w:rsid w:val="1DF87945"/>
    <w:rsid w:val="1E2607BB"/>
    <w:rsid w:val="1E546BED"/>
    <w:rsid w:val="1E5A5FE4"/>
    <w:rsid w:val="1E5D313B"/>
    <w:rsid w:val="1E7A41E1"/>
    <w:rsid w:val="1E7C33AD"/>
    <w:rsid w:val="1E8963F2"/>
    <w:rsid w:val="1EC859C5"/>
    <w:rsid w:val="1EE022AE"/>
    <w:rsid w:val="1F45522F"/>
    <w:rsid w:val="1F531649"/>
    <w:rsid w:val="1F6750E7"/>
    <w:rsid w:val="1F6B0692"/>
    <w:rsid w:val="1F7B2168"/>
    <w:rsid w:val="1F967B1D"/>
    <w:rsid w:val="1FA0658E"/>
    <w:rsid w:val="1FB45A38"/>
    <w:rsid w:val="1FD96C74"/>
    <w:rsid w:val="1FE96984"/>
    <w:rsid w:val="2003107C"/>
    <w:rsid w:val="20077FD5"/>
    <w:rsid w:val="20084133"/>
    <w:rsid w:val="202D1ABB"/>
    <w:rsid w:val="20607ACB"/>
    <w:rsid w:val="208B1402"/>
    <w:rsid w:val="20904A6B"/>
    <w:rsid w:val="20AF1138"/>
    <w:rsid w:val="20BC4BA7"/>
    <w:rsid w:val="20C242E2"/>
    <w:rsid w:val="20C6533A"/>
    <w:rsid w:val="20C75D9C"/>
    <w:rsid w:val="21207DC4"/>
    <w:rsid w:val="21224142"/>
    <w:rsid w:val="212645AC"/>
    <w:rsid w:val="213F49AF"/>
    <w:rsid w:val="215A74B6"/>
    <w:rsid w:val="215F7D83"/>
    <w:rsid w:val="21645399"/>
    <w:rsid w:val="21724EE3"/>
    <w:rsid w:val="21A61A97"/>
    <w:rsid w:val="21CF315A"/>
    <w:rsid w:val="21DE514B"/>
    <w:rsid w:val="21F04E7F"/>
    <w:rsid w:val="221072CF"/>
    <w:rsid w:val="22402768"/>
    <w:rsid w:val="22430190"/>
    <w:rsid w:val="2276733C"/>
    <w:rsid w:val="228026A7"/>
    <w:rsid w:val="22B9629C"/>
    <w:rsid w:val="22BD5555"/>
    <w:rsid w:val="22CE22F0"/>
    <w:rsid w:val="22DA3695"/>
    <w:rsid w:val="23037899"/>
    <w:rsid w:val="23045086"/>
    <w:rsid w:val="23290648"/>
    <w:rsid w:val="232C638A"/>
    <w:rsid w:val="233D0598"/>
    <w:rsid w:val="234B1CC3"/>
    <w:rsid w:val="23562E92"/>
    <w:rsid w:val="236822AC"/>
    <w:rsid w:val="237F2F3B"/>
    <w:rsid w:val="238B4E5F"/>
    <w:rsid w:val="23D73694"/>
    <w:rsid w:val="23ED78C8"/>
    <w:rsid w:val="23F51BD6"/>
    <w:rsid w:val="240F7F39"/>
    <w:rsid w:val="24202B7E"/>
    <w:rsid w:val="2438705F"/>
    <w:rsid w:val="243A6885"/>
    <w:rsid w:val="24633784"/>
    <w:rsid w:val="2472601F"/>
    <w:rsid w:val="24763666"/>
    <w:rsid w:val="247E355D"/>
    <w:rsid w:val="249064A5"/>
    <w:rsid w:val="24AF1994"/>
    <w:rsid w:val="24EC02D7"/>
    <w:rsid w:val="25001BDC"/>
    <w:rsid w:val="25130AE7"/>
    <w:rsid w:val="25285FD7"/>
    <w:rsid w:val="252E1F46"/>
    <w:rsid w:val="25303B6B"/>
    <w:rsid w:val="257B6DF2"/>
    <w:rsid w:val="25A37089"/>
    <w:rsid w:val="25A9256D"/>
    <w:rsid w:val="25B61F3B"/>
    <w:rsid w:val="25E568FD"/>
    <w:rsid w:val="25F971B2"/>
    <w:rsid w:val="26515972"/>
    <w:rsid w:val="265754CC"/>
    <w:rsid w:val="26B56B32"/>
    <w:rsid w:val="26BB1EFF"/>
    <w:rsid w:val="26CE4947"/>
    <w:rsid w:val="26D15E22"/>
    <w:rsid w:val="26ED4D7E"/>
    <w:rsid w:val="27036B3C"/>
    <w:rsid w:val="27436593"/>
    <w:rsid w:val="27751D06"/>
    <w:rsid w:val="277C6DF8"/>
    <w:rsid w:val="27893DAB"/>
    <w:rsid w:val="27B70EA5"/>
    <w:rsid w:val="27D671E5"/>
    <w:rsid w:val="27D8208B"/>
    <w:rsid w:val="27F54F9D"/>
    <w:rsid w:val="27F979DF"/>
    <w:rsid w:val="280460E8"/>
    <w:rsid w:val="280D1577"/>
    <w:rsid w:val="284D700E"/>
    <w:rsid w:val="284D7021"/>
    <w:rsid w:val="285717B4"/>
    <w:rsid w:val="286D7229"/>
    <w:rsid w:val="287E4F92"/>
    <w:rsid w:val="28812CD5"/>
    <w:rsid w:val="288169C1"/>
    <w:rsid w:val="28DD2799"/>
    <w:rsid w:val="28F32A2C"/>
    <w:rsid w:val="28F434A6"/>
    <w:rsid w:val="28F60FCD"/>
    <w:rsid w:val="290731DA"/>
    <w:rsid w:val="292F2731"/>
    <w:rsid w:val="29541F53"/>
    <w:rsid w:val="295C5741"/>
    <w:rsid w:val="298760C9"/>
    <w:rsid w:val="299627B0"/>
    <w:rsid w:val="29C2560D"/>
    <w:rsid w:val="29D109AE"/>
    <w:rsid w:val="29D67050"/>
    <w:rsid w:val="29DB01C2"/>
    <w:rsid w:val="29E93CC4"/>
    <w:rsid w:val="29FA72A3"/>
    <w:rsid w:val="2A08442E"/>
    <w:rsid w:val="2A0D1AC1"/>
    <w:rsid w:val="2A0D20A5"/>
    <w:rsid w:val="2A437176"/>
    <w:rsid w:val="2A815839"/>
    <w:rsid w:val="2A905203"/>
    <w:rsid w:val="2A941EF8"/>
    <w:rsid w:val="2AA17990"/>
    <w:rsid w:val="2ABA24CE"/>
    <w:rsid w:val="2ABF7AE4"/>
    <w:rsid w:val="2AD50615"/>
    <w:rsid w:val="2AEB361F"/>
    <w:rsid w:val="2B2A59F0"/>
    <w:rsid w:val="2B481888"/>
    <w:rsid w:val="2B7C5494"/>
    <w:rsid w:val="2B91322F"/>
    <w:rsid w:val="2BA66747"/>
    <w:rsid w:val="2BA75A8F"/>
    <w:rsid w:val="2BDB73AB"/>
    <w:rsid w:val="2BE1784F"/>
    <w:rsid w:val="2C1B6A64"/>
    <w:rsid w:val="2C221746"/>
    <w:rsid w:val="2C622E1D"/>
    <w:rsid w:val="2C866B0B"/>
    <w:rsid w:val="2C8903AA"/>
    <w:rsid w:val="2CD47877"/>
    <w:rsid w:val="2CED3A1C"/>
    <w:rsid w:val="2CF47F19"/>
    <w:rsid w:val="2D142F62"/>
    <w:rsid w:val="2D353B28"/>
    <w:rsid w:val="2D7C1CBC"/>
    <w:rsid w:val="2DAD1071"/>
    <w:rsid w:val="2DB17965"/>
    <w:rsid w:val="2DCF7A25"/>
    <w:rsid w:val="2E0F126A"/>
    <w:rsid w:val="2E171EB4"/>
    <w:rsid w:val="2E3031D3"/>
    <w:rsid w:val="2E3600BD"/>
    <w:rsid w:val="2E515888"/>
    <w:rsid w:val="2E7862E1"/>
    <w:rsid w:val="2E7B2351"/>
    <w:rsid w:val="2E852ACB"/>
    <w:rsid w:val="2E910307"/>
    <w:rsid w:val="2E9E50B3"/>
    <w:rsid w:val="2EA063FC"/>
    <w:rsid w:val="2EB9643D"/>
    <w:rsid w:val="2EC87A47"/>
    <w:rsid w:val="2ED1493D"/>
    <w:rsid w:val="2EDD7713"/>
    <w:rsid w:val="2F43527A"/>
    <w:rsid w:val="2F723377"/>
    <w:rsid w:val="2FAA57C5"/>
    <w:rsid w:val="2FE14059"/>
    <w:rsid w:val="30004E27"/>
    <w:rsid w:val="30175286"/>
    <w:rsid w:val="30221B78"/>
    <w:rsid w:val="306C457A"/>
    <w:rsid w:val="307A0735"/>
    <w:rsid w:val="3091782D"/>
    <w:rsid w:val="309D5B23"/>
    <w:rsid w:val="30A136DE"/>
    <w:rsid w:val="30C53DB3"/>
    <w:rsid w:val="30C92E49"/>
    <w:rsid w:val="30E91417"/>
    <w:rsid w:val="310215F9"/>
    <w:rsid w:val="315E1E05"/>
    <w:rsid w:val="317628AF"/>
    <w:rsid w:val="3186617C"/>
    <w:rsid w:val="318D6193"/>
    <w:rsid w:val="31D9148B"/>
    <w:rsid w:val="320314B7"/>
    <w:rsid w:val="32036508"/>
    <w:rsid w:val="32296721"/>
    <w:rsid w:val="322F72FD"/>
    <w:rsid w:val="32460B27"/>
    <w:rsid w:val="324944C3"/>
    <w:rsid w:val="32566F80"/>
    <w:rsid w:val="325A50E4"/>
    <w:rsid w:val="32896368"/>
    <w:rsid w:val="32A73338"/>
    <w:rsid w:val="32B545E3"/>
    <w:rsid w:val="32B61185"/>
    <w:rsid w:val="32CC2D9E"/>
    <w:rsid w:val="32ED1252"/>
    <w:rsid w:val="32F56089"/>
    <w:rsid w:val="32F60E99"/>
    <w:rsid w:val="33152906"/>
    <w:rsid w:val="339A2E9C"/>
    <w:rsid w:val="339A376A"/>
    <w:rsid w:val="33AA6807"/>
    <w:rsid w:val="33C213EF"/>
    <w:rsid w:val="33DC77E0"/>
    <w:rsid w:val="33EC194A"/>
    <w:rsid w:val="33FD4DD7"/>
    <w:rsid w:val="340A6CF9"/>
    <w:rsid w:val="34506C8A"/>
    <w:rsid w:val="345501DB"/>
    <w:rsid w:val="346D1883"/>
    <w:rsid w:val="348D6289"/>
    <w:rsid w:val="34951FE2"/>
    <w:rsid w:val="34A63522"/>
    <w:rsid w:val="34B31726"/>
    <w:rsid w:val="34B923F3"/>
    <w:rsid w:val="34BD32E6"/>
    <w:rsid w:val="34BE440E"/>
    <w:rsid w:val="34C823CA"/>
    <w:rsid w:val="34CE2DFE"/>
    <w:rsid w:val="34D67FD4"/>
    <w:rsid w:val="34EF058C"/>
    <w:rsid w:val="34F24543"/>
    <w:rsid w:val="350275CA"/>
    <w:rsid w:val="3518676F"/>
    <w:rsid w:val="354118F1"/>
    <w:rsid w:val="354457B6"/>
    <w:rsid w:val="35450839"/>
    <w:rsid w:val="35597D80"/>
    <w:rsid w:val="355A7A84"/>
    <w:rsid w:val="355E0625"/>
    <w:rsid w:val="35700280"/>
    <w:rsid w:val="35703208"/>
    <w:rsid w:val="35730794"/>
    <w:rsid w:val="357373EE"/>
    <w:rsid w:val="3575576B"/>
    <w:rsid w:val="35831D37"/>
    <w:rsid w:val="358A766C"/>
    <w:rsid w:val="35A5417C"/>
    <w:rsid w:val="36032F7B"/>
    <w:rsid w:val="361A789C"/>
    <w:rsid w:val="36305ECE"/>
    <w:rsid w:val="36600406"/>
    <w:rsid w:val="36607EC0"/>
    <w:rsid w:val="36667103"/>
    <w:rsid w:val="366A2FFA"/>
    <w:rsid w:val="36C563C1"/>
    <w:rsid w:val="36C84370"/>
    <w:rsid w:val="36CD522A"/>
    <w:rsid w:val="36D52B69"/>
    <w:rsid w:val="36E460F2"/>
    <w:rsid w:val="37353BCD"/>
    <w:rsid w:val="37411EE9"/>
    <w:rsid w:val="374270D1"/>
    <w:rsid w:val="375B081B"/>
    <w:rsid w:val="376E2C57"/>
    <w:rsid w:val="378B7270"/>
    <w:rsid w:val="37AF33BA"/>
    <w:rsid w:val="37C16C4A"/>
    <w:rsid w:val="37E001C7"/>
    <w:rsid w:val="37E312B6"/>
    <w:rsid w:val="37ED3CD4"/>
    <w:rsid w:val="380471EF"/>
    <w:rsid w:val="381256F7"/>
    <w:rsid w:val="381B2814"/>
    <w:rsid w:val="38260CE6"/>
    <w:rsid w:val="382B20B3"/>
    <w:rsid w:val="383B2596"/>
    <w:rsid w:val="386B18F1"/>
    <w:rsid w:val="387869FF"/>
    <w:rsid w:val="388F4F9A"/>
    <w:rsid w:val="389C422C"/>
    <w:rsid w:val="38B97422"/>
    <w:rsid w:val="38CE1FCA"/>
    <w:rsid w:val="38E11272"/>
    <w:rsid w:val="392846FD"/>
    <w:rsid w:val="3940475D"/>
    <w:rsid w:val="394A58A6"/>
    <w:rsid w:val="399D7242"/>
    <w:rsid w:val="39B32F0A"/>
    <w:rsid w:val="39FA4695"/>
    <w:rsid w:val="3A045A85"/>
    <w:rsid w:val="3A0E4B07"/>
    <w:rsid w:val="3A3951BD"/>
    <w:rsid w:val="3A5306CC"/>
    <w:rsid w:val="3A667F7C"/>
    <w:rsid w:val="3A6F4C1B"/>
    <w:rsid w:val="3A7631F8"/>
    <w:rsid w:val="3A7E7074"/>
    <w:rsid w:val="3A9348AC"/>
    <w:rsid w:val="3A943CF9"/>
    <w:rsid w:val="3ACC6FCF"/>
    <w:rsid w:val="3AD43138"/>
    <w:rsid w:val="3AD750F9"/>
    <w:rsid w:val="3ADB1676"/>
    <w:rsid w:val="3AE03E05"/>
    <w:rsid w:val="3AF5427D"/>
    <w:rsid w:val="3B233D6F"/>
    <w:rsid w:val="3B402B49"/>
    <w:rsid w:val="3B4E14F1"/>
    <w:rsid w:val="3B6464E6"/>
    <w:rsid w:val="3B67074C"/>
    <w:rsid w:val="3B9F3746"/>
    <w:rsid w:val="3BA64AD4"/>
    <w:rsid w:val="3BEB0612"/>
    <w:rsid w:val="3C0F76A6"/>
    <w:rsid w:val="3C2A2F41"/>
    <w:rsid w:val="3C333E8E"/>
    <w:rsid w:val="3C413CFC"/>
    <w:rsid w:val="3C4165AB"/>
    <w:rsid w:val="3C4816E7"/>
    <w:rsid w:val="3C720E5A"/>
    <w:rsid w:val="3C770EB3"/>
    <w:rsid w:val="3C954BA0"/>
    <w:rsid w:val="3CAC01F5"/>
    <w:rsid w:val="3CD64C57"/>
    <w:rsid w:val="3D275D80"/>
    <w:rsid w:val="3D646587"/>
    <w:rsid w:val="3D776468"/>
    <w:rsid w:val="3D8927DF"/>
    <w:rsid w:val="3D9C0D25"/>
    <w:rsid w:val="3DC02E5F"/>
    <w:rsid w:val="3DCF6379"/>
    <w:rsid w:val="3DDA6CB7"/>
    <w:rsid w:val="3E0F4BE6"/>
    <w:rsid w:val="3E1B56EB"/>
    <w:rsid w:val="3E252766"/>
    <w:rsid w:val="3E607CEF"/>
    <w:rsid w:val="3E6272DD"/>
    <w:rsid w:val="3E6350CC"/>
    <w:rsid w:val="3EA14340"/>
    <w:rsid w:val="3EB36C4F"/>
    <w:rsid w:val="3EBA203B"/>
    <w:rsid w:val="3ED61682"/>
    <w:rsid w:val="3EF94F1B"/>
    <w:rsid w:val="3F421A1B"/>
    <w:rsid w:val="3F551B38"/>
    <w:rsid w:val="3F656A54"/>
    <w:rsid w:val="3F8D2B5B"/>
    <w:rsid w:val="3F9E1D98"/>
    <w:rsid w:val="3FA6205F"/>
    <w:rsid w:val="3FF658FE"/>
    <w:rsid w:val="400A3CA8"/>
    <w:rsid w:val="4028352D"/>
    <w:rsid w:val="40317E0E"/>
    <w:rsid w:val="40C95846"/>
    <w:rsid w:val="40E67DD1"/>
    <w:rsid w:val="4116537C"/>
    <w:rsid w:val="413B6A81"/>
    <w:rsid w:val="41720FB5"/>
    <w:rsid w:val="417E7959"/>
    <w:rsid w:val="418211DE"/>
    <w:rsid w:val="41867D0A"/>
    <w:rsid w:val="41AC0F0B"/>
    <w:rsid w:val="41D85C61"/>
    <w:rsid w:val="4206052A"/>
    <w:rsid w:val="420F4A55"/>
    <w:rsid w:val="421D12B0"/>
    <w:rsid w:val="421F2753"/>
    <w:rsid w:val="423C1DB6"/>
    <w:rsid w:val="424E1E1C"/>
    <w:rsid w:val="42781C9C"/>
    <w:rsid w:val="42876CE2"/>
    <w:rsid w:val="42884794"/>
    <w:rsid w:val="42B85D36"/>
    <w:rsid w:val="42BA6C89"/>
    <w:rsid w:val="42BD12B8"/>
    <w:rsid w:val="42D55C9F"/>
    <w:rsid w:val="42FB299D"/>
    <w:rsid w:val="430B0D5F"/>
    <w:rsid w:val="4326474D"/>
    <w:rsid w:val="432D23B8"/>
    <w:rsid w:val="43321A37"/>
    <w:rsid w:val="4367494A"/>
    <w:rsid w:val="436B1ED7"/>
    <w:rsid w:val="43D34AD5"/>
    <w:rsid w:val="43EA7C3D"/>
    <w:rsid w:val="441741FD"/>
    <w:rsid w:val="449A0420"/>
    <w:rsid w:val="44A24E36"/>
    <w:rsid w:val="44AD6C80"/>
    <w:rsid w:val="44DD72E9"/>
    <w:rsid w:val="44F244F6"/>
    <w:rsid w:val="44FC5765"/>
    <w:rsid w:val="450C10A3"/>
    <w:rsid w:val="454D7D6F"/>
    <w:rsid w:val="457C7350"/>
    <w:rsid w:val="459C7553"/>
    <w:rsid w:val="459E44D0"/>
    <w:rsid w:val="45A13DB4"/>
    <w:rsid w:val="45BD2BB6"/>
    <w:rsid w:val="45FD799A"/>
    <w:rsid w:val="46535ED6"/>
    <w:rsid w:val="465515D1"/>
    <w:rsid w:val="46737CA9"/>
    <w:rsid w:val="467B090B"/>
    <w:rsid w:val="46904CBF"/>
    <w:rsid w:val="469B160E"/>
    <w:rsid w:val="46BD5FDF"/>
    <w:rsid w:val="46C50F93"/>
    <w:rsid w:val="470E352E"/>
    <w:rsid w:val="4722522C"/>
    <w:rsid w:val="47277AB1"/>
    <w:rsid w:val="4741177C"/>
    <w:rsid w:val="474F61ED"/>
    <w:rsid w:val="47562054"/>
    <w:rsid w:val="479916EE"/>
    <w:rsid w:val="47E2045B"/>
    <w:rsid w:val="48223734"/>
    <w:rsid w:val="483E6094"/>
    <w:rsid w:val="486D24D6"/>
    <w:rsid w:val="4871692F"/>
    <w:rsid w:val="48717D2D"/>
    <w:rsid w:val="48741A99"/>
    <w:rsid w:val="488241D3"/>
    <w:rsid w:val="48992E50"/>
    <w:rsid w:val="48EE3617"/>
    <w:rsid w:val="492D1440"/>
    <w:rsid w:val="4961203A"/>
    <w:rsid w:val="496E7F48"/>
    <w:rsid w:val="498875C7"/>
    <w:rsid w:val="49E03BAC"/>
    <w:rsid w:val="49FB0C7D"/>
    <w:rsid w:val="4A3D35C3"/>
    <w:rsid w:val="4A4842FE"/>
    <w:rsid w:val="4A5447D8"/>
    <w:rsid w:val="4A88227A"/>
    <w:rsid w:val="4AA52FE5"/>
    <w:rsid w:val="4ABE24EE"/>
    <w:rsid w:val="4AC8136C"/>
    <w:rsid w:val="4AC935A4"/>
    <w:rsid w:val="4AF13892"/>
    <w:rsid w:val="4B095E75"/>
    <w:rsid w:val="4B1D5ED6"/>
    <w:rsid w:val="4B257098"/>
    <w:rsid w:val="4B2772B4"/>
    <w:rsid w:val="4B2C110D"/>
    <w:rsid w:val="4B3519D1"/>
    <w:rsid w:val="4B355DD7"/>
    <w:rsid w:val="4B620C76"/>
    <w:rsid w:val="4B6467E1"/>
    <w:rsid w:val="4B7C72F5"/>
    <w:rsid w:val="4BAB187B"/>
    <w:rsid w:val="4BAD20AE"/>
    <w:rsid w:val="4BAE524E"/>
    <w:rsid w:val="4BBB3F05"/>
    <w:rsid w:val="4C5B5467"/>
    <w:rsid w:val="4C9F7F20"/>
    <w:rsid w:val="4CAF57B3"/>
    <w:rsid w:val="4CB30DFF"/>
    <w:rsid w:val="4CB37051"/>
    <w:rsid w:val="4CC3656C"/>
    <w:rsid w:val="4CC40A26"/>
    <w:rsid w:val="4CCF7709"/>
    <w:rsid w:val="4CDC729F"/>
    <w:rsid w:val="4CE74F4D"/>
    <w:rsid w:val="4CEB7B6C"/>
    <w:rsid w:val="4CFD496D"/>
    <w:rsid w:val="4D036395"/>
    <w:rsid w:val="4D0E41A2"/>
    <w:rsid w:val="4D471547"/>
    <w:rsid w:val="4D4B1038"/>
    <w:rsid w:val="4D5E7F78"/>
    <w:rsid w:val="4D64659D"/>
    <w:rsid w:val="4DB52955"/>
    <w:rsid w:val="4DB61A25"/>
    <w:rsid w:val="4DC76724"/>
    <w:rsid w:val="4DE80F7C"/>
    <w:rsid w:val="4DF046C4"/>
    <w:rsid w:val="4DF551E8"/>
    <w:rsid w:val="4E08779C"/>
    <w:rsid w:val="4E345F70"/>
    <w:rsid w:val="4E37780E"/>
    <w:rsid w:val="4E3E0B9C"/>
    <w:rsid w:val="4E46195B"/>
    <w:rsid w:val="4E4A2B90"/>
    <w:rsid w:val="4E4C4D02"/>
    <w:rsid w:val="4E6D04BC"/>
    <w:rsid w:val="4E79371D"/>
    <w:rsid w:val="4E7C3473"/>
    <w:rsid w:val="4E992277"/>
    <w:rsid w:val="4EAD000C"/>
    <w:rsid w:val="4F8E7901"/>
    <w:rsid w:val="4F9941D8"/>
    <w:rsid w:val="4FA373C9"/>
    <w:rsid w:val="4FAB286E"/>
    <w:rsid w:val="4FD86DCF"/>
    <w:rsid w:val="50145029"/>
    <w:rsid w:val="501E06F7"/>
    <w:rsid w:val="50370E1A"/>
    <w:rsid w:val="50454A71"/>
    <w:rsid w:val="5047790E"/>
    <w:rsid w:val="50531056"/>
    <w:rsid w:val="50892385"/>
    <w:rsid w:val="509A5790"/>
    <w:rsid w:val="509C2F34"/>
    <w:rsid w:val="509E1DC6"/>
    <w:rsid w:val="50F47C38"/>
    <w:rsid w:val="510E6260"/>
    <w:rsid w:val="51192BF7"/>
    <w:rsid w:val="51391386"/>
    <w:rsid w:val="513D513B"/>
    <w:rsid w:val="51440EDA"/>
    <w:rsid w:val="5199164C"/>
    <w:rsid w:val="51B86EB8"/>
    <w:rsid w:val="51BE72E2"/>
    <w:rsid w:val="51CB6634"/>
    <w:rsid w:val="521628A6"/>
    <w:rsid w:val="525323A2"/>
    <w:rsid w:val="526C0F9A"/>
    <w:rsid w:val="52782786"/>
    <w:rsid w:val="52A038C0"/>
    <w:rsid w:val="52BD3B94"/>
    <w:rsid w:val="52D47D21"/>
    <w:rsid w:val="52D9591B"/>
    <w:rsid w:val="52EF48F9"/>
    <w:rsid w:val="530F48B5"/>
    <w:rsid w:val="532269F2"/>
    <w:rsid w:val="533B716D"/>
    <w:rsid w:val="534C5B09"/>
    <w:rsid w:val="534D3630"/>
    <w:rsid w:val="53893BF7"/>
    <w:rsid w:val="53CE598B"/>
    <w:rsid w:val="53DA3991"/>
    <w:rsid w:val="53EF387A"/>
    <w:rsid w:val="53FD2184"/>
    <w:rsid w:val="542767C6"/>
    <w:rsid w:val="5428261D"/>
    <w:rsid w:val="54321731"/>
    <w:rsid w:val="54321802"/>
    <w:rsid w:val="543A1E06"/>
    <w:rsid w:val="544D38E7"/>
    <w:rsid w:val="545E469E"/>
    <w:rsid w:val="54851772"/>
    <w:rsid w:val="54BA1EB0"/>
    <w:rsid w:val="54D34B5D"/>
    <w:rsid w:val="54D45DB6"/>
    <w:rsid w:val="54DC5FB2"/>
    <w:rsid w:val="54DD48EA"/>
    <w:rsid w:val="550D751A"/>
    <w:rsid w:val="550E1A60"/>
    <w:rsid w:val="55555F8A"/>
    <w:rsid w:val="557E1092"/>
    <w:rsid w:val="55945546"/>
    <w:rsid w:val="55981327"/>
    <w:rsid w:val="55D36055"/>
    <w:rsid w:val="55DD24B5"/>
    <w:rsid w:val="55FB7373"/>
    <w:rsid w:val="5600146A"/>
    <w:rsid w:val="5627460C"/>
    <w:rsid w:val="5628363C"/>
    <w:rsid w:val="56484AF7"/>
    <w:rsid w:val="566975E3"/>
    <w:rsid w:val="56764C4B"/>
    <w:rsid w:val="56932419"/>
    <w:rsid w:val="56952922"/>
    <w:rsid w:val="56A93395"/>
    <w:rsid w:val="56AB6FEB"/>
    <w:rsid w:val="56B20379"/>
    <w:rsid w:val="56C8194B"/>
    <w:rsid w:val="56CC19C0"/>
    <w:rsid w:val="571A349A"/>
    <w:rsid w:val="571D34A2"/>
    <w:rsid w:val="57240B67"/>
    <w:rsid w:val="572D17AE"/>
    <w:rsid w:val="574742CD"/>
    <w:rsid w:val="574A6804"/>
    <w:rsid w:val="575F374C"/>
    <w:rsid w:val="5761117B"/>
    <w:rsid w:val="578F282A"/>
    <w:rsid w:val="57AA72A2"/>
    <w:rsid w:val="57B574FE"/>
    <w:rsid w:val="57B80753"/>
    <w:rsid w:val="57E26A3C"/>
    <w:rsid w:val="581F57AD"/>
    <w:rsid w:val="583F686A"/>
    <w:rsid w:val="584951DA"/>
    <w:rsid w:val="585B1BBA"/>
    <w:rsid w:val="585E3271"/>
    <w:rsid w:val="586F26F8"/>
    <w:rsid w:val="58881905"/>
    <w:rsid w:val="58A92C32"/>
    <w:rsid w:val="58DA100A"/>
    <w:rsid w:val="58E74C4E"/>
    <w:rsid w:val="58F20F01"/>
    <w:rsid w:val="58FC078F"/>
    <w:rsid w:val="5945309A"/>
    <w:rsid w:val="59545718"/>
    <w:rsid w:val="5968455E"/>
    <w:rsid w:val="59C83A10"/>
    <w:rsid w:val="59FA5250"/>
    <w:rsid w:val="59FA687F"/>
    <w:rsid w:val="59FD5DAF"/>
    <w:rsid w:val="5A511C57"/>
    <w:rsid w:val="5A5E3DBB"/>
    <w:rsid w:val="5AB74301"/>
    <w:rsid w:val="5ADC7DC1"/>
    <w:rsid w:val="5AE97972"/>
    <w:rsid w:val="5B165586"/>
    <w:rsid w:val="5B1F1D55"/>
    <w:rsid w:val="5B1F2EC1"/>
    <w:rsid w:val="5B22161E"/>
    <w:rsid w:val="5B661732"/>
    <w:rsid w:val="5B6F4A8B"/>
    <w:rsid w:val="5B767DEE"/>
    <w:rsid w:val="5B874CEC"/>
    <w:rsid w:val="5B992F88"/>
    <w:rsid w:val="5BCC25F1"/>
    <w:rsid w:val="5BF53F09"/>
    <w:rsid w:val="5C526DCC"/>
    <w:rsid w:val="5C5A03FD"/>
    <w:rsid w:val="5C675762"/>
    <w:rsid w:val="5C6B4BEC"/>
    <w:rsid w:val="5C6E0C8B"/>
    <w:rsid w:val="5CA249EC"/>
    <w:rsid w:val="5CDB3F5F"/>
    <w:rsid w:val="5CF86D69"/>
    <w:rsid w:val="5D126C47"/>
    <w:rsid w:val="5D423F2C"/>
    <w:rsid w:val="5D6F25AC"/>
    <w:rsid w:val="5D772B8E"/>
    <w:rsid w:val="5D976BDC"/>
    <w:rsid w:val="5DC25A71"/>
    <w:rsid w:val="5DC66B35"/>
    <w:rsid w:val="5E08205F"/>
    <w:rsid w:val="5E16276C"/>
    <w:rsid w:val="5E2B279A"/>
    <w:rsid w:val="5E3C66E1"/>
    <w:rsid w:val="5E781EA8"/>
    <w:rsid w:val="5E813FEA"/>
    <w:rsid w:val="5E9F3F3D"/>
    <w:rsid w:val="5EA639BA"/>
    <w:rsid w:val="5EB414E4"/>
    <w:rsid w:val="5EC7698C"/>
    <w:rsid w:val="5EC76AFC"/>
    <w:rsid w:val="5EC92704"/>
    <w:rsid w:val="5ED826A8"/>
    <w:rsid w:val="5EE66E12"/>
    <w:rsid w:val="5EFA0B0F"/>
    <w:rsid w:val="5F0A60CA"/>
    <w:rsid w:val="5F0B4CA1"/>
    <w:rsid w:val="5F277CCA"/>
    <w:rsid w:val="5F724D74"/>
    <w:rsid w:val="5FA36AB1"/>
    <w:rsid w:val="5FDD0021"/>
    <w:rsid w:val="5FE63041"/>
    <w:rsid w:val="5FF250F0"/>
    <w:rsid w:val="60161335"/>
    <w:rsid w:val="602A5000"/>
    <w:rsid w:val="603348F9"/>
    <w:rsid w:val="60372203"/>
    <w:rsid w:val="603C32DC"/>
    <w:rsid w:val="607B111A"/>
    <w:rsid w:val="60BF2A4A"/>
    <w:rsid w:val="61195CD6"/>
    <w:rsid w:val="612652F7"/>
    <w:rsid w:val="61410605"/>
    <w:rsid w:val="61891004"/>
    <w:rsid w:val="61F2540D"/>
    <w:rsid w:val="61FF75D7"/>
    <w:rsid w:val="62045801"/>
    <w:rsid w:val="624C1682"/>
    <w:rsid w:val="626544F2"/>
    <w:rsid w:val="62837FD3"/>
    <w:rsid w:val="628F39F1"/>
    <w:rsid w:val="629678BF"/>
    <w:rsid w:val="62E3797B"/>
    <w:rsid w:val="62F94390"/>
    <w:rsid w:val="638135AD"/>
    <w:rsid w:val="638E407C"/>
    <w:rsid w:val="63950C76"/>
    <w:rsid w:val="63A44C72"/>
    <w:rsid w:val="63E37DC4"/>
    <w:rsid w:val="64957B4F"/>
    <w:rsid w:val="64A75B91"/>
    <w:rsid w:val="650049A6"/>
    <w:rsid w:val="65082AB5"/>
    <w:rsid w:val="65464F99"/>
    <w:rsid w:val="65741524"/>
    <w:rsid w:val="65832FFF"/>
    <w:rsid w:val="65872F6A"/>
    <w:rsid w:val="658C0745"/>
    <w:rsid w:val="659C0112"/>
    <w:rsid w:val="65D04378"/>
    <w:rsid w:val="65E94C70"/>
    <w:rsid w:val="663B028A"/>
    <w:rsid w:val="66432B9F"/>
    <w:rsid w:val="66492935"/>
    <w:rsid w:val="664F7370"/>
    <w:rsid w:val="66AD628C"/>
    <w:rsid w:val="66B73D94"/>
    <w:rsid w:val="66C634CD"/>
    <w:rsid w:val="66C73043"/>
    <w:rsid w:val="66CE1149"/>
    <w:rsid w:val="66F619F5"/>
    <w:rsid w:val="670F0ED0"/>
    <w:rsid w:val="67562704"/>
    <w:rsid w:val="67E73BFB"/>
    <w:rsid w:val="680B2B70"/>
    <w:rsid w:val="681C1AF7"/>
    <w:rsid w:val="68385D95"/>
    <w:rsid w:val="683C5CF5"/>
    <w:rsid w:val="685149EB"/>
    <w:rsid w:val="685735D6"/>
    <w:rsid w:val="689526D7"/>
    <w:rsid w:val="68A42F00"/>
    <w:rsid w:val="68B378E2"/>
    <w:rsid w:val="68CA1553"/>
    <w:rsid w:val="68E52A30"/>
    <w:rsid w:val="68FF45DA"/>
    <w:rsid w:val="69320EA6"/>
    <w:rsid w:val="6957694B"/>
    <w:rsid w:val="69584176"/>
    <w:rsid w:val="695B222E"/>
    <w:rsid w:val="697B0A9F"/>
    <w:rsid w:val="69931944"/>
    <w:rsid w:val="69B833BE"/>
    <w:rsid w:val="69F92A2C"/>
    <w:rsid w:val="6A1F142A"/>
    <w:rsid w:val="6A5A5E9D"/>
    <w:rsid w:val="6AB03A53"/>
    <w:rsid w:val="6AB44268"/>
    <w:rsid w:val="6AE12B83"/>
    <w:rsid w:val="6B087005"/>
    <w:rsid w:val="6B224CDC"/>
    <w:rsid w:val="6B234BEC"/>
    <w:rsid w:val="6B394F8B"/>
    <w:rsid w:val="6B3C2B69"/>
    <w:rsid w:val="6B493515"/>
    <w:rsid w:val="6B4C26F3"/>
    <w:rsid w:val="6B5A0EAD"/>
    <w:rsid w:val="6B6164A3"/>
    <w:rsid w:val="6B724E9B"/>
    <w:rsid w:val="6B7358AA"/>
    <w:rsid w:val="6B7D0AFE"/>
    <w:rsid w:val="6BCC3284"/>
    <w:rsid w:val="6C425E1B"/>
    <w:rsid w:val="6C645093"/>
    <w:rsid w:val="6C81461E"/>
    <w:rsid w:val="6C8F566D"/>
    <w:rsid w:val="6CA55037"/>
    <w:rsid w:val="6CCD603E"/>
    <w:rsid w:val="6CFC1466"/>
    <w:rsid w:val="6D3025ED"/>
    <w:rsid w:val="6D62100A"/>
    <w:rsid w:val="6DBB4A2C"/>
    <w:rsid w:val="6DD46398"/>
    <w:rsid w:val="6E405915"/>
    <w:rsid w:val="6E4C59C4"/>
    <w:rsid w:val="6E632386"/>
    <w:rsid w:val="6E9A3775"/>
    <w:rsid w:val="6ECF5BA1"/>
    <w:rsid w:val="6EFC687C"/>
    <w:rsid w:val="6F3271C3"/>
    <w:rsid w:val="6F4333A0"/>
    <w:rsid w:val="6F4864FD"/>
    <w:rsid w:val="6F4C43E7"/>
    <w:rsid w:val="6F6269F4"/>
    <w:rsid w:val="6F820A18"/>
    <w:rsid w:val="6FAD00F2"/>
    <w:rsid w:val="6FDF4BE1"/>
    <w:rsid w:val="6FE7297E"/>
    <w:rsid w:val="6FEC6252"/>
    <w:rsid w:val="701B08E6"/>
    <w:rsid w:val="70451A9D"/>
    <w:rsid w:val="705A3FCD"/>
    <w:rsid w:val="705F4C76"/>
    <w:rsid w:val="706278CA"/>
    <w:rsid w:val="706A53C9"/>
    <w:rsid w:val="706D1D62"/>
    <w:rsid w:val="706F50E3"/>
    <w:rsid w:val="707A5DAA"/>
    <w:rsid w:val="70820965"/>
    <w:rsid w:val="70844071"/>
    <w:rsid w:val="708B25D7"/>
    <w:rsid w:val="709D579F"/>
    <w:rsid w:val="70DE203F"/>
    <w:rsid w:val="70ED5946"/>
    <w:rsid w:val="70F03B20"/>
    <w:rsid w:val="710302D6"/>
    <w:rsid w:val="7133163D"/>
    <w:rsid w:val="71357785"/>
    <w:rsid w:val="713A4D9B"/>
    <w:rsid w:val="71445BB4"/>
    <w:rsid w:val="71737908"/>
    <w:rsid w:val="717948DB"/>
    <w:rsid w:val="71850AA6"/>
    <w:rsid w:val="71A51882"/>
    <w:rsid w:val="71B903B6"/>
    <w:rsid w:val="71C14C53"/>
    <w:rsid w:val="71DE3C9F"/>
    <w:rsid w:val="71F60DDD"/>
    <w:rsid w:val="71FF08BC"/>
    <w:rsid w:val="72086C48"/>
    <w:rsid w:val="72140C44"/>
    <w:rsid w:val="72192C03"/>
    <w:rsid w:val="72231CD3"/>
    <w:rsid w:val="7236143B"/>
    <w:rsid w:val="72A404EA"/>
    <w:rsid w:val="72BA43E6"/>
    <w:rsid w:val="72C158A5"/>
    <w:rsid w:val="72D57472"/>
    <w:rsid w:val="72E12E98"/>
    <w:rsid w:val="73131D48"/>
    <w:rsid w:val="73230234"/>
    <w:rsid w:val="73525DC0"/>
    <w:rsid w:val="73673A99"/>
    <w:rsid w:val="737557DA"/>
    <w:rsid w:val="737E5413"/>
    <w:rsid w:val="738B18DE"/>
    <w:rsid w:val="73A10058"/>
    <w:rsid w:val="73C274B3"/>
    <w:rsid w:val="73F14D76"/>
    <w:rsid w:val="74131B35"/>
    <w:rsid w:val="743B30F6"/>
    <w:rsid w:val="746C5BB4"/>
    <w:rsid w:val="748E249E"/>
    <w:rsid w:val="74962C31"/>
    <w:rsid w:val="74B33326"/>
    <w:rsid w:val="74B72488"/>
    <w:rsid w:val="74C55512"/>
    <w:rsid w:val="74DF0134"/>
    <w:rsid w:val="74E81CFB"/>
    <w:rsid w:val="751D70E0"/>
    <w:rsid w:val="7526460B"/>
    <w:rsid w:val="755F1275"/>
    <w:rsid w:val="758B2F20"/>
    <w:rsid w:val="75A961E7"/>
    <w:rsid w:val="75BE243F"/>
    <w:rsid w:val="75C11006"/>
    <w:rsid w:val="75D27C98"/>
    <w:rsid w:val="75D752AF"/>
    <w:rsid w:val="75F80E61"/>
    <w:rsid w:val="75FB0F9D"/>
    <w:rsid w:val="76106CC0"/>
    <w:rsid w:val="761169A6"/>
    <w:rsid w:val="761E6A3A"/>
    <w:rsid w:val="762D4ECF"/>
    <w:rsid w:val="763B279A"/>
    <w:rsid w:val="767119BB"/>
    <w:rsid w:val="7680049F"/>
    <w:rsid w:val="769675B0"/>
    <w:rsid w:val="76C35BE8"/>
    <w:rsid w:val="76C770D1"/>
    <w:rsid w:val="76D67117"/>
    <w:rsid w:val="76FE3510"/>
    <w:rsid w:val="770715E7"/>
    <w:rsid w:val="77177A43"/>
    <w:rsid w:val="771A740A"/>
    <w:rsid w:val="7731383A"/>
    <w:rsid w:val="77725F5E"/>
    <w:rsid w:val="77893524"/>
    <w:rsid w:val="77C16217"/>
    <w:rsid w:val="77D87BA8"/>
    <w:rsid w:val="77DF0129"/>
    <w:rsid w:val="77E141C3"/>
    <w:rsid w:val="7819395D"/>
    <w:rsid w:val="782D6BA4"/>
    <w:rsid w:val="78304EBB"/>
    <w:rsid w:val="7837744E"/>
    <w:rsid w:val="783C3E86"/>
    <w:rsid w:val="784C2756"/>
    <w:rsid w:val="78755C89"/>
    <w:rsid w:val="787B473A"/>
    <w:rsid w:val="78991E2B"/>
    <w:rsid w:val="78C3616D"/>
    <w:rsid w:val="79785543"/>
    <w:rsid w:val="798E6C41"/>
    <w:rsid w:val="79A454DE"/>
    <w:rsid w:val="79D46726"/>
    <w:rsid w:val="79D60E5C"/>
    <w:rsid w:val="79EE0E19"/>
    <w:rsid w:val="7A0969F8"/>
    <w:rsid w:val="7A1B6420"/>
    <w:rsid w:val="7A1D61A4"/>
    <w:rsid w:val="7A212795"/>
    <w:rsid w:val="7A333D97"/>
    <w:rsid w:val="7A39018D"/>
    <w:rsid w:val="7A393001"/>
    <w:rsid w:val="7A440A39"/>
    <w:rsid w:val="7A4647B1"/>
    <w:rsid w:val="7A6300D6"/>
    <w:rsid w:val="7A635363"/>
    <w:rsid w:val="7A64419D"/>
    <w:rsid w:val="7A925C48"/>
    <w:rsid w:val="7AE54A15"/>
    <w:rsid w:val="7B0F7299"/>
    <w:rsid w:val="7B5C3F36"/>
    <w:rsid w:val="7B636D3F"/>
    <w:rsid w:val="7B884B92"/>
    <w:rsid w:val="7B9A7625"/>
    <w:rsid w:val="7BC462D5"/>
    <w:rsid w:val="7BE0662D"/>
    <w:rsid w:val="7C105077"/>
    <w:rsid w:val="7C2D3AC3"/>
    <w:rsid w:val="7C39627A"/>
    <w:rsid w:val="7C591356"/>
    <w:rsid w:val="7C5C650E"/>
    <w:rsid w:val="7C6A6435"/>
    <w:rsid w:val="7C7204A1"/>
    <w:rsid w:val="7CBB1486"/>
    <w:rsid w:val="7CC06A9D"/>
    <w:rsid w:val="7CD329FF"/>
    <w:rsid w:val="7D1410D0"/>
    <w:rsid w:val="7D3B2110"/>
    <w:rsid w:val="7D4A1A9F"/>
    <w:rsid w:val="7D605871"/>
    <w:rsid w:val="7D936E93"/>
    <w:rsid w:val="7DA056B1"/>
    <w:rsid w:val="7DA243F4"/>
    <w:rsid w:val="7DBD303D"/>
    <w:rsid w:val="7DC205F3"/>
    <w:rsid w:val="7E2A6EFF"/>
    <w:rsid w:val="7E3314F0"/>
    <w:rsid w:val="7E431733"/>
    <w:rsid w:val="7E696567"/>
    <w:rsid w:val="7E8077BA"/>
    <w:rsid w:val="7E8D0C00"/>
    <w:rsid w:val="7E9A5B86"/>
    <w:rsid w:val="7EA25F3C"/>
    <w:rsid w:val="7EA534E2"/>
    <w:rsid w:val="7EB67FC9"/>
    <w:rsid w:val="7ED44A81"/>
    <w:rsid w:val="7EE03F4B"/>
    <w:rsid w:val="7F183D8B"/>
    <w:rsid w:val="7F1878D3"/>
    <w:rsid w:val="7F5C62C7"/>
    <w:rsid w:val="7F8F09A8"/>
    <w:rsid w:val="7F943A4E"/>
    <w:rsid w:val="7F9A3262"/>
    <w:rsid w:val="7FD66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_x0000_s2101"/>
        <o:r id="V:Rule2" type="connector" idref="#_x0000_s2102"/>
        <o:r id="V:Rule3" type="connector" idref="#_x0000_s2103"/>
        <o:r id="V:Rule4" type="connector" idref="#_x0000_s2104"/>
        <o:r id="V:Rule5" type="connector" idref="#_x0000_s2105"/>
        <o:r id="V:Rule6" type="connector" idref="#_x0000_s2106"/>
        <o:r id="V:Rule7" type="connector" idref="#_x0000_s2107"/>
        <o:r id="V:Rule8" type="connector" idref="#_x0000_s2108"/>
        <o:r id="V:Rule9" type="connector" idref="#_x0000_s2112"/>
        <o:r id="V:Rule10" type="connector" idref="#_x0000_s2113"/>
        <o:r id="V:Rule11" type="connector" idref="#_x0000_s2114"/>
        <o:r id="V:Rule12" type="connector" idref="#_x0000_s2115"/>
        <o:r id="V:Rule13" type="connector" idref="#_x0000_s2116"/>
        <o:r id="V:Rule14" type="connector" idref="#_x0000_s2121"/>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99"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6">
    <w:name w:val="heading 1"/>
    <w:basedOn w:val="7"/>
    <w:next w:val="1"/>
    <w:qFormat/>
    <w:uiPriority w:val="0"/>
    <w:pPr>
      <w:spacing w:line="578" w:lineRule="atLeast"/>
      <w:jc w:val="left"/>
      <w:outlineLvl w:val="0"/>
    </w:pPr>
    <w:rPr>
      <w:rFonts w:ascii="黑体" w:hAnsi="Times New Roman"/>
      <w:i w:val="0"/>
      <w:kern w:val="44"/>
      <w:sz w:val="44"/>
    </w:rPr>
  </w:style>
  <w:style w:type="paragraph" w:styleId="5">
    <w:name w:val="heading 2"/>
    <w:basedOn w:val="1"/>
    <w:next w:val="1"/>
    <w:link w:val="71"/>
    <w:qFormat/>
    <w:uiPriority w:val="0"/>
    <w:pPr>
      <w:keepNext/>
      <w:keepLines/>
      <w:spacing w:before="260" w:after="260" w:line="416" w:lineRule="auto"/>
      <w:outlineLvl w:val="1"/>
    </w:pPr>
    <w:rPr>
      <w:rFonts w:ascii="Cambria" w:hAnsi="Cambria"/>
      <w:b/>
      <w:bCs/>
      <w:sz w:val="32"/>
      <w:szCs w:val="32"/>
    </w:rPr>
  </w:style>
  <w:style w:type="character" w:default="1" w:styleId="41">
    <w:name w:val="Default Paragraph Font"/>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3"/>
    <w:link w:val="78"/>
    <w:qFormat/>
    <w:uiPriority w:val="0"/>
    <w:rPr>
      <w:rFonts w:ascii="宋体" w:hAnsi="Courier New"/>
      <w:szCs w:val="21"/>
    </w:rPr>
  </w:style>
  <w:style w:type="paragraph" w:customStyle="1" w:styleId="3">
    <w:name w:val="Default"/>
    <w:basedOn w:val="4"/>
    <w:unhideWhenUsed/>
    <w:qFormat/>
    <w:uiPriority w:val="0"/>
    <w:pPr>
      <w:widowControl w:val="0"/>
      <w:autoSpaceDE w:val="0"/>
      <w:autoSpaceDN w:val="0"/>
      <w:adjustRightInd w:val="0"/>
    </w:pPr>
    <w:rPr>
      <w:rFonts w:hint="eastAsia" w:ascii="..ì." w:hAnsi="..ì." w:eastAsia="..ì." w:cs="Times New Roman"/>
      <w:color w:val="000000"/>
      <w:sz w:val="24"/>
      <w:szCs w:val="22"/>
      <w:lang w:val="en-US" w:eastAsia="zh-CN" w:bidi="ar-SA"/>
    </w:rPr>
  </w:style>
  <w:style w:type="paragraph" w:customStyle="1" w:styleId="4">
    <w:name w:val="标题2"/>
    <w:basedOn w:val="5"/>
    <w:qFormat/>
    <w:uiPriority w:val="0"/>
    <w:pPr>
      <w:numPr>
        <w:ilvl w:val="1"/>
        <w:numId w:val="1"/>
      </w:numPr>
      <w:spacing w:before="0" w:after="0" w:line="440" w:lineRule="exact"/>
    </w:pPr>
    <w:rPr>
      <w:kern w:val="0"/>
      <w:sz w:val="28"/>
    </w:rPr>
  </w:style>
  <w:style w:type="paragraph" w:styleId="7">
    <w:name w:val="Subtitle"/>
    <w:basedOn w:val="1"/>
    <w:qFormat/>
    <w:uiPriority w:val="0"/>
    <w:pPr>
      <w:adjustRightInd w:val="0"/>
      <w:spacing w:line="480" w:lineRule="atLeast"/>
      <w:jc w:val="center"/>
      <w:textAlignment w:val="baseline"/>
    </w:pPr>
    <w:rPr>
      <w:rFonts w:ascii="Arial" w:hAnsi="Arial" w:eastAsia="黑体"/>
      <w:i/>
      <w:sz w:val="24"/>
    </w:rPr>
  </w:style>
  <w:style w:type="paragraph" w:styleId="8">
    <w:name w:val="toc 7"/>
    <w:basedOn w:val="1"/>
    <w:next w:val="1"/>
    <w:qFormat/>
    <w:uiPriority w:val="0"/>
    <w:pPr>
      <w:ind w:left="2520" w:leftChars="1200"/>
    </w:pPr>
  </w:style>
  <w:style w:type="paragraph" w:styleId="9">
    <w:name w:val="E-mail Signature"/>
    <w:basedOn w:val="1"/>
    <w:next w:val="10"/>
    <w:qFormat/>
    <w:uiPriority w:val="99"/>
    <w:pPr>
      <w:spacing w:line="460" w:lineRule="exact"/>
      <w:ind w:firstLine="200"/>
    </w:pPr>
    <w:rPr>
      <w:rFonts w:ascii="Times New Roman" w:hAnsi="Times New Roman" w:cs="Times New Roman"/>
    </w:rPr>
  </w:style>
  <w:style w:type="paragraph" w:customStyle="1" w:styleId="10">
    <w:name w:val="文章"/>
    <w:next w:val="11"/>
    <w:qFormat/>
    <w:uiPriority w:val="0"/>
    <w:pPr>
      <w:ind w:firstLine="480"/>
      <w:jc w:val="center"/>
    </w:pPr>
    <w:rPr>
      <w:rFonts w:ascii="Times New Roman" w:hAnsi="Times New Roman" w:eastAsia="宋体" w:cs="Times New Roman"/>
      <w:kern w:val="2"/>
      <w:sz w:val="26"/>
      <w:szCs w:val="22"/>
      <w:lang w:val="en-US" w:eastAsia="zh-CN" w:bidi="ar-SA"/>
    </w:rPr>
  </w:style>
  <w:style w:type="paragraph" w:styleId="11">
    <w:name w:val="List"/>
    <w:basedOn w:val="1"/>
    <w:next w:val="12"/>
    <w:qFormat/>
    <w:uiPriority w:val="0"/>
    <w:pPr>
      <w:spacing w:line="320" w:lineRule="exact"/>
      <w:jc w:val="center"/>
    </w:pPr>
    <w:rPr>
      <w:sz w:val="20"/>
      <w:szCs w:val="20"/>
    </w:rPr>
  </w:style>
  <w:style w:type="paragraph" w:styleId="12">
    <w:name w:val="List Bullet 2"/>
    <w:basedOn w:val="1"/>
    <w:next w:val="13"/>
    <w:qFormat/>
    <w:uiPriority w:val="0"/>
    <w:pPr>
      <w:numPr>
        <w:ilvl w:val="0"/>
        <w:numId w:val="2"/>
      </w:numPr>
    </w:pPr>
  </w:style>
  <w:style w:type="paragraph" w:customStyle="1" w:styleId="13">
    <w:name w:val="xl70"/>
    <w:basedOn w:val="1"/>
    <w:next w:val="14"/>
    <w:qFormat/>
    <w:uiPriority w:val="0"/>
    <w:pPr>
      <w:widowControl/>
      <w:spacing w:before="280" w:after="280" w:line="240" w:lineRule="auto"/>
      <w:ind w:firstLine="0"/>
    </w:pPr>
    <w:rPr>
      <w:rFonts w:ascii="宋体"/>
    </w:rPr>
  </w:style>
  <w:style w:type="paragraph" w:customStyle="1" w:styleId="14">
    <w:name w:val="正文缩进1"/>
    <w:basedOn w:val="1"/>
    <w:next w:val="15"/>
    <w:qFormat/>
    <w:uiPriority w:val="0"/>
    <w:pPr>
      <w:ind w:firstLine="420"/>
    </w:pPr>
    <w:rPr>
      <w:rFonts w:ascii="宋体"/>
      <w:sz w:val="28"/>
    </w:rPr>
  </w:style>
  <w:style w:type="paragraph" w:customStyle="1" w:styleId="15">
    <w:name w:val="td1"/>
    <w:basedOn w:val="1"/>
    <w:next w:val="1"/>
    <w:qFormat/>
    <w:uiPriority w:val="0"/>
    <w:pPr>
      <w:widowControl/>
      <w:spacing w:before="280" w:after="280" w:line="300" w:lineRule="atLeast"/>
      <w:ind w:firstLine="200"/>
    </w:pPr>
    <w:rPr>
      <w:color w:val="000000"/>
      <w:sz w:val="18"/>
    </w:rPr>
  </w:style>
  <w:style w:type="paragraph" w:styleId="16">
    <w:name w:val="Normal Indent"/>
    <w:basedOn w:val="1"/>
    <w:link w:val="72"/>
    <w:qFormat/>
    <w:uiPriority w:val="0"/>
    <w:pPr>
      <w:ind w:firstLine="420"/>
    </w:pPr>
    <w:rPr>
      <w:sz w:val="24"/>
    </w:rPr>
  </w:style>
  <w:style w:type="paragraph" w:styleId="17">
    <w:name w:val="Document Map"/>
    <w:basedOn w:val="1"/>
    <w:qFormat/>
    <w:uiPriority w:val="0"/>
    <w:pPr>
      <w:shd w:val="clear" w:color="auto" w:fill="000080"/>
    </w:pPr>
  </w:style>
  <w:style w:type="paragraph" w:styleId="18">
    <w:name w:val="annotation text"/>
    <w:basedOn w:val="1"/>
    <w:link w:val="81"/>
    <w:qFormat/>
    <w:uiPriority w:val="0"/>
    <w:pPr>
      <w:jc w:val="left"/>
    </w:pPr>
    <w:rPr>
      <w:szCs w:val="20"/>
    </w:rPr>
  </w:style>
  <w:style w:type="paragraph" w:styleId="19">
    <w:name w:val="Body Text"/>
    <w:basedOn w:val="1"/>
    <w:link w:val="70"/>
    <w:unhideWhenUsed/>
    <w:qFormat/>
    <w:uiPriority w:val="99"/>
    <w:pPr>
      <w:spacing w:after="120"/>
    </w:pPr>
  </w:style>
  <w:style w:type="paragraph" w:styleId="20">
    <w:name w:val="Body Text Indent"/>
    <w:basedOn w:val="1"/>
    <w:qFormat/>
    <w:uiPriority w:val="0"/>
    <w:pPr>
      <w:ind w:firstLine="420" w:firstLineChars="200"/>
    </w:pPr>
  </w:style>
  <w:style w:type="paragraph" w:styleId="21">
    <w:name w:val="toc 5"/>
    <w:basedOn w:val="1"/>
    <w:next w:val="1"/>
    <w:qFormat/>
    <w:uiPriority w:val="0"/>
    <w:pPr>
      <w:ind w:left="1680" w:leftChars="800"/>
    </w:pPr>
  </w:style>
  <w:style w:type="paragraph" w:styleId="22">
    <w:name w:val="toc 3"/>
    <w:basedOn w:val="1"/>
    <w:next w:val="1"/>
    <w:qFormat/>
    <w:uiPriority w:val="0"/>
    <w:pPr>
      <w:ind w:left="840" w:leftChars="400"/>
    </w:pPr>
  </w:style>
  <w:style w:type="paragraph" w:styleId="23">
    <w:name w:val="toc 8"/>
    <w:basedOn w:val="1"/>
    <w:next w:val="1"/>
    <w:qFormat/>
    <w:uiPriority w:val="0"/>
    <w:pPr>
      <w:ind w:left="2940" w:leftChars="1400"/>
    </w:pPr>
  </w:style>
  <w:style w:type="paragraph" w:styleId="24">
    <w:name w:val="Date"/>
    <w:basedOn w:val="1"/>
    <w:next w:val="1"/>
    <w:qFormat/>
    <w:uiPriority w:val="0"/>
    <w:rPr>
      <w:szCs w:val="20"/>
    </w:rPr>
  </w:style>
  <w:style w:type="paragraph" w:styleId="25">
    <w:name w:val="Body Text Indent 2"/>
    <w:basedOn w:val="1"/>
    <w:link w:val="74"/>
    <w:qFormat/>
    <w:uiPriority w:val="0"/>
    <w:pPr>
      <w:spacing w:line="360" w:lineRule="auto"/>
      <w:ind w:firstLine="480"/>
    </w:pPr>
    <w:rPr>
      <w:rFonts w:ascii="宋体" w:hAnsi="宋体"/>
      <w:sz w:val="24"/>
      <w:szCs w:val="28"/>
    </w:rPr>
  </w:style>
  <w:style w:type="paragraph" w:styleId="26">
    <w:name w:val="Balloon Text"/>
    <w:basedOn w:val="1"/>
    <w:link w:val="82"/>
    <w:qFormat/>
    <w:uiPriority w:val="0"/>
    <w:rPr>
      <w:sz w:val="18"/>
      <w:szCs w:val="18"/>
    </w:rPr>
  </w:style>
  <w:style w:type="paragraph" w:styleId="27">
    <w:name w:val="footer"/>
    <w:basedOn w:val="1"/>
    <w:link w:val="75"/>
    <w:qFormat/>
    <w:uiPriority w:val="99"/>
    <w:pPr>
      <w:tabs>
        <w:tab w:val="center" w:pos="4153"/>
        <w:tab w:val="right" w:pos="8306"/>
      </w:tabs>
      <w:snapToGrid w:val="0"/>
      <w:jc w:val="left"/>
    </w:pPr>
    <w:rPr>
      <w:sz w:val="18"/>
      <w:szCs w:val="18"/>
    </w:rPr>
  </w:style>
  <w:style w:type="paragraph" w:styleId="28">
    <w:name w:val="header"/>
    <w:basedOn w:val="1"/>
    <w:link w:val="80"/>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style>
  <w:style w:type="paragraph" w:styleId="30">
    <w:name w:val="toc 4"/>
    <w:basedOn w:val="1"/>
    <w:next w:val="1"/>
    <w:qFormat/>
    <w:uiPriority w:val="0"/>
    <w:pPr>
      <w:ind w:left="1260" w:leftChars="600"/>
    </w:pPr>
  </w:style>
  <w:style w:type="paragraph" w:styleId="31">
    <w:name w:val="toc 6"/>
    <w:basedOn w:val="1"/>
    <w:next w:val="1"/>
    <w:qFormat/>
    <w:uiPriority w:val="0"/>
    <w:pPr>
      <w:ind w:left="2100" w:leftChars="1000"/>
    </w:pPr>
  </w:style>
  <w:style w:type="paragraph" w:styleId="32">
    <w:name w:val="Body Text Indent 3"/>
    <w:basedOn w:val="1"/>
    <w:qFormat/>
    <w:uiPriority w:val="0"/>
    <w:pPr>
      <w:spacing w:line="500" w:lineRule="exact"/>
      <w:ind w:firstLine="560" w:firstLineChars="200"/>
    </w:pPr>
    <w:rPr>
      <w:sz w:val="28"/>
      <w:szCs w:val="28"/>
    </w:rPr>
  </w:style>
  <w:style w:type="paragraph" w:styleId="33">
    <w:name w:val="toc 2"/>
    <w:basedOn w:val="1"/>
    <w:next w:val="9"/>
    <w:qFormat/>
    <w:uiPriority w:val="39"/>
    <w:pPr>
      <w:ind w:left="420" w:leftChars="200"/>
    </w:pPr>
  </w:style>
  <w:style w:type="paragraph" w:styleId="34">
    <w:name w:val="toc 9"/>
    <w:basedOn w:val="1"/>
    <w:next w:val="1"/>
    <w:qFormat/>
    <w:uiPriority w:val="0"/>
    <w:pPr>
      <w:ind w:left="3360" w:leftChars="1600"/>
    </w:pPr>
  </w:style>
  <w:style w:type="paragraph" w:styleId="35">
    <w:name w:val="Body Text 2"/>
    <w:basedOn w:val="1"/>
    <w:link w:val="76"/>
    <w:qFormat/>
    <w:uiPriority w:val="0"/>
    <w:pPr>
      <w:spacing w:line="480" w:lineRule="auto"/>
    </w:pPr>
  </w:style>
  <w:style w:type="paragraph" w:styleId="3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37">
    <w:name w:val="annotation subject"/>
    <w:basedOn w:val="18"/>
    <w:next w:val="18"/>
    <w:link w:val="69"/>
    <w:qFormat/>
    <w:uiPriority w:val="0"/>
    <w:rPr>
      <w:b/>
      <w:bCs/>
      <w:szCs w:val="22"/>
    </w:rPr>
  </w:style>
  <w:style w:type="paragraph" w:styleId="38">
    <w:name w:val="Body Text First Indent 2"/>
    <w:basedOn w:val="20"/>
    <w:qFormat/>
    <w:uiPriority w:val="0"/>
    <w:pPr>
      <w:ind w:left="420" w:leftChars="200"/>
    </w:pPr>
  </w:style>
  <w:style w:type="table" w:styleId="40">
    <w:name w:val="Table Grid"/>
    <w:basedOn w:val="39"/>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page number"/>
    <w:basedOn w:val="41"/>
    <w:qFormat/>
    <w:uiPriority w:val="0"/>
  </w:style>
  <w:style w:type="character" w:styleId="43">
    <w:name w:val="Hyperlink"/>
    <w:qFormat/>
    <w:uiPriority w:val="99"/>
    <w:rPr>
      <w:color w:val="0000FF"/>
      <w:u w:val="single"/>
    </w:rPr>
  </w:style>
  <w:style w:type="character" w:styleId="44">
    <w:name w:val="annotation reference"/>
    <w:qFormat/>
    <w:uiPriority w:val="99"/>
    <w:rPr>
      <w:sz w:val="21"/>
      <w:szCs w:val="21"/>
    </w:rPr>
  </w:style>
  <w:style w:type="paragraph" w:customStyle="1" w:styleId="45">
    <w:name w:val="纯文本1"/>
    <w:basedOn w:val="1"/>
    <w:qFormat/>
    <w:uiPriority w:val="0"/>
    <w:pPr>
      <w:adjustRightInd w:val="0"/>
    </w:pPr>
    <w:rPr>
      <w:rFonts w:ascii="宋体" w:hAnsi="Courier New"/>
      <w:szCs w:val="20"/>
    </w:rPr>
  </w:style>
  <w:style w:type="paragraph" w:customStyle="1" w:styleId="46">
    <w:name w:val="样式35"/>
    <w:next w:val="47"/>
    <w:qFormat/>
    <w:uiPriority w:val="0"/>
    <w:pPr>
      <w:widowControl w:val="0"/>
      <w:spacing w:line="312" w:lineRule="auto"/>
      <w:ind w:firstLine="567"/>
      <w:jc w:val="both"/>
    </w:pPr>
    <w:rPr>
      <w:rFonts w:ascii="宋体" w:hAnsi="Times New Roman" w:eastAsia="宋体" w:cs="Times New Roman"/>
      <w:kern w:val="2"/>
      <w:sz w:val="21"/>
      <w:szCs w:val="22"/>
      <w:lang w:val="en-US" w:eastAsia="zh-CN" w:bidi="ar-SA"/>
    </w:rPr>
  </w:style>
  <w:style w:type="paragraph" w:customStyle="1" w:styleId="47">
    <w:name w:val="font6"/>
    <w:basedOn w:val="1"/>
    <w:next w:val="33"/>
    <w:qFormat/>
    <w:uiPriority w:val="0"/>
    <w:pPr>
      <w:widowControl/>
      <w:spacing w:before="100" w:beforeLines="0" w:beforeAutospacing="1" w:after="100" w:afterLines="0" w:afterAutospacing="1"/>
      <w:jc w:val="left"/>
    </w:pPr>
    <w:rPr>
      <w:rFonts w:eastAsia="Arial Unicode MS"/>
      <w:kern w:val="0"/>
      <w:sz w:val="24"/>
    </w:rPr>
  </w:style>
  <w:style w:type="paragraph" w:customStyle="1" w:styleId="48">
    <w:name w:val="表格"/>
    <w:basedOn w:val="49"/>
    <w:next w:val="1"/>
    <w:autoRedefine/>
    <w:qFormat/>
    <w:uiPriority w:val="0"/>
    <w:pPr>
      <w:keepNext/>
      <w:adjustRightInd w:val="0"/>
      <w:spacing w:line="312" w:lineRule="atLeast"/>
      <w:jc w:val="center"/>
      <w:textAlignment w:val="baseline"/>
    </w:pPr>
    <w:rPr>
      <w:kern w:val="0"/>
      <w:sz w:val="21"/>
      <w:szCs w:val="20"/>
    </w:rPr>
  </w:style>
  <w:style w:type="paragraph" w:customStyle="1" w:styleId="49">
    <w:name w:val="无间隔1"/>
    <w:autoRedefine/>
    <w:qFormat/>
    <w:uiPriority w:val="1"/>
    <w:pPr>
      <w:widowControl w:val="0"/>
      <w:ind w:firstLine="520" w:firstLineChars="200"/>
    </w:pPr>
    <w:rPr>
      <w:rFonts w:ascii="Times New Roman" w:hAnsi="Times New Roman" w:eastAsia="宋体" w:cs="Times New Roman"/>
      <w:kern w:val="2"/>
      <w:sz w:val="26"/>
      <w:szCs w:val="26"/>
      <w:lang w:val="en-US" w:eastAsia="zh-CN" w:bidi="ar-SA"/>
    </w:rPr>
  </w:style>
  <w:style w:type="paragraph" w:customStyle="1" w:styleId="50">
    <w:name w:val="列出段落1"/>
    <w:basedOn w:val="1"/>
    <w:qFormat/>
    <w:uiPriority w:val="34"/>
    <w:pPr>
      <w:ind w:firstLine="420" w:firstLineChars="200"/>
    </w:pPr>
  </w:style>
  <w:style w:type="paragraph" w:customStyle="1" w:styleId="51">
    <w:name w:val="表格文字"/>
    <w:basedOn w:val="1"/>
    <w:qFormat/>
    <w:uiPriority w:val="0"/>
    <w:pPr>
      <w:jc w:val="center"/>
    </w:pPr>
    <w:rPr>
      <w:sz w:val="18"/>
    </w:rPr>
  </w:style>
  <w:style w:type="paragraph" w:customStyle="1" w:styleId="52">
    <w:name w:val="_Style 37"/>
    <w:semiHidden/>
    <w:qFormat/>
    <w:uiPriority w:val="99"/>
    <w:rPr>
      <w:rFonts w:ascii="Calibri" w:hAnsi="Calibri" w:eastAsia="宋体" w:cs="Times New Roman"/>
      <w:kern w:val="2"/>
      <w:sz w:val="21"/>
      <w:szCs w:val="22"/>
      <w:lang w:val="en-US" w:eastAsia="zh-CN" w:bidi="ar-SA"/>
    </w:rPr>
  </w:style>
  <w:style w:type="paragraph" w:customStyle="1" w:styleId="53">
    <w:name w:val="Char Char Char1 Char"/>
    <w:basedOn w:val="1"/>
    <w:qFormat/>
    <w:uiPriority w:val="0"/>
    <w:pPr>
      <w:widowControl/>
      <w:jc w:val="left"/>
    </w:pPr>
    <w:rPr>
      <w:rFonts w:ascii="宋体" w:hAnsi="宋体" w:cs="宋体"/>
      <w:kern w:val="0"/>
      <w:sz w:val="24"/>
      <w:szCs w:val="21"/>
    </w:rPr>
  </w:style>
  <w:style w:type="paragraph" w:customStyle="1" w:styleId="54">
    <w:name w:val="_Style 11"/>
    <w:basedOn w:val="1"/>
    <w:next w:val="19"/>
    <w:qFormat/>
    <w:uiPriority w:val="0"/>
    <w:pPr>
      <w:jc w:val="center"/>
    </w:pPr>
    <w:rPr>
      <w:rFonts w:ascii="Times New Roman" w:hAnsi="Times New Roman"/>
      <w:szCs w:val="20"/>
    </w:rPr>
  </w:style>
  <w:style w:type="paragraph" w:customStyle="1" w:styleId="55">
    <w:name w:val="表头"/>
    <w:basedOn w:val="1"/>
    <w:link w:val="79"/>
    <w:qFormat/>
    <w:uiPriority w:val="0"/>
    <w:pPr>
      <w:adjustRightInd w:val="0"/>
      <w:snapToGrid w:val="0"/>
      <w:jc w:val="center"/>
    </w:pPr>
    <w:rPr>
      <w:rFonts w:eastAsia="黑体"/>
      <w:sz w:val="24"/>
      <w:szCs w:val="28"/>
    </w:rPr>
  </w:style>
  <w:style w:type="paragraph" w:customStyle="1" w:styleId="56">
    <w:name w:val="p21"/>
    <w:basedOn w:val="1"/>
    <w:qFormat/>
    <w:uiPriority w:val="0"/>
    <w:pPr>
      <w:widowControl/>
      <w:spacing w:before="156" w:after="156" w:line="360" w:lineRule="auto"/>
      <w:ind w:firstLine="420"/>
    </w:pPr>
    <w:rPr>
      <w:color w:val="000000"/>
      <w:kern w:val="0"/>
      <w:sz w:val="24"/>
      <w:szCs w:val="24"/>
    </w:rPr>
  </w:style>
  <w:style w:type="paragraph" w:customStyle="1" w:styleId="57">
    <w:name w:val="缩进正文"/>
    <w:basedOn w:val="1"/>
    <w:qFormat/>
    <w:uiPriority w:val="0"/>
    <w:pPr>
      <w:snapToGrid w:val="0"/>
      <w:spacing w:line="380" w:lineRule="atLeast"/>
    </w:pPr>
    <w:rPr>
      <w:sz w:val="28"/>
      <w:szCs w:val="20"/>
    </w:rPr>
  </w:style>
  <w:style w:type="paragraph" w:styleId="58">
    <w:name w:val="List Paragraph"/>
    <w:basedOn w:val="1"/>
    <w:qFormat/>
    <w:uiPriority w:val="34"/>
    <w:pPr>
      <w:ind w:firstLine="420" w:firstLineChars="200"/>
    </w:pPr>
    <w:rPr>
      <w:szCs w:val="20"/>
    </w:rPr>
  </w:style>
  <w:style w:type="paragraph" w:customStyle="1" w:styleId="59">
    <w:name w:val="默认段落字体 Para Char Char Char Char"/>
    <w:basedOn w:val="1"/>
    <w:qFormat/>
    <w:uiPriority w:val="0"/>
    <w:rPr>
      <w:sz w:val="24"/>
    </w:rPr>
  </w:style>
  <w:style w:type="paragraph" w:customStyle="1" w:styleId="60">
    <w:name w:val="Char1"/>
    <w:basedOn w:val="1"/>
    <w:qFormat/>
    <w:uiPriority w:val="0"/>
    <w:pPr>
      <w:ind w:left="510"/>
    </w:pPr>
    <w:rPr>
      <w:szCs w:val="20"/>
    </w:rPr>
  </w:style>
  <w:style w:type="paragraph" w:customStyle="1" w:styleId="61">
    <w:name w:val="p0"/>
    <w:basedOn w:val="1"/>
    <w:qFormat/>
    <w:uiPriority w:val="0"/>
    <w:pPr>
      <w:widowControl/>
    </w:pPr>
    <w:rPr>
      <w:kern w:val="0"/>
      <w:szCs w:val="21"/>
    </w:rPr>
  </w:style>
  <w:style w:type="paragraph" w:customStyle="1" w:styleId="62">
    <w:name w:val="Char Char7 Char Char"/>
    <w:basedOn w:val="1"/>
    <w:qFormat/>
    <w:uiPriority w:val="0"/>
  </w:style>
  <w:style w:type="paragraph" w:customStyle="1" w:styleId="63">
    <w:name w:val="正文 New New New"/>
    <w:qFormat/>
    <w:uiPriority w:val="0"/>
    <w:pPr>
      <w:widowControl w:val="0"/>
      <w:jc w:val="both"/>
    </w:pPr>
    <w:rPr>
      <w:rFonts w:ascii="Calibri" w:hAnsi="Calibri" w:eastAsia="宋体" w:cs="Times New Roman"/>
      <w:kern w:val="2"/>
      <w:sz w:val="21"/>
      <w:lang w:val="en-US" w:eastAsia="zh-CN" w:bidi="ar-SA"/>
    </w:rPr>
  </w:style>
  <w:style w:type="paragraph" w:customStyle="1" w:styleId="64">
    <w:name w:val="表格文字1"/>
    <w:basedOn w:val="1"/>
    <w:qFormat/>
    <w:uiPriority w:val="0"/>
    <w:pPr>
      <w:spacing w:line="300" w:lineRule="exact"/>
      <w:jc w:val="center"/>
    </w:pPr>
    <w:rPr>
      <w:color w:val="000000"/>
      <w:szCs w:val="21"/>
    </w:rPr>
  </w:style>
  <w:style w:type="paragraph" w:customStyle="1" w:styleId="65">
    <w:name w:val="Char"/>
    <w:basedOn w:val="1"/>
    <w:next w:val="38"/>
    <w:qFormat/>
    <w:uiPriority w:val="0"/>
    <w:pPr>
      <w:spacing w:line="360" w:lineRule="auto"/>
    </w:pPr>
    <w:rPr>
      <w:sz w:val="24"/>
    </w:rPr>
  </w:style>
  <w:style w:type="paragraph" w:customStyle="1" w:styleId="66">
    <w:name w:val="Char2"/>
    <w:basedOn w:val="1"/>
    <w:next w:val="38"/>
    <w:qFormat/>
    <w:uiPriority w:val="0"/>
    <w:pPr>
      <w:spacing w:line="360" w:lineRule="auto"/>
    </w:pPr>
    <w:rPr>
      <w:sz w:val="24"/>
    </w:rPr>
  </w:style>
  <w:style w:type="paragraph" w:customStyle="1" w:styleId="67">
    <w:name w:val="Table Paragraph"/>
    <w:basedOn w:val="1"/>
    <w:qFormat/>
    <w:uiPriority w:val="0"/>
    <w:pPr>
      <w:widowControl/>
      <w:spacing w:line="360" w:lineRule="auto"/>
      <w:ind w:firstLine="480" w:firstLineChars="200"/>
      <w:jc w:val="left"/>
    </w:pPr>
    <w:rPr>
      <w:rFonts w:cs="Calibri"/>
      <w:color w:val="FF0000"/>
      <w:kern w:val="0"/>
      <w:sz w:val="22"/>
    </w:rPr>
  </w:style>
  <w:style w:type="paragraph" w:customStyle="1" w:styleId="68">
    <w:name w:val="正文1"/>
    <w:qFormat/>
    <w:uiPriority w:val="0"/>
    <w:pPr>
      <w:jc w:val="both"/>
    </w:pPr>
    <w:rPr>
      <w:rFonts w:ascii="Calibri" w:hAnsi="Calibri" w:eastAsia="宋体" w:cs="宋体"/>
      <w:kern w:val="2"/>
      <w:sz w:val="21"/>
      <w:szCs w:val="21"/>
      <w:lang w:val="en-US" w:eastAsia="zh-CN" w:bidi="ar-SA"/>
    </w:rPr>
  </w:style>
  <w:style w:type="character" w:customStyle="1" w:styleId="69">
    <w:name w:val="批注主题 Char"/>
    <w:link w:val="37"/>
    <w:qFormat/>
    <w:uiPriority w:val="0"/>
    <w:rPr>
      <w:b/>
      <w:bCs/>
      <w:kern w:val="2"/>
      <w:sz w:val="21"/>
      <w:szCs w:val="22"/>
    </w:rPr>
  </w:style>
  <w:style w:type="character" w:customStyle="1" w:styleId="70">
    <w:name w:val="正文文本 Char"/>
    <w:link w:val="19"/>
    <w:qFormat/>
    <w:uiPriority w:val="99"/>
    <w:rPr>
      <w:rFonts w:ascii="Calibri" w:hAnsi="Calibri"/>
      <w:kern w:val="2"/>
      <w:sz w:val="21"/>
      <w:szCs w:val="22"/>
    </w:rPr>
  </w:style>
  <w:style w:type="character" w:customStyle="1" w:styleId="71">
    <w:name w:val="标题 2 Char"/>
    <w:link w:val="5"/>
    <w:semiHidden/>
    <w:qFormat/>
    <w:uiPriority w:val="0"/>
    <w:rPr>
      <w:rFonts w:ascii="Cambria" w:hAnsi="Cambria" w:eastAsia="宋体" w:cs="Times New Roman"/>
      <w:b/>
      <w:bCs/>
      <w:kern w:val="2"/>
      <w:sz w:val="32"/>
      <w:szCs w:val="32"/>
    </w:rPr>
  </w:style>
  <w:style w:type="character" w:customStyle="1" w:styleId="72">
    <w:name w:val="正文缩进 Char"/>
    <w:link w:val="16"/>
    <w:qFormat/>
    <w:uiPriority w:val="0"/>
    <w:rPr>
      <w:kern w:val="2"/>
      <w:sz w:val="24"/>
      <w:szCs w:val="22"/>
    </w:rPr>
  </w:style>
  <w:style w:type="character" w:customStyle="1" w:styleId="73">
    <w:name w:val="logtext"/>
    <w:basedOn w:val="41"/>
    <w:qFormat/>
    <w:uiPriority w:val="0"/>
  </w:style>
  <w:style w:type="character" w:customStyle="1" w:styleId="74">
    <w:name w:val="正文文本缩进 2 Char"/>
    <w:link w:val="25"/>
    <w:qFormat/>
    <w:uiPriority w:val="0"/>
    <w:rPr>
      <w:rFonts w:ascii="宋体" w:hAnsi="宋体"/>
      <w:kern w:val="2"/>
      <w:sz w:val="24"/>
      <w:szCs w:val="28"/>
    </w:rPr>
  </w:style>
  <w:style w:type="character" w:customStyle="1" w:styleId="75">
    <w:name w:val="页脚 Char"/>
    <w:link w:val="27"/>
    <w:qFormat/>
    <w:uiPriority w:val="99"/>
    <w:rPr>
      <w:kern w:val="2"/>
      <w:sz w:val="18"/>
      <w:szCs w:val="18"/>
    </w:rPr>
  </w:style>
  <w:style w:type="character" w:customStyle="1" w:styleId="76">
    <w:name w:val="正文文本 2 Char"/>
    <w:link w:val="35"/>
    <w:qFormat/>
    <w:uiPriority w:val="0"/>
    <w:rPr>
      <w:kern w:val="2"/>
      <w:sz w:val="21"/>
      <w:szCs w:val="22"/>
    </w:rPr>
  </w:style>
  <w:style w:type="character" w:customStyle="1" w:styleId="77">
    <w:name w:val="纯文本 Char"/>
    <w:qFormat/>
    <w:uiPriority w:val="0"/>
    <w:rPr>
      <w:rFonts w:ascii="宋体" w:hAnsi="Courier New" w:cs="Courier New"/>
      <w:kern w:val="2"/>
      <w:sz w:val="21"/>
      <w:szCs w:val="21"/>
    </w:rPr>
  </w:style>
  <w:style w:type="character" w:customStyle="1" w:styleId="78">
    <w:name w:val="纯文本 Char1"/>
    <w:link w:val="2"/>
    <w:qFormat/>
    <w:uiPriority w:val="0"/>
    <w:rPr>
      <w:rFonts w:ascii="宋体" w:hAnsi="Courier New"/>
      <w:kern w:val="2"/>
      <w:sz w:val="21"/>
      <w:szCs w:val="21"/>
    </w:rPr>
  </w:style>
  <w:style w:type="character" w:customStyle="1" w:styleId="79">
    <w:name w:val="表头 Char"/>
    <w:link w:val="55"/>
    <w:qFormat/>
    <w:uiPriority w:val="0"/>
    <w:rPr>
      <w:rFonts w:eastAsia="黑体"/>
      <w:kern w:val="2"/>
      <w:sz w:val="24"/>
      <w:szCs w:val="28"/>
    </w:rPr>
  </w:style>
  <w:style w:type="character" w:customStyle="1" w:styleId="80">
    <w:name w:val="页眉 Char"/>
    <w:link w:val="28"/>
    <w:qFormat/>
    <w:uiPriority w:val="99"/>
    <w:rPr>
      <w:kern w:val="2"/>
      <w:sz w:val="18"/>
      <w:szCs w:val="18"/>
    </w:rPr>
  </w:style>
  <w:style w:type="character" w:customStyle="1" w:styleId="81">
    <w:name w:val="批注文字 Char"/>
    <w:link w:val="18"/>
    <w:qFormat/>
    <w:uiPriority w:val="0"/>
    <w:rPr>
      <w:kern w:val="2"/>
      <w:sz w:val="21"/>
    </w:rPr>
  </w:style>
  <w:style w:type="character" w:customStyle="1" w:styleId="82">
    <w:name w:val="批注框文本 Char"/>
    <w:link w:val="26"/>
    <w:qFormat/>
    <w:uiPriority w:val="0"/>
    <w:rPr>
      <w:kern w:val="2"/>
      <w:sz w:val="18"/>
      <w:szCs w:val="18"/>
    </w:rPr>
  </w:style>
  <w:style w:type="character" w:customStyle="1" w:styleId="83">
    <w:name w:val="h31"/>
    <w:qFormat/>
    <w:uiPriority w:val="0"/>
    <w:rPr>
      <w:sz w:val="21"/>
      <w:szCs w:val="21"/>
    </w:rPr>
  </w:style>
  <w:style w:type="table" w:customStyle="1" w:styleId="84">
    <w:name w:val="Table Normal"/>
    <w:semiHidden/>
    <w:unhideWhenUsed/>
    <w:qFormat/>
    <w:uiPriority w:val="0"/>
    <w:tblPr>
      <w:tblCellMar>
        <w:top w:w="0" w:type="dxa"/>
        <w:left w:w="0" w:type="dxa"/>
        <w:bottom w:w="0" w:type="dxa"/>
        <w:right w:w="0" w:type="dxa"/>
      </w:tblCellMar>
    </w:tblPr>
  </w:style>
  <w:style w:type="paragraph" w:customStyle="1" w:styleId="85">
    <w:name w:val="其他"/>
    <w:basedOn w:val="1"/>
    <w:qFormat/>
    <w:uiPriority w:val="0"/>
    <w:pPr>
      <w:spacing w:line="400" w:lineRule="auto"/>
      <w:ind w:firstLine="400"/>
    </w:pPr>
    <w:rPr>
      <w:rFonts w:ascii="宋体" w:hAnsi="宋体" w:cs="宋体"/>
    </w:rPr>
  </w:style>
  <w:style w:type="paragraph" w:customStyle="1" w:styleId="86">
    <w:name w:val="_Style 5"/>
    <w:qFormat/>
    <w:uiPriority w:val="0"/>
    <w:pPr>
      <w:widowControl w:val="0"/>
      <w:jc w:val="center"/>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4.emf"/><Relationship Id="rId16" Type="http://schemas.openxmlformats.org/officeDocument/2006/relationships/oleObject" Target="embeddings/oleObject3.bin"/><Relationship Id="rId15" Type="http://schemas.openxmlformats.org/officeDocument/2006/relationships/image" Target="media/image3.emf"/><Relationship Id="rId14" Type="http://schemas.openxmlformats.org/officeDocument/2006/relationships/image" Target="media/image2.emf"/><Relationship Id="rId13" Type="http://schemas.openxmlformats.org/officeDocument/2006/relationships/oleObject" Target="embeddings/oleObject2.bin"/><Relationship Id="rId12" Type="http://schemas.openxmlformats.org/officeDocument/2006/relationships/image" Target="media/image1.e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91"/>
    <customShpInfo spid="_x0000_s2092"/>
    <customShpInfo spid="_x0000_s2093"/>
    <customShpInfo spid="_x0000_s2094"/>
    <customShpInfo spid="_x0000_s2095"/>
    <customShpInfo spid="_x0000_s2096"/>
    <customShpInfo spid="_x0000_s2097"/>
    <customShpInfo spid="_x0000_s2098"/>
    <customShpInfo spid="_x0000_s2099"/>
    <customShpInfo spid="_x0000_s2100"/>
    <customShpInfo spid="_x0000_s2101"/>
    <customShpInfo spid="_x0000_s2102"/>
    <customShpInfo spid="_x0000_s2103"/>
    <customShpInfo spid="_x0000_s2104"/>
    <customShpInfo spid="_x0000_s2105"/>
    <customShpInfo spid="_x0000_s2106"/>
    <customShpInfo spid="_x0000_s2107"/>
    <customShpInfo spid="_x0000_s2108"/>
    <customShpInfo spid="_x0000_s2109"/>
    <customShpInfo spid="_x0000_s2110"/>
    <customShpInfo spid="_x0000_s2111"/>
    <customShpInfo spid="_x0000_s2112"/>
    <customShpInfo spid="_x0000_s2113"/>
    <customShpInfo spid="_x0000_s2114"/>
    <customShpInfo spid="_x0000_s2115"/>
    <customShpInfo spid="_x0000_s2116"/>
    <customShpInfo spid="_x0000_s2117"/>
    <customShpInfo spid="_x0000_s2118"/>
    <customShpInfo spid="_x0000_s2119"/>
    <customShpInfo spid="_x0000_s2120"/>
    <customShpInfo spid="_x0000_s2121"/>
    <customShpInfo spid="_x0000_s2122"/>
    <customShpInfo spid="_x0000_s2123"/>
    <customShpInfo spid="_x0000_s2090"/>
    <customShpInfo spid="_x0000_s2053"/>
    <customShpInfo spid="_x0000_s2050"/>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50</Pages>
  <Words>30006</Words>
  <Characters>34127</Characters>
  <Lines>345</Lines>
  <Paragraphs>97</Paragraphs>
  <TotalTime>296</TotalTime>
  <ScaleCrop>false</ScaleCrop>
  <LinksUpToDate>false</LinksUpToDate>
  <CharactersWithSpaces>34381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2022-08-02T01:36:00Z</dcterms:created>
  <dc:creator>Administrator</dc:creator>
  <cp:lastModifiedBy>Dear，李华</cp:lastModifiedBy>
  <cp:lastPrinted>2020-12-02T10:16:00Z</cp:lastPrinted>
  <dcterms:modified xsi:type="dcterms:W3CDTF">2025-06-03T07:52:01Z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C4A64767429143628638C69D10147F6B</vt:lpwstr>
  </property>
  <property fmtid="{D5CDD505-2E9C-101B-9397-08002B2CF9AE}" pid="4" name="KSOTemplateDocerSaveRecord">
    <vt:lpwstr>eyJoZGlkIjoiNDA4ZmVjMjE0NjNkYmFmNmIyNzBlZjRjNTQ5MmFiYjIiLCJ1c2VySWQiOiI0MTI2NzgwMjgifQ==</vt:lpwstr>
  </property>
</Properties>
</file>