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719" w:lineRule="exact"/>
      </w:pPr>
      <w:r>
        <w:t>重油开发公司 202</w:t>
      </w:r>
      <w:r>
        <w:rPr>
          <w:rFonts w:hint="eastAsia"/>
          <w:lang w:val="en-US" w:eastAsia="zh-CN"/>
        </w:rPr>
        <w:t>5</w:t>
      </w:r>
      <w:r>
        <w:t xml:space="preserve"> 年度危险废物污染环境</w:t>
      </w:r>
    </w:p>
    <w:p>
      <w:pPr>
        <w:spacing w:before="152"/>
        <w:ind w:left="3371" w:right="3371" w:firstLine="0"/>
        <w:jc w:val="center"/>
        <w:rPr>
          <w:rFonts w:hint="eastAsia" w:ascii="方正小标宋简体" w:eastAsia="方正小标宋简体"/>
          <w:b/>
          <w:sz w:val="44"/>
        </w:rPr>
      </w:pPr>
      <w:r>
        <w:rPr>
          <w:rFonts w:hint="eastAsia" w:ascii="方正小标宋简体" w:eastAsia="方正小标宋简体"/>
          <w:b/>
          <w:sz w:val="44"/>
        </w:rPr>
        <w:t>防治信息</w:t>
      </w:r>
    </w:p>
    <w:p>
      <w:pPr>
        <w:pStyle w:val="4"/>
        <w:spacing w:before="1"/>
        <w:rPr>
          <w:rFonts w:ascii="方正小标宋简体"/>
          <w:b/>
          <w:sz w:val="41"/>
        </w:rPr>
      </w:pPr>
    </w:p>
    <w:p>
      <w:pPr>
        <w:pStyle w:val="4"/>
        <w:spacing w:line="259" w:lineRule="auto"/>
        <w:ind w:left="120" w:right="117" w:firstLine="640"/>
        <w:jc w:val="both"/>
      </w:pPr>
      <w:r>
        <w:t>2020</w:t>
      </w:r>
      <w:r>
        <w:rPr>
          <w:spacing w:val="-44"/>
        </w:rPr>
        <w:t xml:space="preserve"> 年 </w:t>
      </w:r>
      <w:r>
        <w:t>9</w:t>
      </w:r>
      <w:r>
        <w:rPr>
          <w:spacing w:val="-44"/>
        </w:rPr>
        <w:t xml:space="preserve"> 月 </w:t>
      </w:r>
      <w:r>
        <w:t>1</w:t>
      </w:r>
      <w:r>
        <w:rPr>
          <w:spacing w:val="-13"/>
        </w:rPr>
        <w:t xml:space="preserve"> 日实施《固体废物污染环境防治法》第二</w:t>
      </w:r>
      <w:r>
        <w:rPr>
          <w:spacing w:val="-10"/>
          <w:w w:val="95"/>
        </w:rPr>
        <w:t xml:space="preserve">十九条第二款，产生固体废物的单位，应当及时公开固体废 物污染环境的防治信息，主动接受社会监督。重油开发公司 </w:t>
      </w:r>
      <w:r>
        <w:rPr>
          <w:spacing w:val="-10"/>
        </w:rPr>
        <w:t>现就危险废物污染防治信息公式如下：</w:t>
      </w:r>
    </w:p>
    <w:p>
      <w:pPr>
        <w:pStyle w:val="4"/>
        <w:spacing w:before="9"/>
        <w:ind w:left="760"/>
      </w:pPr>
      <w:r>
        <w:t>单位名称：重油开发公司</w:t>
      </w:r>
    </w:p>
    <w:p>
      <w:pPr>
        <w:pStyle w:val="4"/>
        <w:spacing w:before="43"/>
        <w:ind w:left="760"/>
      </w:pPr>
      <w:r>
        <w:t>组织机构代码：91650200715597998M</w:t>
      </w:r>
    </w:p>
    <w:p>
      <w:pPr>
        <w:pStyle w:val="4"/>
        <w:spacing w:before="46"/>
        <w:ind w:left="760"/>
        <w:rPr>
          <w:rFonts w:hint="eastAsia" w:eastAsia="方正仿宋简体"/>
          <w:lang w:eastAsia="zh-CN"/>
        </w:rPr>
      </w:pPr>
      <w:r>
        <w:t>主要负责人：</w:t>
      </w:r>
      <w:r>
        <w:rPr>
          <w:rFonts w:hint="eastAsia"/>
          <w:lang w:val="en-US" w:eastAsia="zh-CN"/>
        </w:rPr>
        <w:t>单朝晖</w:t>
      </w:r>
    </w:p>
    <w:p>
      <w:pPr>
        <w:pStyle w:val="4"/>
        <w:spacing w:before="42" w:line="259" w:lineRule="auto"/>
        <w:ind w:left="760" w:right="2817"/>
      </w:pPr>
      <w:r>
        <w:rPr>
          <w:spacing w:val="-5"/>
        </w:rPr>
        <w:t xml:space="preserve">注册地址：克拉玛依市玉盘路 </w:t>
      </w:r>
      <w:r>
        <w:t>40</w:t>
      </w:r>
      <w:r>
        <w:rPr>
          <w:spacing w:val="-33"/>
        </w:rPr>
        <w:t xml:space="preserve"> 号生产地址：克拉玛依市</w:t>
      </w:r>
    </w:p>
    <w:p>
      <w:pPr>
        <w:pStyle w:val="4"/>
        <w:spacing w:before="6"/>
        <w:ind w:left="760"/>
      </w:pPr>
      <w:r>
        <w:t>联系方式：0990-6881807</w:t>
      </w:r>
    </w:p>
    <w:p>
      <w:pPr>
        <w:pStyle w:val="4"/>
        <w:spacing w:before="43"/>
        <w:ind w:left="760"/>
      </w:pPr>
      <w:r>
        <w:t>生产经营和管理服务内容：陆上石油开采</w:t>
      </w:r>
    </w:p>
    <w:p>
      <w:pPr>
        <w:pStyle w:val="4"/>
        <w:tabs>
          <w:tab w:val="left" w:pos="5560"/>
        </w:tabs>
        <w:spacing w:before="43"/>
        <w:ind w:left="760"/>
      </w:pPr>
      <w:r>
        <w:t>产品：原油</w:t>
      </w:r>
      <w:r>
        <w:tab/>
      </w:r>
      <w:r>
        <w:t>规模：1</w:t>
      </w:r>
      <w:r>
        <w:rPr>
          <w:rFonts w:hint="eastAsia"/>
          <w:lang w:val="en-US" w:eastAsia="zh-CN"/>
        </w:rPr>
        <w:t>59</w:t>
      </w:r>
      <w:r>
        <w:rPr>
          <w:spacing w:val="-66"/>
        </w:rPr>
        <w:t xml:space="preserve"> </w:t>
      </w:r>
      <w:r>
        <w:t>万吨/年</w:t>
      </w:r>
    </w:p>
    <w:p>
      <w:pPr>
        <w:spacing w:after="0"/>
        <w:sectPr>
          <w:type w:val="continuous"/>
          <w:pgSz w:w="11910" w:h="16840"/>
          <w:pgMar w:top="1560" w:right="1680" w:bottom="280" w:left="1680" w:header="720" w:footer="720" w:gutter="0"/>
        </w:sectPr>
      </w:pPr>
    </w:p>
    <w:p>
      <w:pPr>
        <w:pStyle w:val="4"/>
        <w:rPr>
          <w:sz w:val="20"/>
        </w:rPr>
      </w:pPr>
    </w:p>
    <w:p>
      <w:pPr>
        <w:pStyle w:val="4"/>
        <w:spacing w:before="5"/>
        <w:rPr>
          <w:sz w:val="26"/>
        </w:rPr>
      </w:pPr>
    </w:p>
    <w:p>
      <w:pPr>
        <w:pStyle w:val="4"/>
        <w:spacing w:before="55"/>
        <w:ind w:left="4040"/>
        <w:rPr>
          <w:rFonts w:hint="eastAsia" w:ascii="宋体" w:eastAsia="宋体"/>
        </w:rPr>
      </w:pPr>
      <w:r>
        <w:rPr>
          <w:rFonts w:hint="eastAsia" w:ascii="宋体" w:eastAsia="宋体"/>
        </w:rPr>
        <w:t>重油开发公司危险废物产生处置情况表</w:t>
      </w:r>
    </w:p>
    <w:p>
      <w:pPr>
        <w:pStyle w:val="4"/>
        <w:spacing w:before="3"/>
        <w:rPr>
          <w:rFonts w:ascii="宋体"/>
          <w:sz w:val="8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3"/>
        <w:gridCol w:w="1455"/>
        <w:gridCol w:w="1335"/>
        <w:gridCol w:w="1896"/>
        <w:gridCol w:w="1350"/>
        <w:gridCol w:w="1995"/>
        <w:gridCol w:w="2309"/>
        <w:gridCol w:w="22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693" w:type="dxa"/>
          </w:tcPr>
          <w:p>
            <w:pPr>
              <w:pStyle w:val="9"/>
              <w:spacing w:before="25" w:line="242" w:lineRule="auto"/>
              <w:ind w:left="224" w:right="21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序号</w:t>
            </w:r>
          </w:p>
        </w:tc>
        <w:tc>
          <w:tcPr>
            <w:tcW w:w="1455" w:type="dxa"/>
          </w:tcPr>
          <w:p>
            <w:pPr>
              <w:pStyle w:val="9"/>
              <w:spacing w:before="180"/>
              <w:ind w:left="24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废物名称</w:t>
            </w:r>
          </w:p>
        </w:tc>
        <w:tc>
          <w:tcPr>
            <w:tcW w:w="1335" w:type="dxa"/>
          </w:tcPr>
          <w:p>
            <w:pPr>
              <w:pStyle w:val="9"/>
              <w:spacing w:before="180"/>
              <w:ind w:left="97" w:right="88"/>
              <w:rPr>
                <w:b/>
                <w:sz w:val="24"/>
              </w:rPr>
            </w:pPr>
            <w:r>
              <w:rPr>
                <w:b/>
                <w:sz w:val="24"/>
              </w:rPr>
              <w:t>废物代码</w:t>
            </w:r>
          </w:p>
        </w:tc>
        <w:tc>
          <w:tcPr>
            <w:tcW w:w="1896" w:type="dxa"/>
          </w:tcPr>
          <w:p>
            <w:pPr>
              <w:pStyle w:val="9"/>
              <w:spacing w:before="180"/>
              <w:ind w:left="46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产生环节</w:t>
            </w:r>
          </w:p>
        </w:tc>
        <w:tc>
          <w:tcPr>
            <w:tcW w:w="1350" w:type="dxa"/>
          </w:tcPr>
          <w:p>
            <w:pPr>
              <w:pStyle w:val="9"/>
              <w:spacing w:before="180"/>
              <w:ind w:left="19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危险特性</w:t>
            </w:r>
          </w:p>
        </w:tc>
        <w:tc>
          <w:tcPr>
            <w:tcW w:w="1995" w:type="dxa"/>
          </w:tcPr>
          <w:p>
            <w:pPr>
              <w:pStyle w:val="9"/>
              <w:spacing w:before="180"/>
              <w:ind w:left="109" w:right="-29"/>
              <w:jc w:val="left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计划产生量</w:t>
            </w:r>
            <w:r>
              <w:rPr>
                <w:b/>
                <w:sz w:val="24"/>
              </w:rPr>
              <w:t>（吨）</w:t>
            </w:r>
          </w:p>
        </w:tc>
        <w:tc>
          <w:tcPr>
            <w:tcW w:w="2309" w:type="dxa"/>
          </w:tcPr>
          <w:p>
            <w:pPr>
              <w:pStyle w:val="9"/>
              <w:spacing w:before="25"/>
              <w:ind w:left="292" w:right="280"/>
              <w:rPr>
                <w:b/>
                <w:sz w:val="24"/>
              </w:rPr>
            </w:pPr>
            <w:r>
              <w:rPr>
                <w:b/>
                <w:sz w:val="24"/>
              </w:rPr>
              <w:t>计划利用处置量</w:t>
            </w:r>
          </w:p>
          <w:p>
            <w:pPr>
              <w:pStyle w:val="9"/>
              <w:spacing w:before="4"/>
              <w:ind w:left="290" w:right="280"/>
              <w:rPr>
                <w:b/>
                <w:sz w:val="24"/>
              </w:rPr>
            </w:pPr>
            <w:r>
              <w:rPr>
                <w:b/>
                <w:sz w:val="24"/>
              </w:rPr>
              <w:t>（吨）</w:t>
            </w:r>
          </w:p>
        </w:tc>
        <w:tc>
          <w:tcPr>
            <w:tcW w:w="2260" w:type="dxa"/>
          </w:tcPr>
          <w:p>
            <w:pPr>
              <w:pStyle w:val="9"/>
              <w:spacing w:before="180"/>
              <w:ind w:left="64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处置去向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93" w:type="dxa"/>
          </w:tcPr>
          <w:p>
            <w:pPr>
              <w:pStyle w:val="9"/>
              <w:ind w:left="11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1455" w:type="dxa"/>
          </w:tcPr>
          <w:p>
            <w:pPr>
              <w:pStyle w:val="9"/>
              <w:ind w:left="287"/>
              <w:jc w:val="left"/>
              <w:rPr>
                <w:sz w:val="22"/>
              </w:rPr>
            </w:pPr>
            <w:r>
              <w:rPr>
                <w:sz w:val="22"/>
              </w:rPr>
              <w:t>含油污泥</w:t>
            </w:r>
          </w:p>
        </w:tc>
        <w:tc>
          <w:tcPr>
            <w:tcW w:w="1335" w:type="dxa"/>
          </w:tcPr>
          <w:p>
            <w:pPr>
              <w:pStyle w:val="9"/>
              <w:ind w:left="97" w:right="88"/>
              <w:rPr>
                <w:sz w:val="22"/>
              </w:rPr>
            </w:pPr>
            <w:r>
              <w:rPr>
                <w:sz w:val="22"/>
              </w:rPr>
              <w:t>071-001-08</w:t>
            </w:r>
          </w:p>
        </w:tc>
        <w:tc>
          <w:tcPr>
            <w:tcW w:w="1896" w:type="dxa"/>
          </w:tcPr>
          <w:p>
            <w:pPr>
              <w:pStyle w:val="9"/>
              <w:spacing w:before="15"/>
              <w:ind w:left="48" w:right="37"/>
              <w:rPr>
                <w:sz w:val="22"/>
              </w:rPr>
            </w:pPr>
            <w:r>
              <w:rPr>
                <w:sz w:val="22"/>
              </w:rPr>
              <w:t>日常系统清砂、管</w:t>
            </w:r>
          </w:p>
          <w:p>
            <w:pPr>
              <w:pStyle w:val="9"/>
              <w:spacing w:before="31" w:line="276" w:lineRule="exact"/>
              <w:ind w:left="46" w:right="37"/>
              <w:rPr>
                <w:sz w:val="22"/>
              </w:rPr>
            </w:pPr>
            <w:r>
              <w:rPr>
                <w:sz w:val="22"/>
              </w:rPr>
              <w:t>线破损等</w:t>
            </w:r>
          </w:p>
        </w:tc>
        <w:tc>
          <w:tcPr>
            <w:tcW w:w="1350" w:type="dxa"/>
          </w:tcPr>
          <w:p>
            <w:pPr>
              <w:pStyle w:val="9"/>
              <w:spacing w:before="15"/>
              <w:ind w:left="106" w:right="94"/>
              <w:rPr>
                <w:sz w:val="22"/>
              </w:rPr>
            </w:pPr>
            <w:r>
              <w:rPr>
                <w:sz w:val="22"/>
              </w:rPr>
              <w:t>易燃性、毒</w:t>
            </w:r>
          </w:p>
          <w:p>
            <w:pPr>
              <w:pStyle w:val="9"/>
              <w:spacing w:before="31" w:line="276" w:lineRule="exact"/>
              <w:ind w:left="10"/>
              <w:rPr>
                <w:sz w:val="22"/>
              </w:rPr>
            </w:pPr>
            <w:r>
              <w:rPr>
                <w:w w:val="100"/>
                <w:sz w:val="22"/>
              </w:rPr>
              <w:t>性</w:t>
            </w:r>
          </w:p>
        </w:tc>
        <w:tc>
          <w:tcPr>
            <w:tcW w:w="1995" w:type="dxa"/>
          </w:tcPr>
          <w:p>
            <w:pPr>
              <w:pStyle w:val="9"/>
              <w:ind w:left="703" w:right="692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9000</w:t>
            </w:r>
          </w:p>
        </w:tc>
        <w:tc>
          <w:tcPr>
            <w:tcW w:w="2309" w:type="dxa"/>
          </w:tcPr>
          <w:p>
            <w:pPr>
              <w:pStyle w:val="9"/>
              <w:ind w:left="290" w:right="280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9000</w:t>
            </w:r>
          </w:p>
        </w:tc>
        <w:tc>
          <w:tcPr>
            <w:tcW w:w="2260" w:type="dxa"/>
            <w:vMerge w:val="restart"/>
          </w:tcPr>
          <w:p>
            <w:pPr>
              <w:pStyle w:val="9"/>
              <w:spacing w:before="0"/>
              <w:jc w:val="left"/>
              <w:rPr>
                <w:sz w:val="22"/>
              </w:rPr>
            </w:pPr>
          </w:p>
          <w:p>
            <w:pPr>
              <w:pStyle w:val="9"/>
              <w:spacing w:before="0"/>
              <w:jc w:val="left"/>
              <w:rPr>
                <w:sz w:val="22"/>
              </w:rPr>
            </w:pPr>
          </w:p>
          <w:p>
            <w:pPr>
              <w:pStyle w:val="9"/>
              <w:spacing w:before="0"/>
              <w:jc w:val="left"/>
              <w:rPr>
                <w:sz w:val="22"/>
              </w:rPr>
            </w:pPr>
          </w:p>
          <w:p>
            <w:pPr>
              <w:pStyle w:val="9"/>
              <w:spacing w:before="7"/>
              <w:jc w:val="left"/>
              <w:rPr>
                <w:sz w:val="21"/>
              </w:rPr>
            </w:pPr>
          </w:p>
          <w:p>
            <w:pPr>
              <w:pStyle w:val="9"/>
              <w:spacing w:before="0" w:line="266" w:lineRule="auto"/>
              <w:ind w:left="140" w:right="127"/>
              <w:jc w:val="left"/>
              <w:rPr>
                <w:sz w:val="22"/>
              </w:rPr>
            </w:pPr>
            <w:r>
              <w:rPr>
                <w:sz w:val="22"/>
              </w:rPr>
              <w:t>委托有危险废物处置资质的单位进行处置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693" w:type="dxa"/>
          </w:tcPr>
          <w:p>
            <w:pPr>
              <w:pStyle w:val="9"/>
              <w:spacing w:before="7"/>
              <w:jc w:val="left"/>
              <w:rPr>
                <w:sz w:val="25"/>
              </w:rPr>
            </w:pPr>
          </w:p>
          <w:p>
            <w:pPr>
              <w:pStyle w:val="9"/>
              <w:spacing w:before="0"/>
              <w:ind w:left="11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1455" w:type="dxa"/>
          </w:tcPr>
          <w:p>
            <w:pPr>
              <w:pStyle w:val="9"/>
              <w:spacing w:before="7"/>
              <w:jc w:val="left"/>
              <w:rPr>
                <w:sz w:val="25"/>
              </w:rPr>
            </w:pPr>
          </w:p>
          <w:p>
            <w:pPr>
              <w:pStyle w:val="9"/>
              <w:spacing w:before="0"/>
              <w:ind w:left="287"/>
              <w:jc w:val="left"/>
              <w:rPr>
                <w:sz w:val="22"/>
              </w:rPr>
            </w:pPr>
            <w:r>
              <w:rPr>
                <w:sz w:val="22"/>
              </w:rPr>
              <w:t>沾油废物</w:t>
            </w:r>
          </w:p>
        </w:tc>
        <w:tc>
          <w:tcPr>
            <w:tcW w:w="1335" w:type="dxa"/>
          </w:tcPr>
          <w:p>
            <w:pPr>
              <w:pStyle w:val="9"/>
              <w:spacing w:before="7"/>
              <w:jc w:val="left"/>
              <w:rPr>
                <w:sz w:val="25"/>
              </w:rPr>
            </w:pPr>
          </w:p>
          <w:p>
            <w:pPr>
              <w:pStyle w:val="9"/>
              <w:spacing w:before="0"/>
              <w:ind w:left="97" w:right="88"/>
              <w:rPr>
                <w:sz w:val="22"/>
              </w:rPr>
            </w:pPr>
            <w:r>
              <w:rPr>
                <w:sz w:val="22"/>
              </w:rPr>
              <w:t>900-249-08</w:t>
            </w:r>
          </w:p>
        </w:tc>
        <w:tc>
          <w:tcPr>
            <w:tcW w:w="1896" w:type="dxa"/>
          </w:tcPr>
          <w:p>
            <w:pPr>
              <w:pStyle w:val="9"/>
              <w:spacing w:before="15" w:line="266" w:lineRule="auto"/>
              <w:ind w:left="108" w:right="95" w:hanging="1"/>
              <w:rPr>
                <w:sz w:val="22"/>
              </w:rPr>
            </w:pPr>
            <w:r>
              <w:rPr>
                <w:spacing w:val="-3"/>
                <w:sz w:val="22"/>
              </w:rPr>
              <w:t>清洗设备设施产</w:t>
            </w:r>
            <w:r>
              <w:rPr>
                <w:spacing w:val="-14"/>
                <w:sz w:val="22"/>
              </w:rPr>
              <w:t>生的沾油大布、手</w:t>
            </w:r>
          </w:p>
          <w:p>
            <w:pPr>
              <w:pStyle w:val="9"/>
              <w:spacing w:before="0" w:line="275" w:lineRule="exact"/>
              <w:ind w:left="48" w:right="37"/>
              <w:rPr>
                <w:sz w:val="22"/>
              </w:rPr>
            </w:pPr>
            <w:r>
              <w:rPr>
                <w:sz w:val="22"/>
              </w:rPr>
              <w:t>套等</w:t>
            </w:r>
          </w:p>
        </w:tc>
        <w:tc>
          <w:tcPr>
            <w:tcW w:w="1350" w:type="dxa"/>
          </w:tcPr>
          <w:p>
            <w:pPr>
              <w:pStyle w:val="9"/>
              <w:spacing w:line="266" w:lineRule="auto"/>
              <w:ind w:left="564" w:right="110" w:hanging="440"/>
              <w:jc w:val="left"/>
              <w:rPr>
                <w:sz w:val="22"/>
              </w:rPr>
            </w:pPr>
            <w:r>
              <w:rPr>
                <w:sz w:val="22"/>
              </w:rPr>
              <w:t>易燃性、毒性</w:t>
            </w:r>
          </w:p>
        </w:tc>
        <w:tc>
          <w:tcPr>
            <w:tcW w:w="1995" w:type="dxa"/>
          </w:tcPr>
          <w:p>
            <w:pPr>
              <w:pStyle w:val="9"/>
              <w:spacing w:before="7"/>
              <w:jc w:val="left"/>
              <w:rPr>
                <w:sz w:val="25"/>
              </w:rPr>
            </w:pPr>
          </w:p>
          <w:p>
            <w:pPr>
              <w:pStyle w:val="9"/>
              <w:spacing w:before="0"/>
              <w:ind w:left="703" w:right="692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500</w:t>
            </w:r>
          </w:p>
        </w:tc>
        <w:tc>
          <w:tcPr>
            <w:tcW w:w="2309" w:type="dxa"/>
          </w:tcPr>
          <w:p>
            <w:pPr>
              <w:pStyle w:val="9"/>
              <w:spacing w:before="7"/>
              <w:jc w:val="left"/>
              <w:rPr>
                <w:sz w:val="25"/>
              </w:rPr>
            </w:pPr>
          </w:p>
          <w:p>
            <w:pPr>
              <w:pStyle w:val="9"/>
              <w:spacing w:before="0"/>
              <w:ind w:left="287" w:right="280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500</w:t>
            </w:r>
          </w:p>
        </w:tc>
        <w:tc>
          <w:tcPr>
            <w:tcW w:w="2260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93" w:type="dxa"/>
          </w:tcPr>
          <w:p>
            <w:pPr>
              <w:pStyle w:val="9"/>
              <w:ind w:left="11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455" w:type="dxa"/>
          </w:tcPr>
          <w:p>
            <w:pPr>
              <w:pStyle w:val="9"/>
              <w:ind w:left="287"/>
              <w:jc w:val="left"/>
              <w:rPr>
                <w:sz w:val="22"/>
              </w:rPr>
            </w:pPr>
            <w:r>
              <w:rPr>
                <w:sz w:val="22"/>
              </w:rPr>
              <w:t>废机油桶</w:t>
            </w:r>
          </w:p>
        </w:tc>
        <w:tc>
          <w:tcPr>
            <w:tcW w:w="1335" w:type="dxa"/>
          </w:tcPr>
          <w:p>
            <w:pPr>
              <w:pStyle w:val="9"/>
              <w:ind w:left="97" w:right="88"/>
              <w:rPr>
                <w:sz w:val="22"/>
              </w:rPr>
            </w:pPr>
            <w:r>
              <w:rPr>
                <w:sz w:val="22"/>
              </w:rPr>
              <w:t>900-249-08</w:t>
            </w:r>
          </w:p>
        </w:tc>
        <w:tc>
          <w:tcPr>
            <w:tcW w:w="1896" w:type="dxa"/>
          </w:tcPr>
          <w:p>
            <w:pPr>
              <w:pStyle w:val="9"/>
              <w:spacing w:before="15"/>
              <w:ind w:left="48" w:right="37"/>
              <w:rPr>
                <w:sz w:val="22"/>
              </w:rPr>
            </w:pPr>
            <w:r>
              <w:rPr>
                <w:sz w:val="22"/>
              </w:rPr>
              <w:t>设备保养后承装</w:t>
            </w:r>
          </w:p>
          <w:p>
            <w:pPr>
              <w:pStyle w:val="9"/>
              <w:spacing w:before="30" w:line="277" w:lineRule="exact"/>
              <w:ind w:left="46" w:right="37"/>
              <w:rPr>
                <w:sz w:val="22"/>
              </w:rPr>
            </w:pPr>
            <w:r>
              <w:rPr>
                <w:sz w:val="22"/>
              </w:rPr>
              <w:t>机油的空桶</w:t>
            </w:r>
          </w:p>
        </w:tc>
        <w:tc>
          <w:tcPr>
            <w:tcW w:w="1350" w:type="dxa"/>
          </w:tcPr>
          <w:p>
            <w:pPr>
              <w:pStyle w:val="9"/>
              <w:spacing w:before="15"/>
              <w:ind w:left="106" w:right="94"/>
              <w:rPr>
                <w:sz w:val="22"/>
              </w:rPr>
            </w:pPr>
            <w:r>
              <w:rPr>
                <w:sz w:val="22"/>
              </w:rPr>
              <w:t>易燃性、毒</w:t>
            </w:r>
          </w:p>
          <w:p>
            <w:pPr>
              <w:pStyle w:val="9"/>
              <w:spacing w:before="30" w:line="277" w:lineRule="exact"/>
              <w:ind w:left="10"/>
              <w:rPr>
                <w:sz w:val="22"/>
              </w:rPr>
            </w:pPr>
            <w:r>
              <w:rPr>
                <w:w w:val="100"/>
                <w:sz w:val="22"/>
              </w:rPr>
              <w:t>性</w:t>
            </w:r>
          </w:p>
        </w:tc>
        <w:tc>
          <w:tcPr>
            <w:tcW w:w="1995" w:type="dxa"/>
          </w:tcPr>
          <w:p>
            <w:pPr>
              <w:pStyle w:val="9"/>
              <w:ind w:left="703" w:right="692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40</w:t>
            </w:r>
          </w:p>
        </w:tc>
        <w:tc>
          <w:tcPr>
            <w:tcW w:w="2309" w:type="dxa"/>
          </w:tcPr>
          <w:p>
            <w:pPr>
              <w:pStyle w:val="9"/>
              <w:ind w:left="287" w:right="280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40</w:t>
            </w:r>
          </w:p>
        </w:tc>
        <w:tc>
          <w:tcPr>
            <w:tcW w:w="2260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93" w:type="dxa"/>
          </w:tcPr>
          <w:p>
            <w:pPr>
              <w:pStyle w:val="9"/>
              <w:spacing w:before="173"/>
              <w:ind w:left="11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1455" w:type="dxa"/>
          </w:tcPr>
          <w:p>
            <w:pPr>
              <w:pStyle w:val="9"/>
              <w:spacing w:before="173"/>
              <w:ind w:left="287"/>
              <w:jc w:val="left"/>
              <w:rPr>
                <w:sz w:val="22"/>
              </w:rPr>
            </w:pPr>
            <w:r>
              <w:rPr>
                <w:sz w:val="22"/>
              </w:rPr>
              <w:t>实验废液</w:t>
            </w:r>
          </w:p>
        </w:tc>
        <w:tc>
          <w:tcPr>
            <w:tcW w:w="1335" w:type="dxa"/>
          </w:tcPr>
          <w:p>
            <w:pPr>
              <w:pStyle w:val="9"/>
              <w:spacing w:before="173"/>
              <w:ind w:left="97" w:right="88"/>
              <w:rPr>
                <w:sz w:val="22"/>
              </w:rPr>
            </w:pPr>
            <w:r>
              <w:rPr>
                <w:sz w:val="22"/>
              </w:rPr>
              <w:t>900-047-49</w:t>
            </w:r>
          </w:p>
        </w:tc>
        <w:tc>
          <w:tcPr>
            <w:tcW w:w="1896" w:type="dxa"/>
          </w:tcPr>
          <w:p>
            <w:pPr>
              <w:pStyle w:val="9"/>
              <w:spacing w:before="17"/>
              <w:ind w:left="48" w:right="37"/>
              <w:rPr>
                <w:sz w:val="22"/>
              </w:rPr>
            </w:pPr>
            <w:r>
              <w:rPr>
                <w:sz w:val="22"/>
              </w:rPr>
              <w:t>监测设备做样产</w:t>
            </w:r>
          </w:p>
          <w:p>
            <w:pPr>
              <w:pStyle w:val="9"/>
              <w:spacing w:before="30" w:line="275" w:lineRule="exact"/>
              <w:ind w:left="48" w:right="37"/>
              <w:rPr>
                <w:sz w:val="22"/>
              </w:rPr>
            </w:pPr>
            <w:r>
              <w:rPr>
                <w:sz w:val="22"/>
              </w:rPr>
              <w:t>生的实验废液</w:t>
            </w:r>
          </w:p>
        </w:tc>
        <w:tc>
          <w:tcPr>
            <w:tcW w:w="1350" w:type="dxa"/>
          </w:tcPr>
          <w:p>
            <w:pPr>
              <w:pStyle w:val="9"/>
              <w:spacing w:before="17"/>
              <w:ind w:left="180"/>
              <w:jc w:val="left"/>
              <w:rPr>
                <w:sz w:val="22"/>
              </w:rPr>
            </w:pPr>
            <w:r>
              <w:rPr>
                <w:sz w:val="22"/>
              </w:rPr>
              <w:t>腐蚀性,易</w:t>
            </w:r>
          </w:p>
          <w:p>
            <w:pPr>
              <w:pStyle w:val="9"/>
              <w:spacing w:before="30" w:line="275" w:lineRule="exact"/>
              <w:ind w:left="180"/>
              <w:jc w:val="left"/>
              <w:rPr>
                <w:sz w:val="22"/>
              </w:rPr>
            </w:pPr>
            <w:r>
              <w:rPr>
                <w:sz w:val="22"/>
              </w:rPr>
              <w:t>燃性,毒性</w:t>
            </w:r>
          </w:p>
        </w:tc>
        <w:tc>
          <w:tcPr>
            <w:tcW w:w="1995" w:type="dxa"/>
          </w:tcPr>
          <w:p>
            <w:pPr>
              <w:pStyle w:val="9"/>
              <w:spacing w:before="173"/>
              <w:ind w:left="11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2309" w:type="dxa"/>
          </w:tcPr>
          <w:p>
            <w:pPr>
              <w:pStyle w:val="9"/>
              <w:spacing w:before="173"/>
              <w:ind w:left="7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2260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93" w:type="dxa"/>
          </w:tcPr>
          <w:p>
            <w:pPr>
              <w:pStyle w:val="9"/>
              <w:spacing w:before="173"/>
              <w:ind w:left="11"/>
              <w:rPr>
                <w:rFonts w:hint="eastAsia" w:eastAsia="宋体"/>
                <w:w w:val="100"/>
                <w:sz w:val="22"/>
                <w:lang w:val="en-US" w:eastAsia="zh-CN"/>
              </w:rPr>
            </w:pPr>
            <w:r>
              <w:rPr>
                <w:rFonts w:hint="eastAsia"/>
                <w:w w:val="100"/>
                <w:sz w:val="22"/>
                <w:lang w:val="en-US" w:eastAsia="zh-CN"/>
              </w:rPr>
              <w:t>5</w:t>
            </w:r>
          </w:p>
        </w:tc>
        <w:tc>
          <w:tcPr>
            <w:tcW w:w="1455" w:type="dxa"/>
          </w:tcPr>
          <w:p>
            <w:pPr>
              <w:spacing w:beforeLines="0" w:afterLines="0"/>
              <w:jc w:val="center"/>
              <w:rPr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en-US" w:bidi="ar-SA"/>
              </w:rPr>
              <w:t>废旧锅炉保温材料</w:t>
            </w:r>
          </w:p>
        </w:tc>
        <w:tc>
          <w:tcPr>
            <w:tcW w:w="1335" w:type="dxa"/>
          </w:tcPr>
          <w:p>
            <w:pPr>
              <w:pStyle w:val="9"/>
              <w:spacing w:before="173"/>
              <w:ind w:left="97" w:right="88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sz w:val="22"/>
              </w:rPr>
              <w:t>900-0</w:t>
            </w:r>
            <w:r>
              <w:rPr>
                <w:rFonts w:hint="eastAsia"/>
                <w:sz w:val="22"/>
                <w:lang w:val="en-US" w:eastAsia="zh-CN"/>
              </w:rPr>
              <w:t>32</w:t>
            </w:r>
            <w:r>
              <w:rPr>
                <w:sz w:val="22"/>
              </w:rPr>
              <w:t>-</w:t>
            </w:r>
            <w:r>
              <w:rPr>
                <w:rFonts w:hint="eastAsia"/>
                <w:sz w:val="22"/>
                <w:lang w:val="en-US" w:eastAsia="zh-CN"/>
              </w:rPr>
              <w:t>36</w:t>
            </w:r>
          </w:p>
        </w:tc>
        <w:tc>
          <w:tcPr>
            <w:tcW w:w="1896" w:type="dxa"/>
          </w:tcPr>
          <w:p>
            <w:pPr>
              <w:pStyle w:val="9"/>
              <w:spacing w:before="30" w:line="275" w:lineRule="exact"/>
              <w:ind w:left="48" w:right="37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锅炉报废拆除</w:t>
            </w:r>
          </w:p>
        </w:tc>
        <w:tc>
          <w:tcPr>
            <w:tcW w:w="1350" w:type="dxa"/>
          </w:tcPr>
          <w:p>
            <w:pPr>
              <w:pStyle w:val="9"/>
              <w:spacing w:before="30" w:line="275" w:lineRule="exact"/>
              <w:ind w:left="180"/>
              <w:jc w:val="center"/>
              <w:rPr>
                <w:sz w:val="22"/>
              </w:rPr>
            </w:pPr>
            <w:r>
              <w:rPr>
                <w:sz w:val="22"/>
              </w:rPr>
              <w:t>毒性</w:t>
            </w:r>
          </w:p>
        </w:tc>
        <w:tc>
          <w:tcPr>
            <w:tcW w:w="1995" w:type="dxa"/>
          </w:tcPr>
          <w:p>
            <w:pPr>
              <w:pStyle w:val="9"/>
              <w:spacing w:before="173"/>
              <w:ind w:left="11"/>
              <w:rPr>
                <w:rFonts w:hint="default" w:eastAsia="宋体"/>
                <w:w w:val="100"/>
                <w:sz w:val="22"/>
                <w:lang w:val="en-US" w:eastAsia="zh-CN"/>
              </w:rPr>
            </w:pPr>
            <w:r>
              <w:rPr>
                <w:rFonts w:hint="eastAsia"/>
                <w:w w:val="100"/>
                <w:sz w:val="22"/>
                <w:lang w:val="en-US" w:eastAsia="zh-CN"/>
              </w:rPr>
              <w:t>50</w:t>
            </w:r>
          </w:p>
        </w:tc>
        <w:tc>
          <w:tcPr>
            <w:tcW w:w="2309" w:type="dxa"/>
          </w:tcPr>
          <w:p>
            <w:pPr>
              <w:pStyle w:val="9"/>
              <w:spacing w:before="173"/>
              <w:ind w:left="7"/>
              <w:rPr>
                <w:rFonts w:hint="default" w:eastAsia="宋体"/>
                <w:w w:val="100"/>
                <w:sz w:val="22"/>
                <w:lang w:val="en-US" w:eastAsia="zh-CN"/>
              </w:rPr>
            </w:pPr>
            <w:r>
              <w:rPr>
                <w:rFonts w:hint="eastAsia"/>
                <w:w w:val="100"/>
                <w:sz w:val="22"/>
                <w:lang w:val="en-US" w:eastAsia="zh-CN"/>
              </w:rPr>
              <w:t>50</w:t>
            </w:r>
          </w:p>
        </w:tc>
        <w:tc>
          <w:tcPr>
            <w:tcW w:w="2260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93" w:type="dxa"/>
          </w:tcPr>
          <w:p>
            <w:pPr>
              <w:pStyle w:val="9"/>
              <w:spacing w:before="173"/>
              <w:ind w:left="11"/>
              <w:rPr>
                <w:rFonts w:hint="default"/>
                <w:w w:val="100"/>
                <w:sz w:val="22"/>
                <w:lang w:val="en-US" w:eastAsia="zh-CN"/>
              </w:rPr>
            </w:pPr>
            <w:r>
              <w:rPr>
                <w:rFonts w:hint="eastAsia"/>
                <w:w w:val="100"/>
                <w:sz w:val="22"/>
                <w:lang w:val="en-US" w:eastAsia="zh-CN"/>
              </w:rPr>
              <w:t>6</w:t>
            </w:r>
          </w:p>
        </w:tc>
        <w:tc>
          <w:tcPr>
            <w:tcW w:w="1455" w:type="dxa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-SA"/>
              </w:rPr>
              <w:t>废弃的离子交换树脂</w:t>
            </w:r>
          </w:p>
        </w:tc>
        <w:tc>
          <w:tcPr>
            <w:tcW w:w="1335" w:type="dxa"/>
          </w:tcPr>
          <w:p>
            <w:pPr>
              <w:pStyle w:val="9"/>
              <w:spacing w:before="173"/>
              <w:ind w:left="97" w:right="88"/>
              <w:rPr>
                <w:rFonts w:hint="default" w:eastAsia="宋体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900-015-13</w:t>
            </w:r>
          </w:p>
        </w:tc>
        <w:tc>
          <w:tcPr>
            <w:tcW w:w="1896" w:type="dxa"/>
          </w:tcPr>
          <w:p>
            <w:pPr>
              <w:pStyle w:val="9"/>
              <w:spacing w:before="30" w:line="275" w:lineRule="exact"/>
              <w:ind w:left="48" w:right="37"/>
              <w:rPr>
                <w:rFonts w:hint="default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软化水处理过程产生的报废树脂</w:t>
            </w:r>
          </w:p>
        </w:tc>
        <w:tc>
          <w:tcPr>
            <w:tcW w:w="1350" w:type="dxa"/>
          </w:tcPr>
          <w:p>
            <w:pPr>
              <w:pStyle w:val="9"/>
              <w:spacing w:before="30" w:line="275" w:lineRule="exact"/>
              <w:ind w:left="180"/>
              <w:jc w:val="center"/>
              <w:rPr>
                <w:sz w:val="22"/>
              </w:rPr>
            </w:pPr>
            <w:r>
              <w:rPr>
                <w:sz w:val="22"/>
              </w:rPr>
              <w:t>毒性</w:t>
            </w:r>
          </w:p>
        </w:tc>
        <w:tc>
          <w:tcPr>
            <w:tcW w:w="1995" w:type="dxa"/>
          </w:tcPr>
          <w:p>
            <w:pPr>
              <w:pStyle w:val="9"/>
              <w:spacing w:before="173"/>
              <w:ind w:left="11"/>
              <w:rPr>
                <w:rFonts w:hint="default"/>
                <w:w w:val="100"/>
                <w:sz w:val="22"/>
                <w:lang w:val="en-US" w:eastAsia="zh-CN"/>
              </w:rPr>
            </w:pPr>
            <w:r>
              <w:rPr>
                <w:rFonts w:hint="eastAsia"/>
                <w:w w:val="100"/>
                <w:sz w:val="22"/>
                <w:lang w:val="en-US" w:eastAsia="zh-CN"/>
              </w:rPr>
              <w:t>50</w:t>
            </w:r>
          </w:p>
        </w:tc>
        <w:tc>
          <w:tcPr>
            <w:tcW w:w="2309" w:type="dxa"/>
          </w:tcPr>
          <w:p>
            <w:pPr>
              <w:pStyle w:val="9"/>
              <w:spacing w:before="173"/>
              <w:ind w:left="7"/>
              <w:rPr>
                <w:rFonts w:hint="default"/>
                <w:w w:val="100"/>
                <w:sz w:val="22"/>
                <w:lang w:val="en-US" w:eastAsia="zh-CN"/>
              </w:rPr>
            </w:pPr>
            <w:r>
              <w:rPr>
                <w:rFonts w:hint="eastAsia"/>
                <w:w w:val="100"/>
                <w:sz w:val="22"/>
                <w:lang w:val="en-US" w:eastAsia="zh-CN"/>
              </w:rPr>
              <w:t>50</w:t>
            </w:r>
          </w:p>
        </w:tc>
        <w:tc>
          <w:tcPr>
            <w:tcW w:w="2260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jc w:val="center"/>
        <w:rPr>
          <w:sz w:val="2"/>
          <w:szCs w:val="2"/>
        </w:rPr>
        <w:sectPr>
          <w:pgSz w:w="16840" w:h="11910" w:orient="landscape"/>
          <w:pgMar w:top="1100" w:right="1660" w:bottom="280" w:left="1660" w:header="720" w:footer="720" w:gutter="0"/>
        </w:sectPr>
      </w:pPr>
    </w:p>
    <w:p>
      <w:pPr>
        <w:pStyle w:val="3"/>
      </w:pPr>
      <w:r>
        <w:t>防治污染设施的建设和运行情况</w:t>
      </w:r>
    </w:p>
    <w:p>
      <w:pPr>
        <w:pStyle w:val="4"/>
        <w:spacing w:before="107" w:line="290" w:lineRule="auto"/>
        <w:ind w:left="120" w:right="255" w:firstLine="640"/>
        <w:jc w:val="both"/>
      </w:pPr>
      <w:r>
        <w:t>2001</w:t>
      </w:r>
      <w:r>
        <w:rPr>
          <w:spacing w:val="-14"/>
        </w:rPr>
        <w:t xml:space="preserve"> 年，重油公司建设六九区污水处理站，采用三段式</w:t>
      </w:r>
      <w:r>
        <w:rPr>
          <w:spacing w:val="-13"/>
          <w:w w:val="95"/>
        </w:rPr>
        <w:t xml:space="preserve">处理工艺，即“重力除油+混凝沉降+压力过滤”，设计处理 </w:t>
      </w:r>
      <w:r>
        <w:rPr>
          <w:spacing w:val="-40"/>
        </w:rPr>
        <w:t xml:space="preserve">量 </w:t>
      </w:r>
      <w:r>
        <w:t>4.2</w:t>
      </w:r>
      <w:r>
        <w:rPr>
          <w:spacing w:val="-23"/>
        </w:rPr>
        <w:t xml:space="preserve"> 万方</w:t>
      </w:r>
      <w:r>
        <w:t>/</w:t>
      </w:r>
      <w:r>
        <w:rPr>
          <w:spacing w:val="-7"/>
        </w:rPr>
        <w:t>天，处理后的净化污水大部分回用锅炉，剩余少</w:t>
      </w:r>
      <w:r>
        <w:rPr>
          <w:spacing w:val="-6"/>
          <w:w w:val="95"/>
        </w:rPr>
        <w:t xml:space="preserve">部分外排，外排水满足《污水综合排放标准》要求。目前污 </w:t>
      </w:r>
      <w:r>
        <w:rPr>
          <w:spacing w:val="-6"/>
        </w:rPr>
        <w:t>水处理装置稳定运行。</w:t>
      </w:r>
    </w:p>
    <w:p>
      <w:pPr>
        <w:pStyle w:val="3"/>
        <w:spacing w:line="513" w:lineRule="exact"/>
      </w:pPr>
      <w:r>
        <w:t>建设项目环境影响评价及其他环境保护行政许可情况</w:t>
      </w:r>
    </w:p>
    <w:p>
      <w:pPr>
        <w:pStyle w:val="4"/>
        <w:spacing w:before="108" w:line="290" w:lineRule="auto"/>
        <w:ind w:left="120" w:right="257" w:firstLine="840" w:firstLineChars="300"/>
        <w:rPr>
          <w:rFonts w:hint="default" w:eastAsia="方正仿宋简体"/>
          <w:lang w:val="en-US" w:eastAsia="zh-CN"/>
        </w:rPr>
      </w:pPr>
      <w:r>
        <w:rPr>
          <w:rFonts w:hint="eastAsia"/>
          <w:spacing w:val="-20"/>
          <w:lang w:val="en-US" w:eastAsia="zh-CN"/>
        </w:rPr>
        <w:t>2025年对</w:t>
      </w:r>
      <w:r>
        <w:t>2024</w:t>
      </w:r>
      <w:r>
        <w:rPr>
          <w:spacing w:val="-13"/>
        </w:rPr>
        <w:t>年开展</w:t>
      </w:r>
      <w:r>
        <w:rPr>
          <w:rFonts w:hint="eastAsia"/>
          <w:spacing w:val="-13"/>
          <w:lang w:val="en-US" w:eastAsia="zh-CN"/>
        </w:rPr>
        <w:t>的</w:t>
      </w:r>
      <w:r>
        <w:rPr>
          <w:spacing w:val="-13"/>
        </w:rPr>
        <w:t xml:space="preserve">建设项目环境影响评价 </w:t>
      </w:r>
      <w:r>
        <w:t>3</w:t>
      </w:r>
      <w:r>
        <w:rPr>
          <w:spacing w:val="-20"/>
        </w:rPr>
        <w:t xml:space="preserve"> 项</w:t>
      </w:r>
      <w:r>
        <w:rPr>
          <w:rFonts w:hint="eastAsia"/>
          <w:spacing w:val="-20"/>
          <w:lang w:val="en-US" w:eastAsia="zh-CN"/>
        </w:rPr>
        <w:t>报告均已完成。</w:t>
      </w:r>
    </w:p>
    <w:p>
      <w:pPr>
        <w:pStyle w:val="4"/>
        <w:spacing w:line="290" w:lineRule="auto"/>
        <w:ind w:left="120" w:right="257" w:firstLine="640"/>
        <w:jc w:val="both"/>
      </w:pPr>
      <w:r>
        <w:rPr>
          <w:spacing w:val="-2"/>
          <w:w w:val="95"/>
        </w:rPr>
        <w:t xml:space="preserve">重油开发公司按期取得废水、废气排污许可证，并依法 </w:t>
      </w:r>
      <w:r>
        <w:rPr>
          <w:spacing w:val="-2"/>
        </w:rPr>
        <w:t>合规按证排污，定期提交执行报告。</w:t>
      </w:r>
    </w:p>
    <w:p>
      <w:pPr>
        <w:pStyle w:val="3"/>
        <w:spacing w:line="515" w:lineRule="exact"/>
      </w:pPr>
      <w:r>
        <w:t>突发环境事件应急预案</w:t>
      </w:r>
    </w:p>
    <w:p>
      <w:pPr>
        <w:pStyle w:val="4"/>
        <w:spacing w:before="106" w:line="290" w:lineRule="auto"/>
        <w:ind w:left="120" w:right="245" w:firstLine="640"/>
        <w:jc w:val="both"/>
      </w:pPr>
      <w:r>
        <w:t>202</w:t>
      </w:r>
      <w:r>
        <w:rPr>
          <w:rFonts w:hint="eastAsia"/>
          <w:lang w:val="en-US" w:eastAsia="zh-CN"/>
        </w:rPr>
        <w:t>5</w:t>
      </w:r>
      <w:r>
        <w:rPr>
          <w:spacing w:val="-14"/>
        </w:rPr>
        <w:t>年公司结</w:t>
      </w:r>
      <w:r>
        <w:rPr>
          <w:spacing w:val="-9"/>
        </w:rPr>
        <w:t>合生产特点，组建了应急队伍，对应急预案进行演练、定期</w:t>
      </w:r>
      <w:r>
        <w:rPr>
          <w:spacing w:val="-6"/>
        </w:rPr>
        <w:t>修订，强化队伍的业务培训，定期开展管线刺漏等污染事件的应急演练，提高现场员工应急水平。</w:t>
      </w:r>
    </w:p>
    <w:p>
      <w:pPr>
        <w:pStyle w:val="3"/>
        <w:spacing w:line="512" w:lineRule="exact"/>
      </w:pPr>
      <w:r>
        <w:t>污染防治措施：</w:t>
      </w:r>
    </w:p>
    <w:p>
      <w:pPr>
        <w:pStyle w:val="4"/>
        <w:spacing w:before="108" w:line="290" w:lineRule="auto"/>
        <w:ind w:left="120" w:right="99" w:firstLine="640"/>
      </w:pPr>
      <w:r>
        <w:t>重油开发公司公司在生产过程中，认真做好环境保护工</w:t>
      </w:r>
      <w:r>
        <w:rPr>
          <w:w w:val="95"/>
        </w:rPr>
        <w:t>作，加强污染源头管控，加强管线和油井设备日常巡检工作。</w:t>
      </w:r>
    </w:p>
    <w:p>
      <w:pPr>
        <w:spacing w:after="0" w:line="290" w:lineRule="auto"/>
        <w:sectPr>
          <w:pgSz w:w="11910" w:h="16840"/>
          <w:pgMar w:top="1480" w:right="1540" w:bottom="280" w:left="1680" w:header="720" w:footer="720" w:gutter="0"/>
        </w:sectPr>
      </w:pPr>
    </w:p>
    <w:p>
      <w:pPr>
        <w:pStyle w:val="4"/>
        <w:spacing w:line="290" w:lineRule="auto"/>
        <w:ind w:left="120" w:right="99"/>
      </w:pPr>
      <w:r>
        <w:rPr>
          <w:spacing w:val="-11"/>
          <w:w w:val="95"/>
        </w:rPr>
        <w:t xml:space="preserve">做好各类设备定期的维护工作，按规定进行设备维修、保养， </w:t>
      </w:r>
      <w:r>
        <w:rPr>
          <w:spacing w:val="-11"/>
        </w:rPr>
        <w:t>及时更换易损及老化部件，防止油气泄漏事故的发生，减少</w:t>
      </w:r>
      <w:r>
        <w:rPr>
          <w:spacing w:val="-9"/>
        </w:rPr>
        <w:t>设备设施的跑、冒、滴、漏现象。定期开展管道完整性检测及时更换失效管段，提高管线稳定运行时率。</w:t>
      </w:r>
    </w:p>
    <w:p>
      <w:pPr>
        <w:pStyle w:val="4"/>
        <w:rPr>
          <w:sz w:val="36"/>
        </w:rPr>
      </w:pPr>
    </w:p>
    <w:p>
      <w:pPr>
        <w:pStyle w:val="4"/>
        <w:spacing w:before="14"/>
        <w:rPr>
          <w:sz w:val="40"/>
        </w:rPr>
      </w:pPr>
    </w:p>
    <w:p>
      <w:pPr>
        <w:pStyle w:val="4"/>
        <w:ind w:right="257"/>
        <w:jc w:val="right"/>
      </w:pPr>
      <w:r>
        <w:rPr>
          <w:w w:val="95"/>
        </w:rPr>
        <w:t>重油开发公司</w:t>
      </w:r>
    </w:p>
    <w:p>
      <w:pPr>
        <w:pStyle w:val="4"/>
        <w:spacing w:before="107"/>
        <w:ind w:right="255"/>
        <w:jc w:val="right"/>
      </w:pPr>
      <w:r>
        <w:t>202</w:t>
      </w:r>
      <w:r>
        <w:rPr>
          <w:rFonts w:hint="eastAsia"/>
          <w:lang w:val="en-US" w:eastAsia="zh-CN"/>
        </w:rPr>
        <w:t>5</w:t>
      </w:r>
      <w:r>
        <w:t xml:space="preserve"> 年</w:t>
      </w:r>
      <w:r>
        <w:rPr>
          <w:rFonts w:hint="eastAsia"/>
          <w:lang w:val="en-US" w:eastAsia="zh-CN"/>
        </w:rPr>
        <w:t>8</w:t>
      </w:r>
      <w:r>
        <w:t>月</w:t>
      </w:r>
      <w:r>
        <w:rPr>
          <w:rFonts w:hint="eastAsia"/>
          <w:lang w:val="en-US" w:eastAsia="zh-CN"/>
        </w:rPr>
        <w:t>1</w:t>
      </w:r>
      <w:bookmarkStart w:id="0" w:name="_GoBack"/>
      <w:bookmarkEnd w:id="0"/>
      <w:r>
        <w:t>日</w:t>
      </w:r>
    </w:p>
    <w:sectPr>
      <w:pgSz w:w="11910" w:h="16840"/>
      <w:pgMar w:top="1480" w:right="154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172A27"/>
    <w:rsid w:val="192B1B5D"/>
    <w:rsid w:val="2A3C4D35"/>
    <w:rsid w:val="5A65164F"/>
    <w:rsid w:val="6C557B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方正仿宋简体" w:hAnsi="方正仿宋简体" w:eastAsia="方正仿宋简体" w:cs="方正仿宋简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ind w:left="191"/>
      <w:outlineLvl w:val="1"/>
    </w:pPr>
    <w:rPr>
      <w:rFonts w:ascii="方正小标宋简体" w:hAnsi="方正小标宋简体" w:eastAsia="方正小标宋简体" w:cs="方正小标宋简体"/>
      <w:b/>
      <w:bCs/>
      <w:sz w:val="44"/>
      <w:szCs w:val="44"/>
    </w:rPr>
  </w:style>
  <w:style w:type="paragraph" w:styleId="3">
    <w:name w:val="heading 2"/>
    <w:basedOn w:val="1"/>
    <w:next w:val="1"/>
    <w:qFormat/>
    <w:uiPriority w:val="1"/>
    <w:pPr>
      <w:spacing w:line="511" w:lineRule="exact"/>
      <w:ind w:left="120"/>
      <w:outlineLvl w:val="2"/>
    </w:pPr>
    <w:rPr>
      <w:rFonts w:ascii="方正仿宋简体" w:hAnsi="方正仿宋简体" w:eastAsia="方正仿宋简体" w:cs="方正仿宋简体"/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方正仿宋简体" w:hAnsi="方正仿宋简体" w:eastAsia="方正仿宋简体" w:cs="方正仿宋简体"/>
      <w:sz w:val="32"/>
      <w:szCs w:val="32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  <w:pPr>
      <w:spacing w:before="171"/>
      <w:jc w:val="center"/>
    </w:pPr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ScaleCrop>false</ScaleCrop>
  <LinksUpToDate>false</LinksUpToDate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2025-08-05T10:58:00Z</dcterms:created>
  <dc:creator>周小嘘</dc:creator>
  <cp:lastModifiedBy>田弋戈</cp:lastModifiedBy>
  <dcterms:modified xsi:type="dcterms:W3CDTF">2025-08-05T11:42:38Z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2024-06-28T00:00:00Z</vt:filetime>
  </property>
  <property fmtid="{D5CDD505-2E9C-101B-9397-08002B2CF9AE}" pid="3" name="Creator">
    <vt:lpwstr>WPS 文字</vt:lpwstr>
  </property>
  <property fmtid="{D5CDD505-2E9C-101B-9397-08002B2CF9AE}" pid="4" name="LastSaved">
    <vt:filetime>2025-08-05T00:00:00Z</vt:filetime>
  </property>
  <property fmtid="{D5CDD505-2E9C-101B-9397-08002B2CF9AE}" pid="5" name="KSOProductBuildVer">
    <vt:lpwstr>2052-11.8.2.8875</vt:lpwstr>
  </property>
</Properties>
</file>