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6FBF6"/>
  <w:body>
    <w:p w14:paraId="639F6E54">
      <w:pPr>
        <w:pStyle w:val="18"/>
        <w:spacing w:before="0" w:beforeAutospacing="0" w:after="0" w:afterAutospacing="0" w:line="360" w:lineRule="auto"/>
        <w:jc w:val="center"/>
        <w:outlineLvl w:val="0"/>
        <w:rPr>
          <w:rFonts w:hint="eastAsia" w:ascii="Times New Roman" w:hAnsi="Times New Roman" w:eastAsia="宋体" w:cs="Times New Roman"/>
          <w:b/>
          <w:bCs/>
          <w:color w:val="000000"/>
          <w:sz w:val="30"/>
          <w:szCs w:val="30"/>
          <w:lang w:eastAsia="zh-CN"/>
        </w:rPr>
      </w:pPr>
      <w:r>
        <w:rPr>
          <w:rFonts w:hint="eastAsia" w:ascii="Times New Roman" w:hAnsi="Times New Roman" w:cs="Times New Roman"/>
          <w:b/>
          <w:bCs/>
          <w:color w:val="000000"/>
          <w:sz w:val="30"/>
          <w:szCs w:val="30"/>
          <w:lang w:eastAsia="zh-CN"/>
        </w:rPr>
        <w:t>邵阳市鑫腾阻燃新材料科技有限公司红磷阻燃剂建设项目</w:t>
      </w:r>
    </w:p>
    <w:p w14:paraId="58D07F99">
      <w:pPr>
        <w:pStyle w:val="18"/>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竣工环境保护验收意见</w:t>
      </w:r>
    </w:p>
    <w:p w14:paraId="00A1510C">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lang w:val="en-US" w:eastAsia="zh-CN"/>
        </w:rPr>
      </w:pPr>
    </w:p>
    <w:p w14:paraId="189CA1BF">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20</w:t>
      </w:r>
      <w:r>
        <w:rPr>
          <w:rFonts w:hint="eastAsia" w:ascii="Times New Roman" w:hAnsi="Times New Roman" w:cs="Times New Roman"/>
          <w:sz w:val="24"/>
          <w:szCs w:val="24"/>
          <w:lang w:val="en-US" w:eastAsia="zh-CN"/>
        </w:rPr>
        <w:t>25</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7</w:t>
      </w:r>
      <w:r>
        <w:rPr>
          <w:rFonts w:hint="default" w:ascii="Times New Roman" w:hAnsi="Times New Roman" w:eastAsia="宋体" w:cs="Times New Roman"/>
          <w:sz w:val="24"/>
          <w:szCs w:val="24"/>
        </w:rPr>
        <w:t>月</w:t>
      </w:r>
      <w:r>
        <w:rPr>
          <w:rFonts w:hint="eastAsia" w:ascii="Times New Roman" w:hAnsi="Times New Roman" w:cs="Times New Roman"/>
          <w:sz w:val="24"/>
          <w:szCs w:val="24"/>
          <w:lang w:val="en-US" w:eastAsia="zh-CN"/>
        </w:rPr>
        <w:t>2</w:t>
      </w:r>
      <w:r>
        <w:rPr>
          <w:rFonts w:hint="default" w:ascii="Times New Roman" w:hAnsi="Times New Roman" w:eastAsia="宋体" w:cs="Times New Roman"/>
          <w:sz w:val="24"/>
          <w:szCs w:val="24"/>
          <w:lang w:eastAsia="zh-CN"/>
        </w:rPr>
        <w:t>日</w:t>
      </w:r>
      <w:r>
        <w:rPr>
          <w:rFonts w:hint="eastAsia" w:ascii="Times New Roman" w:hAnsi="Times New Roman" w:cs="Times New Roman"/>
          <w:sz w:val="24"/>
          <w:szCs w:val="24"/>
          <w:lang w:eastAsia="zh-CN"/>
        </w:rPr>
        <w:t>邵阳市鑫腾阻燃新材料科技有限公司</w:t>
      </w:r>
      <w:r>
        <w:rPr>
          <w:rFonts w:hint="default" w:ascii="Times New Roman" w:hAnsi="Times New Roman" w:eastAsia="宋体" w:cs="Times New Roman"/>
          <w:sz w:val="24"/>
          <w:szCs w:val="24"/>
          <w:lang w:eastAsia="zh-CN"/>
        </w:rPr>
        <w:t>组织召开了</w:t>
      </w:r>
      <w:r>
        <w:rPr>
          <w:rFonts w:hint="eastAsia" w:ascii="Times New Roman" w:hAnsi="Times New Roman" w:cs="Times New Roman"/>
          <w:sz w:val="24"/>
          <w:szCs w:val="24"/>
          <w:lang w:eastAsia="zh-CN"/>
        </w:rPr>
        <w:t>邵阳市鑫腾阻燃新材料科技有限公司红磷阻燃剂建设项目</w:t>
      </w:r>
      <w:r>
        <w:rPr>
          <w:rFonts w:hint="default" w:ascii="Times New Roman" w:hAnsi="Times New Roman" w:eastAsia="宋体" w:cs="Times New Roman"/>
          <w:sz w:val="24"/>
          <w:szCs w:val="24"/>
          <w:lang w:eastAsia="zh-CN"/>
        </w:rPr>
        <w:t>竣工环境</w:t>
      </w:r>
      <w:r>
        <w:rPr>
          <w:rFonts w:hint="eastAsia" w:ascii="Times New Roman" w:hAnsi="Times New Roman" w:cs="Times New Roman"/>
          <w:sz w:val="24"/>
          <w:szCs w:val="24"/>
          <w:lang w:val="en-US" w:eastAsia="zh-CN"/>
        </w:rPr>
        <w:t>保护</w:t>
      </w:r>
      <w:r>
        <w:rPr>
          <w:rFonts w:hint="default" w:ascii="Times New Roman" w:hAnsi="Times New Roman" w:eastAsia="宋体" w:cs="Times New Roman"/>
          <w:sz w:val="24"/>
          <w:szCs w:val="24"/>
          <w:lang w:eastAsia="zh-CN"/>
        </w:rPr>
        <w:t>验收会议，参加会议的有三位专家、邵阳</w:t>
      </w:r>
      <w:r>
        <w:rPr>
          <w:rFonts w:hint="eastAsia" w:ascii="Times New Roman" w:hAnsi="Times New Roman" w:cs="Times New Roman"/>
          <w:sz w:val="24"/>
          <w:szCs w:val="24"/>
          <w:lang w:val="en-US" w:eastAsia="zh-CN"/>
        </w:rPr>
        <w:t>市生态</w:t>
      </w:r>
      <w:r>
        <w:rPr>
          <w:rFonts w:hint="default" w:ascii="Times New Roman" w:hAnsi="Times New Roman" w:eastAsia="宋体" w:cs="Times New Roman"/>
          <w:sz w:val="24"/>
          <w:szCs w:val="24"/>
          <w:lang w:eastAsia="zh-CN"/>
        </w:rPr>
        <w:t>环境局</w:t>
      </w:r>
      <w:r>
        <w:rPr>
          <w:rFonts w:hint="eastAsia" w:ascii="Times New Roman" w:hAnsi="Times New Roman" w:cs="Times New Roman"/>
          <w:sz w:val="24"/>
          <w:szCs w:val="24"/>
          <w:lang w:val="en-US" w:eastAsia="zh-CN"/>
        </w:rPr>
        <w:t>邵阳县分局</w:t>
      </w:r>
      <w:r>
        <w:rPr>
          <w:rFonts w:hint="default" w:ascii="Times New Roman" w:hAnsi="Times New Roman" w:eastAsia="宋体" w:cs="Times New Roman"/>
          <w:sz w:val="24"/>
          <w:szCs w:val="24"/>
          <w:lang w:eastAsia="zh-CN"/>
        </w:rPr>
        <w:t>等单位的领导和代表（名单附后）。与会代表查看了项目的现场，听取了建设单位和验收监测单位关于该项目竣工环境保护验收有关情况的介绍，审阅了项目竣工</w:t>
      </w:r>
      <w:r>
        <w:rPr>
          <w:rFonts w:hint="eastAsia" w:ascii="Times New Roman" w:hAnsi="Times New Roman" w:cs="Times New Roman"/>
          <w:sz w:val="24"/>
          <w:szCs w:val="24"/>
          <w:lang w:val="en-US" w:eastAsia="zh-CN"/>
        </w:rPr>
        <w:t>环境保护</w:t>
      </w:r>
      <w:r>
        <w:rPr>
          <w:rFonts w:hint="default" w:ascii="Times New Roman" w:hAnsi="Times New Roman" w:eastAsia="宋体" w:cs="Times New Roman"/>
          <w:sz w:val="24"/>
          <w:szCs w:val="24"/>
          <w:lang w:eastAsia="zh-CN"/>
        </w:rPr>
        <w:t>验收资料，</w:t>
      </w:r>
      <w:r>
        <w:rPr>
          <w:rFonts w:hint="default" w:ascii="Times New Roman" w:hAnsi="Times New Roman" w:eastAsia="宋体" w:cs="Times New Roman"/>
          <w:sz w:val="24"/>
          <w:szCs w:val="24"/>
        </w:rPr>
        <w:t>严格依照国家有关法律法规、建设项目竣工环境保护验收技术规范、项目环境影响评价报告表和审批部门审批决定等要求对本项目进行验收</w:t>
      </w:r>
      <w:r>
        <w:rPr>
          <w:rFonts w:hint="default" w:ascii="Times New Roman" w:hAnsi="Times New Roman" w:eastAsia="宋体" w:cs="Times New Roman"/>
          <w:sz w:val="24"/>
          <w:szCs w:val="24"/>
          <w:lang w:eastAsia="zh-CN"/>
        </w:rPr>
        <w:t>。提出意见如下：</w:t>
      </w:r>
    </w:p>
    <w:p w14:paraId="178FDD51">
      <w:pPr>
        <w:spacing w:line="360" w:lineRule="auto"/>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一、工程建设基本情况</w:t>
      </w:r>
    </w:p>
    <w:p w14:paraId="229369FF">
      <w:pPr>
        <w:spacing w:line="360" w:lineRule="auto"/>
        <w:ind w:firstLine="480" w:firstLineChars="200"/>
        <w:jc w:val="left"/>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（一）建设地点、规模、主要建设内容</w:t>
      </w:r>
    </w:p>
    <w:p w14:paraId="7158C2AE">
      <w:pPr>
        <w:spacing w:line="360" w:lineRule="auto"/>
        <w:ind w:firstLine="48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邵阳市鑫腾阻燃新材料科技有限公司</w:t>
      </w:r>
      <w:r>
        <w:rPr>
          <w:rFonts w:hint="default" w:ascii="Times New Roman" w:hAnsi="Times New Roman" w:cs="Times New Roman" w:eastAsiaTheme="minorEastAsia"/>
          <w:sz w:val="24"/>
          <w:szCs w:val="24"/>
          <w:lang w:val="en-US" w:eastAsia="zh-CN"/>
        </w:rPr>
        <w:t>位于</w:t>
      </w:r>
      <w:r>
        <w:rPr>
          <w:rFonts w:hint="default" w:ascii="Times New Roman" w:hAnsi="Times New Roman" w:cs="Times New Roman"/>
          <w:sz w:val="24"/>
          <w:szCs w:val="24"/>
          <w:lang w:val="en-US" w:eastAsia="zh-CN"/>
        </w:rPr>
        <w:t>湖南省邵阳县长阳铺镇长阳铺村工业集中区5栋厂房</w:t>
      </w:r>
      <w:r>
        <w:rPr>
          <w:rFonts w:hint="default" w:ascii="Times New Roman" w:hAnsi="Times New Roman" w:cs="Times New Roman" w:eastAsiaTheme="minorEastAsia"/>
          <w:sz w:val="24"/>
          <w:szCs w:val="24"/>
          <w:lang w:val="en-US" w:eastAsia="zh-CN"/>
        </w:rPr>
        <w:t>。本项目于202</w:t>
      </w:r>
      <w:r>
        <w:rPr>
          <w:rFonts w:hint="eastAsia" w:ascii="Times New Roman" w:hAnsi="Times New Roman" w:cs="Times New Roman"/>
          <w:sz w:val="24"/>
          <w:szCs w:val="24"/>
          <w:lang w:val="en-US" w:eastAsia="zh-CN"/>
        </w:rPr>
        <w:t>4</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sz w:val="24"/>
          <w:szCs w:val="24"/>
          <w:lang w:val="en-US" w:eastAsia="zh-CN"/>
        </w:rPr>
        <w:t>7</w:t>
      </w:r>
      <w:r>
        <w:rPr>
          <w:rFonts w:hint="default" w:ascii="Times New Roman" w:hAnsi="Times New Roman" w:cs="Times New Roman" w:eastAsiaTheme="minorEastAsia"/>
          <w:sz w:val="24"/>
          <w:szCs w:val="24"/>
          <w:lang w:val="en-US" w:eastAsia="zh-CN"/>
        </w:rPr>
        <w:t>月开始建设，于202</w:t>
      </w:r>
      <w:r>
        <w:rPr>
          <w:rFonts w:hint="eastAsia" w:ascii="Times New Roman" w:hAnsi="Times New Roman" w:cs="Times New Roman"/>
          <w:sz w:val="24"/>
          <w:szCs w:val="24"/>
          <w:lang w:val="en-US" w:eastAsia="zh-CN"/>
        </w:rPr>
        <w:t>4</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sz w:val="24"/>
          <w:szCs w:val="24"/>
          <w:lang w:val="en-US" w:eastAsia="zh-CN"/>
        </w:rPr>
        <w:t>10</w:t>
      </w:r>
      <w:r>
        <w:rPr>
          <w:rFonts w:hint="default" w:ascii="Times New Roman" w:hAnsi="Times New Roman" w:cs="Times New Roman" w:eastAsiaTheme="minorEastAsia"/>
          <w:sz w:val="24"/>
          <w:szCs w:val="24"/>
          <w:lang w:val="en-US" w:eastAsia="zh-CN"/>
        </w:rPr>
        <w:t>月建成投产。项目实际总投资</w:t>
      </w:r>
      <w:r>
        <w:rPr>
          <w:rFonts w:hint="eastAsia" w:ascii="Times New Roman" w:hAnsi="Times New Roman" w:cs="Times New Roman"/>
          <w:sz w:val="24"/>
          <w:szCs w:val="24"/>
          <w:lang w:val="en-US" w:eastAsia="zh-CN"/>
        </w:rPr>
        <w:t>12</w:t>
      </w:r>
      <w:r>
        <w:rPr>
          <w:rFonts w:hint="default" w:ascii="Times New Roman" w:hAnsi="Times New Roman" w:cs="Times New Roman" w:eastAsiaTheme="minorEastAsia"/>
          <w:sz w:val="24"/>
          <w:szCs w:val="24"/>
          <w:lang w:val="en-US" w:eastAsia="zh-CN"/>
        </w:rPr>
        <w:t>00万元，占地面积</w:t>
      </w:r>
      <w:r>
        <w:rPr>
          <w:rFonts w:hint="eastAsia" w:ascii="Times New Roman" w:hAnsi="Times New Roman" w:cs="Times New Roman"/>
          <w:sz w:val="24"/>
          <w:szCs w:val="24"/>
          <w:lang w:val="en-US" w:eastAsia="zh-CN"/>
        </w:rPr>
        <w:t>3650</w:t>
      </w:r>
      <w:r>
        <w:rPr>
          <w:rFonts w:hint="default" w:ascii="Times New Roman" w:hAnsi="Times New Roman" w:cs="Times New Roman" w:eastAsiaTheme="minorEastAsia"/>
          <w:sz w:val="24"/>
          <w:szCs w:val="24"/>
          <w:lang w:val="en-US" w:eastAsia="zh-CN"/>
        </w:rPr>
        <w:t>平方米。主要建设内容包括主体工程：生产厂房1F，占地面积1120m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，储运工程：原料仓和成品仓，并配套建设辅助公用工程、安全环保工程等。</w:t>
      </w:r>
    </w:p>
    <w:p w14:paraId="5312DBB1">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（二）建设过程及环保审批情况</w:t>
      </w:r>
    </w:p>
    <w:p w14:paraId="4732AACE">
      <w:pPr>
        <w:spacing w:line="360" w:lineRule="auto"/>
        <w:ind w:firstLine="48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邵阳市鑫腾阻燃新材料科技有限公司红磷阻燃剂建设项目已于20</w:t>
      </w:r>
      <w:r>
        <w:rPr>
          <w:rFonts w:hint="eastAsia" w:ascii="Times New Roman" w:hAnsi="Times New Roman" w:cs="Times New Roman"/>
          <w:sz w:val="24"/>
          <w:lang w:val="en-US" w:eastAsia="zh-CN"/>
        </w:rPr>
        <w:t>24</w:t>
      </w:r>
      <w:r>
        <w:rPr>
          <w:rFonts w:hint="default" w:ascii="Times New Roman" w:hAnsi="Times New Roman" w:cs="Times New Roman"/>
          <w:sz w:val="24"/>
          <w:lang w:val="en-US" w:eastAsia="zh-CN"/>
        </w:rPr>
        <w:t>年</w:t>
      </w:r>
      <w:r>
        <w:rPr>
          <w:rFonts w:hint="eastAsia" w:ascii="Times New Roman" w:hAnsi="Times New Roman" w:cs="Times New Roman"/>
          <w:sz w:val="24"/>
          <w:lang w:val="en-US" w:eastAsia="zh-CN"/>
        </w:rPr>
        <w:t>5</w:t>
      </w:r>
      <w:r>
        <w:rPr>
          <w:rFonts w:hint="default" w:ascii="Times New Roman" w:hAnsi="Times New Roman" w:cs="Times New Roman"/>
          <w:sz w:val="24"/>
          <w:lang w:val="en-US" w:eastAsia="zh-CN"/>
        </w:rPr>
        <w:t>月委托湖南朗誉环保科技有限公司编制完成了《邵阳市鑫腾阻燃新材料科技有限公司红磷阻燃剂建设项目环境影响报告表》，并于2024年7月18日由邵阳市生态环境局邵阳县分局以《邵市环评（3）【2024】10号》文予以批复。公司于2024年10月16日获得邵阳市生态环境局发放的排污许可证，编号为91430523MADGF6KR14001V。</w:t>
      </w:r>
    </w:p>
    <w:p w14:paraId="0922A50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验收范围</w:t>
      </w:r>
    </w:p>
    <w:p w14:paraId="36CAE607">
      <w:pPr>
        <w:numPr>
          <w:ilvl w:val="0"/>
          <w:numId w:val="0"/>
        </w:numPr>
        <w:spacing w:line="360" w:lineRule="auto"/>
        <w:ind w:leftChars="0"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本项目的主体工程及配套设施、污染防治设施、环保管理制度以及污染物排放情况</w:t>
      </w:r>
      <w:r>
        <w:rPr>
          <w:rFonts w:hint="default" w:ascii="Times New Roman" w:hAnsi="Times New Roman" w:eastAsia="宋体" w:cs="Times New Roman"/>
          <w:b w:val="0"/>
          <w:bCs w:val="0"/>
          <w:color w:val="auto"/>
          <w:kern w:val="0"/>
          <w:sz w:val="24"/>
          <w:szCs w:val="24"/>
          <w:lang w:val="en-US" w:eastAsia="zh-CN"/>
        </w:rPr>
        <w:t>。</w:t>
      </w:r>
    </w:p>
    <w:p w14:paraId="3AF55168">
      <w:pPr>
        <w:numPr>
          <w:ilvl w:val="0"/>
          <w:numId w:val="2"/>
        </w:numPr>
        <w:spacing w:line="360" w:lineRule="auto"/>
        <w:ind w:leftChars="0"/>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工程变动情况</w:t>
      </w:r>
    </w:p>
    <w:p w14:paraId="31F82D9E">
      <w:pPr>
        <w:bidi w:val="0"/>
        <w:spacing w:line="360" w:lineRule="auto"/>
        <w:ind w:firstLine="480" w:firstLineChars="200"/>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对照环评和环评批复，本项目性质、生产工艺、规模、地点均符合环评及环评批复要求，不涉及建设项目的性质、规模、地点、生产工艺</w:t>
      </w:r>
      <w:r>
        <w:rPr>
          <w:rFonts w:hint="eastAsia" w:ascii="Times New Roman" w:hAnsi="Times New Roman" w:eastAsia="宋体" w:cs="Times New Roman"/>
          <w:sz w:val="24"/>
          <w:szCs w:val="22"/>
          <w:lang w:val="en-US" w:eastAsia="zh-CN"/>
        </w:rPr>
        <w:t>等</w:t>
      </w:r>
      <w:r>
        <w:rPr>
          <w:rFonts w:hint="default" w:ascii="Times New Roman" w:hAnsi="Times New Roman" w:eastAsia="宋体" w:cs="Times New Roman"/>
          <w:sz w:val="24"/>
          <w:szCs w:val="22"/>
          <w:lang w:val="en-US" w:eastAsia="zh-CN"/>
        </w:rPr>
        <w:t>因素的变动，与环评一致；项目变动</w:t>
      </w:r>
      <w:r>
        <w:rPr>
          <w:rFonts w:hint="eastAsia" w:ascii="Times New Roman" w:hAnsi="Times New Roman" w:eastAsia="宋体" w:cs="Times New Roman"/>
          <w:sz w:val="24"/>
          <w:szCs w:val="22"/>
          <w:lang w:val="en-US" w:eastAsia="zh-CN"/>
        </w:rPr>
        <w:t>情况</w:t>
      </w:r>
      <w:r>
        <w:rPr>
          <w:rFonts w:hint="default" w:ascii="Times New Roman" w:hAnsi="Times New Roman" w:eastAsia="宋体" w:cs="Times New Roman"/>
          <w:sz w:val="24"/>
          <w:szCs w:val="22"/>
          <w:lang w:val="en-US" w:eastAsia="zh-CN"/>
        </w:rPr>
        <w:t>见表3-</w:t>
      </w:r>
      <w:r>
        <w:rPr>
          <w:rFonts w:hint="eastAsia" w:ascii="Times New Roman" w:hAnsi="Times New Roman" w:eastAsia="宋体" w:cs="Times New Roman"/>
          <w:sz w:val="24"/>
          <w:szCs w:val="22"/>
          <w:lang w:val="en-US" w:eastAsia="zh-CN"/>
        </w:rPr>
        <w:t>4</w:t>
      </w:r>
      <w:r>
        <w:rPr>
          <w:rFonts w:hint="default" w:ascii="Times New Roman" w:hAnsi="Times New Roman" w:eastAsia="宋体" w:cs="Times New Roman"/>
          <w:sz w:val="24"/>
          <w:szCs w:val="22"/>
          <w:lang w:val="en-US" w:eastAsia="zh-CN"/>
        </w:rPr>
        <w:t>。</w:t>
      </w:r>
    </w:p>
    <w:p w14:paraId="5E87C7B1">
      <w:pPr>
        <w:bidi w:val="0"/>
        <w:spacing w:line="360" w:lineRule="auto"/>
        <w:ind w:left="0" w:leftChars="0"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表3-</w:t>
      </w:r>
      <w:r>
        <w:rPr>
          <w:rFonts w:hint="eastAsia" w:ascii="Times New Roman" w:hAnsi="Times New Roman" w:eastAsia="宋体" w:cs="Times New Roman"/>
          <w:b/>
          <w:bCs/>
          <w:sz w:val="21"/>
          <w:szCs w:val="21"/>
          <w:lang w:val="en-US" w:eastAsia="zh-CN"/>
        </w:rPr>
        <w:t>4</w:t>
      </w:r>
      <w:r>
        <w:rPr>
          <w:rFonts w:hint="default" w:ascii="Times New Roman" w:hAnsi="Times New Roman" w:eastAsia="宋体" w:cs="Times New Roman"/>
          <w:b/>
          <w:bCs/>
          <w:sz w:val="21"/>
          <w:szCs w:val="21"/>
          <w:lang w:val="en-US" w:eastAsia="zh-CN"/>
        </w:rPr>
        <w:t xml:space="preserve">  项目变动情况一览表</w:t>
      </w:r>
    </w:p>
    <w:tbl>
      <w:tblPr>
        <w:tblStyle w:val="12"/>
        <w:tblW w:w="8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15"/>
        <w:gridCol w:w="3429"/>
        <w:gridCol w:w="2689"/>
        <w:gridCol w:w="1232"/>
      </w:tblGrid>
      <w:tr w14:paraId="6344F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217C1FC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序号</w:t>
            </w:r>
          </w:p>
        </w:tc>
        <w:tc>
          <w:tcPr>
            <w:tcW w:w="815" w:type="dxa"/>
            <w:noWrap w:val="0"/>
            <w:vAlign w:val="center"/>
          </w:tcPr>
          <w:p w14:paraId="6D462D6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类别</w:t>
            </w:r>
          </w:p>
        </w:tc>
        <w:tc>
          <w:tcPr>
            <w:tcW w:w="3429" w:type="dxa"/>
            <w:noWrap w:val="0"/>
            <w:vAlign w:val="center"/>
          </w:tcPr>
          <w:p w14:paraId="5A283AC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变动清单</w:t>
            </w:r>
          </w:p>
        </w:tc>
        <w:tc>
          <w:tcPr>
            <w:tcW w:w="2689" w:type="dxa"/>
            <w:noWrap w:val="0"/>
            <w:vAlign w:val="center"/>
          </w:tcPr>
          <w:p w14:paraId="7800FD0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实际建设情况</w:t>
            </w:r>
          </w:p>
        </w:tc>
        <w:tc>
          <w:tcPr>
            <w:tcW w:w="1232" w:type="dxa"/>
            <w:noWrap w:val="0"/>
            <w:vAlign w:val="center"/>
          </w:tcPr>
          <w:p w14:paraId="7FDC3923">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
                <w:bCs w:val="0"/>
                <w:kern w:val="0"/>
                <w:sz w:val="21"/>
                <w:szCs w:val="21"/>
                <w:lang w:val="en-US" w:eastAsia="zh-CN" w:bidi="ar-SA"/>
              </w:rPr>
            </w:pPr>
            <w:r>
              <w:rPr>
                <w:rFonts w:hint="eastAsia" w:ascii="Times New Roman" w:hAnsi="Times New Roman" w:eastAsia="宋体" w:cs="Times New Roman"/>
                <w:b/>
                <w:bCs w:val="0"/>
                <w:kern w:val="0"/>
                <w:sz w:val="21"/>
                <w:szCs w:val="21"/>
                <w:lang w:val="en-US" w:eastAsia="zh-CN" w:bidi="ar-SA"/>
              </w:rPr>
              <w:t>备注</w:t>
            </w:r>
          </w:p>
        </w:tc>
      </w:tr>
      <w:tr w14:paraId="0336A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648AB52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w:t>
            </w:r>
          </w:p>
        </w:tc>
        <w:tc>
          <w:tcPr>
            <w:tcW w:w="815" w:type="dxa"/>
            <w:noWrap w:val="0"/>
            <w:vAlign w:val="center"/>
          </w:tcPr>
          <w:p w14:paraId="671C859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性质</w:t>
            </w:r>
          </w:p>
        </w:tc>
        <w:tc>
          <w:tcPr>
            <w:tcW w:w="3429" w:type="dxa"/>
            <w:noWrap w:val="0"/>
            <w:vAlign w:val="center"/>
          </w:tcPr>
          <w:p w14:paraId="6F65FBA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建设项目开发、使用功能发生变化的。</w:t>
            </w:r>
          </w:p>
        </w:tc>
        <w:tc>
          <w:tcPr>
            <w:tcW w:w="2689" w:type="dxa"/>
            <w:noWrap w:val="0"/>
            <w:vAlign w:val="center"/>
          </w:tcPr>
          <w:p w14:paraId="6D807D9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项目为新建项目，属于专用化学产品制造</w:t>
            </w:r>
          </w:p>
        </w:tc>
        <w:tc>
          <w:tcPr>
            <w:tcW w:w="1232" w:type="dxa"/>
            <w:noWrap w:val="0"/>
            <w:vAlign w:val="center"/>
          </w:tcPr>
          <w:p w14:paraId="11661DAB">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10DD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3EA2BAC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2</w:t>
            </w:r>
          </w:p>
        </w:tc>
        <w:tc>
          <w:tcPr>
            <w:tcW w:w="815" w:type="dxa"/>
            <w:vMerge w:val="restart"/>
            <w:noWrap w:val="0"/>
            <w:vAlign w:val="center"/>
          </w:tcPr>
          <w:p w14:paraId="74195D6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规模</w:t>
            </w:r>
          </w:p>
        </w:tc>
        <w:tc>
          <w:tcPr>
            <w:tcW w:w="3429" w:type="dxa"/>
            <w:noWrap w:val="0"/>
            <w:vAlign w:val="center"/>
          </w:tcPr>
          <w:p w14:paraId="037B64C8">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生产、处置或储存能力增大30%及以上的。</w:t>
            </w:r>
          </w:p>
        </w:tc>
        <w:tc>
          <w:tcPr>
            <w:tcW w:w="2689" w:type="dxa"/>
            <w:noWrap w:val="0"/>
            <w:vAlign w:val="center"/>
          </w:tcPr>
          <w:p w14:paraId="69DF3F1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项目实际产量年产油相超细红磷阻燃剂4000吨（其中2000吨直接外售、2000吨用于生产红磷阻燃母粒）、红磷阻燃母粒4000吨，生产规模、生产工艺、处置、储存能力未变化</w:t>
            </w:r>
          </w:p>
        </w:tc>
        <w:tc>
          <w:tcPr>
            <w:tcW w:w="1232" w:type="dxa"/>
            <w:noWrap w:val="0"/>
            <w:vAlign w:val="center"/>
          </w:tcPr>
          <w:p w14:paraId="12BABCA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0FEAD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5211842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3</w:t>
            </w:r>
          </w:p>
        </w:tc>
        <w:tc>
          <w:tcPr>
            <w:tcW w:w="815" w:type="dxa"/>
            <w:vMerge w:val="continue"/>
            <w:noWrap w:val="0"/>
            <w:vAlign w:val="center"/>
          </w:tcPr>
          <w:p w14:paraId="6A0E89E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1603F87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生产、处置或储存能力增大，导致废水第一类污染物排放量增加的</w:t>
            </w:r>
          </w:p>
        </w:tc>
        <w:tc>
          <w:tcPr>
            <w:tcW w:w="2689" w:type="dxa"/>
            <w:noWrap w:val="0"/>
            <w:vAlign w:val="center"/>
          </w:tcPr>
          <w:p w14:paraId="1F669CD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项目生产规模、生产工艺、处置、储存能力未变化，不属于重大变更</w:t>
            </w:r>
          </w:p>
        </w:tc>
        <w:tc>
          <w:tcPr>
            <w:tcW w:w="1232" w:type="dxa"/>
            <w:noWrap w:val="0"/>
            <w:vAlign w:val="center"/>
          </w:tcPr>
          <w:p w14:paraId="5CF0E41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4580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0F0A31C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4</w:t>
            </w:r>
          </w:p>
        </w:tc>
        <w:tc>
          <w:tcPr>
            <w:tcW w:w="815" w:type="dxa"/>
            <w:vMerge w:val="continue"/>
            <w:noWrap w:val="0"/>
            <w:vAlign w:val="center"/>
          </w:tcPr>
          <w:p w14:paraId="6D88B9DD">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0502570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位于环境质量不达标区的建设项目生产、处置或储存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2689" w:type="dxa"/>
            <w:noWrap w:val="0"/>
            <w:vAlign w:val="center"/>
          </w:tcPr>
          <w:p w14:paraId="1196428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本项目位于环境质量达标区，项目污染物排放量与环评相比未发生变化，不属于重大变动</w:t>
            </w:r>
          </w:p>
        </w:tc>
        <w:tc>
          <w:tcPr>
            <w:tcW w:w="1232" w:type="dxa"/>
            <w:noWrap w:val="0"/>
            <w:vAlign w:val="center"/>
          </w:tcPr>
          <w:p w14:paraId="7BB8D3F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37EC1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5A86C50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5</w:t>
            </w:r>
          </w:p>
        </w:tc>
        <w:tc>
          <w:tcPr>
            <w:tcW w:w="815" w:type="dxa"/>
            <w:noWrap w:val="0"/>
            <w:vAlign w:val="center"/>
          </w:tcPr>
          <w:p w14:paraId="2512434B">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地点</w:t>
            </w:r>
          </w:p>
        </w:tc>
        <w:tc>
          <w:tcPr>
            <w:tcW w:w="3429" w:type="dxa"/>
            <w:noWrap w:val="0"/>
            <w:vAlign w:val="center"/>
          </w:tcPr>
          <w:p w14:paraId="60510A4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重新选址；在原厂址附近调整(包括总平面布置变化)导致环境防护距离范围变化且新增敏感点的。</w:t>
            </w:r>
          </w:p>
        </w:tc>
        <w:tc>
          <w:tcPr>
            <w:tcW w:w="2689" w:type="dxa"/>
            <w:noWrap w:val="0"/>
            <w:vAlign w:val="center"/>
          </w:tcPr>
          <w:p w14:paraId="2739B178">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项目位置不变，无防护距离变化或敏感点变化</w:t>
            </w:r>
          </w:p>
        </w:tc>
        <w:tc>
          <w:tcPr>
            <w:tcW w:w="1232" w:type="dxa"/>
            <w:noWrap w:val="0"/>
            <w:vAlign w:val="center"/>
          </w:tcPr>
          <w:p w14:paraId="581591A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4EAF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655A8EE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6</w:t>
            </w:r>
          </w:p>
        </w:tc>
        <w:tc>
          <w:tcPr>
            <w:tcW w:w="815" w:type="dxa"/>
            <w:vMerge w:val="restart"/>
            <w:noWrap w:val="0"/>
            <w:vAlign w:val="center"/>
          </w:tcPr>
          <w:p w14:paraId="6D47E5F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生产工艺</w:t>
            </w:r>
          </w:p>
        </w:tc>
        <w:tc>
          <w:tcPr>
            <w:tcW w:w="3429" w:type="dxa"/>
            <w:noWrap w:val="0"/>
            <w:vAlign w:val="center"/>
          </w:tcPr>
          <w:p w14:paraId="5E6D233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新增产品品种或生产工艺（含主要生产装置、设备及配套设施）、主要原辅材料、燃料变化，导致以下情形之一：</w:t>
            </w:r>
          </w:p>
          <w:p w14:paraId="578EF42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1）新增排放污染物种类的（毒性、挥发性降低的除外）；</w:t>
            </w:r>
          </w:p>
          <w:p w14:paraId="7DD27A2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2）位于环境质量不达标区的建设项目相应污染物排放量增加的；</w:t>
            </w:r>
          </w:p>
          <w:p w14:paraId="0E21A1E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3）废水第一类污染物排放量增加的；</w:t>
            </w:r>
          </w:p>
          <w:p w14:paraId="2C4FC46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4）其他污染物排放量增加10%及以上的。</w:t>
            </w:r>
          </w:p>
        </w:tc>
        <w:tc>
          <w:tcPr>
            <w:tcW w:w="2689" w:type="dxa"/>
            <w:noWrap w:val="0"/>
            <w:vAlign w:val="center"/>
          </w:tcPr>
          <w:p w14:paraId="7EBC25E2">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本项目实际产量年产油相超细红磷阻燃剂4000吨（其中2000吨直接外售、2000吨用于生产红磷阻燃母粒）、红磷阻燃母粒4000吨，与环评相比不变，原辅材料使用未发生变化，不会导致新增污染物排放种类与新增污染物排放量</w:t>
            </w:r>
          </w:p>
        </w:tc>
        <w:tc>
          <w:tcPr>
            <w:tcW w:w="1232" w:type="dxa"/>
            <w:noWrap w:val="0"/>
            <w:vAlign w:val="center"/>
          </w:tcPr>
          <w:p w14:paraId="49B61CC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570C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46E84D63">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7</w:t>
            </w:r>
          </w:p>
        </w:tc>
        <w:tc>
          <w:tcPr>
            <w:tcW w:w="815" w:type="dxa"/>
            <w:vMerge w:val="continue"/>
            <w:noWrap w:val="0"/>
            <w:vAlign w:val="center"/>
          </w:tcPr>
          <w:p w14:paraId="7C17903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3D09A8F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物料运输、装卸、贮存方式变化，导致大气污染物无组织排放量增加10%及以上的。</w:t>
            </w:r>
          </w:p>
        </w:tc>
        <w:tc>
          <w:tcPr>
            <w:tcW w:w="2689" w:type="dxa"/>
            <w:noWrap w:val="0"/>
            <w:vAlign w:val="center"/>
          </w:tcPr>
          <w:p w14:paraId="352F942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物料运输、装卸、贮存方式无变化</w:t>
            </w:r>
          </w:p>
        </w:tc>
        <w:tc>
          <w:tcPr>
            <w:tcW w:w="1232" w:type="dxa"/>
            <w:noWrap w:val="0"/>
            <w:vAlign w:val="center"/>
          </w:tcPr>
          <w:p w14:paraId="52A58CC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521DA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0894733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8</w:t>
            </w:r>
          </w:p>
        </w:tc>
        <w:tc>
          <w:tcPr>
            <w:tcW w:w="815" w:type="dxa"/>
            <w:vMerge w:val="restart"/>
            <w:noWrap w:val="0"/>
            <w:vAlign w:val="center"/>
          </w:tcPr>
          <w:p w14:paraId="52C2C317">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环境保护措施</w:t>
            </w:r>
          </w:p>
        </w:tc>
        <w:tc>
          <w:tcPr>
            <w:tcW w:w="3429" w:type="dxa"/>
            <w:noWrap w:val="0"/>
            <w:vAlign w:val="center"/>
          </w:tcPr>
          <w:p w14:paraId="5096AAC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废气、废水污染防治措施变化，导致第 6条中所列情形之一（废气无组织排放改为有组织排放、污染防治措施强化或改进的除外）或大气污染物无组织排放量增加10%及以上的。</w:t>
            </w:r>
          </w:p>
        </w:tc>
        <w:tc>
          <w:tcPr>
            <w:tcW w:w="2689" w:type="dxa"/>
            <w:noWrap w:val="0"/>
            <w:vAlign w:val="center"/>
          </w:tcPr>
          <w:p w14:paraId="0290E84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振动搅拌废气处理措施由布袋除尘器变动为喷淋除尘；挤出废气处理措施由“过滤棉过滤+油雾净化器+UV光催化氧化+活性炭吸附”变动为“喷淋（油雾净化）+UV光催化氧化+活性炭吸附”；废水污染防治措施相较环评未变化，不会导致污染物排放量增加</w:t>
            </w:r>
          </w:p>
        </w:tc>
        <w:tc>
          <w:tcPr>
            <w:tcW w:w="1232" w:type="dxa"/>
            <w:noWrap w:val="0"/>
            <w:vAlign w:val="center"/>
          </w:tcPr>
          <w:p w14:paraId="73C0196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无重大变动</w:t>
            </w:r>
          </w:p>
        </w:tc>
      </w:tr>
      <w:tr w14:paraId="26E7B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7D3DFBB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9</w:t>
            </w:r>
          </w:p>
        </w:tc>
        <w:tc>
          <w:tcPr>
            <w:tcW w:w="815" w:type="dxa"/>
            <w:vMerge w:val="continue"/>
            <w:noWrap w:val="0"/>
            <w:vAlign w:val="center"/>
          </w:tcPr>
          <w:p w14:paraId="4213D01C">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0B665A7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新增废水直接排放口；废水由间接排放改为直接排放；废水直接排放口位置变化，导致不利环境影响加重的</w:t>
            </w:r>
          </w:p>
        </w:tc>
        <w:tc>
          <w:tcPr>
            <w:tcW w:w="2689" w:type="dxa"/>
            <w:noWrap w:val="0"/>
            <w:vAlign w:val="center"/>
          </w:tcPr>
          <w:p w14:paraId="342D0F88">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项目生产废水经混凝沉淀处理后回用，不外排；生活污水经化粪池处理后纳入长阳铺镇污水处理厂处理，废水排放方式、排放口无变化</w:t>
            </w:r>
          </w:p>
        </w:tc>
        <w:tc>
          <w:tcPr>
            <w:tcW w:w="1232" w:type="dxa"/>
            <w:noWrap w:val="0"/>
            <w:vAlign w:val="center"/>
          </w:tcPr>
          <w:p w14:paraId="5B349917">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3503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0F3D5C2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10</w:t>
            </w:r>
          </w:p>
        </w:tc>
        <w:tc>
          <w:tcPr>
            <w:tcW w:w="815" w:type="dxa"/>
            <w:vMerge w:val="continue"/>
            <w:noWrap w:val="0"/>
            <w:vAlign w:val="center"/>
          </w:tcPr>
          <w:p w14:paraId="1EAB8EA7">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47C608D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新增废气主要排放口（废气无组织排放改为有组织排放的除外）；主要排放口排气筒高度降低10%及以上的。</w:t>
            </w:r>
          </w:p>
        </w:tc>
        <w:tc>
          <w:tcPr>
            <w:tcW w:w="2689" w:type="dxa"/>
            <w:noWrap w:val="0"/>
            <w:vAlign w:val="center"/>
          </w:tcPr>
          <w:p w14:paraId="1F275A35">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项目未新增废气排放口或排气筒高度降低10%及以上</w:t>
            </w:r>
          </w:p>
        </w:tc>
        <w:tc>
          <w:tcPr>
            <w:tcW w:w="1232" w:type="dxa"/>
            <w:noWrap w:val="0"/>
            <w:vAlign w:val="center"/>
          </w:tcPr>
          <w:p w14:paraId="4B8B4E41">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19A4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43F373F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11</w:t>
            </w:r>
          </w:p>
        </w:tc>
        <w:tc>
          <w:tcPr>
            <w:tcW w:w="815" w:type="dxa"/>
            <w:vMerge w:val="continue"/>
            <w:noWrap w:val="0"/>
            <w:vAlign w:val="center"/>
          </w:tcPr>
          <w:p w14:paraId="1E1FAB1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08525E98">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噪声、土壤或地下水污染防治措施变化，导致不利环境影响加重的。</w:t>
            </w:r>
          </w:p>
        </w:tc>
        <w:tc>
          <w:tcPr>
            <w:tcW w:w="2689" w:type="dxa"/>
            <w:noWrap w:val="0"/>
            <w:vAlign w:val="center"/>
          </w:tcPr>
          <w:p w14:paraId="78716CD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噪声、土壤或地下水污染防治措施无变化</w:t>
            </w:r>
          </w:p>
        </w:tc>
        <w:tc>
          <w:tcPr>
            <w:tcW w:w="1232" w:type="dxa"/>
            <w:noWrap w:val="0"/>
            <w:vAlign w:val="center"/>
          </w:tcPr>
          <w:p w14:paraId="010F1EB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2B63E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1F3651EB">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12</w:t>
            </w:r>
          </w:p>
        </w:tc>
        <w:tc>
          <w:tcPr>
            <w:tcW w:w="815" w:type="dxa"/>
            <w:vMerge w:val="continue"/>
            <w:noWrap w:val="0"/>
            <w:vAlign w:val="center"/>
          </w:tcPr>
          <w:p w14:paraId="18E5EAE7">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788B1BEF">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固体废物利用处置方式由委托外单位利用处置改为自行利用处置的（自行利用处置设施单独开展环境影响评价的除外）；固体废物自行处置方式变化，导致不利环境影响加重的。</w:t>
            </w:r>
          </w:p>
        </w:tc>
        <w:tc>
          <w:tcPr>
            <w:tcW w:w="2689" w:type="dxa"/>
            <w:noWrap w:val="0"/>
            <w:vAlign w:val="center"/>
          </w:tcPr>
          <w:p w14:paraId="3E0D6E5A">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废包装材料收集后由原料生产厂家回收利用；喷淋沉渣、车间清扫收集的粉尘全部回用于生产；喷淋沉渣、废吸油纸、废活性炭、废润滑油、废UV灯管等分类收集于危废暂存间储存，委托有资质单位规范处置；废油泥经定期清捞后回用于生产，项目固废处理方式未发生变化</w:t>
            </w:r>
          </w:p>
        </w:tc>
        <w:tc>
          <w:tcPr>
            <w:tcW w:w="1232" w:type="dxa"/>
            <w:noWrap w:val="0"/>
            <w:vAlign w:val="center"/>
          </w:tcPr>
          <w:p w14:paraId="32C33E14">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r w14:paraId="47B1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trPr>
        <w:tc>
          <w:tcPr>
            <w:tcW w:w="733" w:type="dxa"/>
            <w:noWrap w:val="0"/>
            <w:vAlign w:val="center"/>
          </w:tcPr>
          <w:p w14:paraId="0402926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13</w:t>
            </w:r>
          </w:p>
        </w:tc>
        <w:tc>
          <w:tcPr>
            <w:tcW w:w="815" w:type="dxa"/>
            <w:vMerge w:val="continue"/>
            <w:noWrap w:val="0"/>
            <w:vAlign w:val="center"/>
          </w:tcPr>
          <w:p w14:paraId="372A40FE">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p>
        </w:tc>
        <w:tc>
          <w:tcPr>
            <w:tcW w:w="3429" w:type="dxa"/>
            <w:noWrap w:val="0"/>
            <w:vAlign w:val="center"/>
          </w:tcPr>
          <w:p w14:paraId="328D7C56">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事故废水暂存能力或拦截设施变化，导致环境风险防范能力弱化或降低的。</w:t>
            </w:r>
          </w:p>
        </w:tc>
        <w:tc>
          <w:tcPr>
            <w:tcW w:w="2689" w:type="dxa"/>
            <w:noWrap w:val="0"/>
            <w:vAlign w:val="center"/>
          </w:tcPr>
          <w:p w14:paraId="64D5ABC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both"/>
              <w:textAlignment w:val="auto"/>
              <w:rPr>
                <w:rFonts w:hint="eastAsia"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无变化</w:t>
            </w:r>
          </w:p>
        </w:tc>
        <w:tc>
          <w:tcPr>
            <w:tcW w:w="1232" w:type="dxa"/>
            <w:noWrap w:val="0"/>
            <w:vAlign w:val="center"/>
          </w:tcPr>
          <w:p w14:paraId="175E0C49">
            <w:pPr>
              <w:widowControl w:val="0"/>
              <w:pBdr>
                <w:bottom w:val="none" w:color="auto" w:sz="0" w:space="0"/>
                <w:right w:val="none" w:color="auto" w:sz="0" w:space="0"/>
              </w:pBdr>
              <w:adjustRightInd w:val="0"/>
              <w:snapToGrid w:val="0"/>
              <w:spacing w:before="0" w:beforeAutospacing="0" w:after="0" w:afterAutospacing="0" w:line="240" w:lineRule="auto"/>
              <w:ind w:firstLine="0" w:firstLineChars="0"/>
              <w:jc w:val="center"/>
              <w:textAlignment w:val="auto"/>
              <w:rPr>
                <w:rFonts w:hint="default" w:ascii="Times New Roman" w:hAnsi="Times New Roman" w:eastAsia="宋体" w:cs="Times New Roman"/>
                <w:bCs/>
                <w:kern w:val="0"/>
                <w:sz w:val="21"/>
                <w:szCs w:val="21"/>
                <w:lang w:val="en-US" w:eastAsia="zh-CN" w:bidi="ar-SA"/>
              </w:rPr>
            </w:pPr>
            <w:r>
              <w:rPr>
                <w:rFonts w:hint="eastAsia" w:ascii="Times New Roman" w:hAnsi="Times New Roman" w:eastAsia="宋体" w:cs="Times New Roman"/>
                <w:bCs/>
                <w:kern w:val="0"/>
                <w:sz w:val="21"/>
                <w:szCs w:val="21"/>
                <w:lang w:val="en-US" w:eastAsia="zh-CN" w:bidi="ar-SA"/>
              </w:rPr>
              <w:t>无变动</w:t>
            </w:r>
          </w:p>
        </w:tc>
      </w:tr>
    </w:tbl>
    <w:p w14:paraId="674965A5">
      <w:pPr>
        <w:spacing w:line="360" w:lineRule="auto"/>
        <w:ind w:firstLine="480"/>
        <w:rPr>
          <w:rFonts w:hint="eastAsia" w:ascii="Times New Roman" w:hAnsi="Times New Roman" w:cs="Times New Roman" w:eastAsiaTheme="minorEastAsia"/>
          <w:sz w:val="24"/>
          <w:szCs w:val="24"/>
          <w:lang w:val="en-US" w:eastAsia="zh-CN"/>
        </w:rPr>
      </w:pPr>
      <w:r>
        <w:rPr>
          <w:rFonts w:hint="default" w:ascii="Times New Roman" w:hAnsi="Times New Roman" w:eastAsia="宋体" w:cs="Times New Roman"/>
          <w:sz w:val="24"/>
          <w:szCs w:val="22"/>
          <w:lang w:val="en-US" w:eastAsia="zh-CN"/>
        </w:rPr>
        <w:t>对照《污染影响类建设项目重大变动清单（试行）》的通知（环办环评函〔2020〕688号），本</w:t>
      </w:r>
      <w:r>
        <w:rPr>
          <w:rFonts w:hint="eastAsia" w:ascii="Times New Roman" w:hAnsi="Times New Roman" w:eastAsia="宋体" w:cs="Times New Roman"/>
          <w:sz w:val="24"/>
          <w:szCs w:val="22"/>
          <w:lang w:val="en-US" w:eastAsia="zh-CN"/>
        </w:rPr>
        <w:t>项目无</w:t>
      </w:r>
      <w:r>
        <w:rPr>
          <w:rFonts w:hint="default" w:ascii="Times New Roman" w:hAnsi="Times New Roman" w:eastAsia="宋体" w:cs="Times New Roman"/>
          <w:sz w:val="24"/>
          <w:szCs w:val="22"/>
          <w:lang w:val="en-US" w:eastAsia="zh-CN"/>
        </w:rPr>
        <w:t>重大变动。</w:t>
      </w:r>
    </w:p>
    <w:p w14:paraId="02E93477">
      <w:pPr>
        <w:numPr>
          <w:ilvl w:val="0"/>
          <w:numId w:val="0"/>
        </w:numPr>
        <w:spacing w:line="360" w:lineRule="auto"/>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三、环境保护设施建设情况</w:t>
      </w:r>
    </w:p>
    <w:p w14:paraId="5D65F43E">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（一）废水</w:t>
      </w:r>
    </w:p>
    <w:p w14:paraId="1C59E8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2"/>
          <w:lang w:val="en-US" w:eastAsia="zh-CN"/>
        </w:rPr>
      </w:pPr>
      <w:r>
        <w:rPr>
          <w:rFonts w:hint="default" w:ascii="Times New Roman" w:hAnsi="Times New Roman" w:eastAsia="宋体" w:cs="Times New Roman"/>
          <w:color w:val="auto"/>
          <w:sz w:val="24"/>
          <w:szCs w:val="22"/>
          <w:lang w:val="en-US" w:eastAsia="zh-CN"/>
        </w:rPr>
        <w:t>项目营运期生产用水主要包括砂磨机冷却用水、保温桶用水、员工工衣洗衣用水、员工洗手用水、挤出机间接冷却用水。其中，保温桶用水、挤出机间接冷却用水全部蒸发损耗掉；砂磨机冷却用水经导流沟导流至循环水池，再抽至循环水塔循环使用；员工工衣洗衣用水、洗手用水经六级沉淀池混凝沉淀处理后，上清液流至循环水池，再抽至循环水塔循环使用。因此，项目营运期生产废水不外排。外排的主要废水源为生活污水。</w:t>
      </w:r>
    </w:p>
    <w:p w14:paraId="3E32F5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2"/>
          <w:lang w:val="en-US" w:eastAsia="zh-CN"/>
        </w:rPr>
      </w:pPr>
      <w:r>
        <w:rPr>
          <w:rFonts w:hint="default" w:ascii="Times New Roman" w:hAnsi="Times New Roman" w:eastAsia="宋体" w:cs="Times New Roman"/>
          <w:color w:val="auto"/>
          <w:sz w:val="24"/>
          <w:szCs w:val="22"/>
          <w:lang w:val="en-US" w:eastAsia="zh-CN"/>
        </w:rPr>
        <w:t>生活污水：项目生活污水进入化粪池预处理，污染物排放浓度符合《污水综合排放标准》（GB8978-1996）三级标准要求</w:t>
      </w:r>
      <w:r>
        <w:rPr>
          <w:rFonts w:hint="eastAsia" w:ascii="Times New Roman" w:hAnsi="Times New Roman" w:eastAsia="宋体" w:cs="Times New Roman"/>
          <w:color w:val="auto"/>
          <w:sz w:val="24"/>
          <w:szCs w:val="22"/>
          <w:lang w:val="en-US" w:eastAsia="zh-CN"/>
        </w:rPr>
        <w:t>，</w:t>
      </w:r>
      <w:r>
        <w:rPr>
          <w:rFonts w:hint="default" w:ascii="Times New Roman" w:hAnsi="Times New Roman" w:eastAsia="宋体" w:cs="Times New Roman"/>
          <w:color w:val="auto"/>
          <w:sz w:val="24"/>
          <w:szCs w:val="22"/>
          <w:lang w:val="en-US" w:eastAsia="zh-CN"/>
        </w:rPr>
        <w:t>再通过</w:t>
      </w:r>
      <w:r>
        <w:rPr>
          <w:rFonts w:hint="eastAsia" w:ascii="Times New Roman" w:hAnsi="Times New Roman" w:eastAsia="宋体" w:cs="Times New Roman"/>
          <w:color w:val="auto"/>
          <w:sz w:val="24"/>
          <w:szCs w:val="22"/>
          <w:lang w:val="en-US" w:eastAsia="zh-CN"/>
        </w:rPr>
        <w:t>园区</w:t>
      </w:r>
      <w:r>
        <w:rPr>
          <w:rFonts w:hint="default" w:ascii="Times New Roman" w:hAnsi="Times New Roman" w:eastAsia="宋体" w:cs="Times New Roman"/>
          <w:color w:val="auto"/>
          <w:sz w:val="24"/>
          <w:szCs w:val="22"/>
          <w:lang w:val="en-US" w:eastAsia="zh-CN"/>
        </w:rPr>
        <w:t>市政污水管网进入长阳铺镇污水处理厂进一步处理达标后排入李山峰溪。</w:t>
      </w:r>
    </w:p>
    <w:p w14:paraId="66E26A13">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bookmarkStart w:id="0" w:name="_GoBack"/>
      <w:bookmarkEnd w:id="0"/>
      <w:r>
        <w:rPr>
          <w:rFonts w:hint="default" w:ascii="Times New Roman" w:hAnsi="Times New Roman" w:eastAsia="宋体" w:cs="Times New Roman"/>
          <w:sz w:val="24"/>
          <w:szCs w:val="24"/>
          <w:lang w:val="en-US" w:eastAsia="zh-CN"/>
        </w:rPr>
        <w:t>（二）废气</w:t>
      </w:r>
    </w:p>
    <w:p w14:paraId="4B529A09">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项目营运期废气污染物排放源主要为红磷阻燃母粒挤出废气、原料拆包产生的粉尘、</w:t>
      </w:r>
      <w:r>
        <w:rPr>
          <w:rFonts w:hint="eastAsia" w:ascii="Times New Roman" w:hAnsi="Times New Roman" w:eastAsia="宋体" w:cs="Times New Roman"/>
          <w:sz w:val="24"/>
          <w:szCs w:val="22"/>
          <w:lang w:val="en-US" w:eastAsia="zh-CN"/>
        </w:rPr>
        <w:t>球磨</w:t>
      </w:r>
      <w:r>
        <w:rPr>
          <w:rFonts w:hint="default" w:ascii="Times New Roman" w:hAnsi="Times New Roman" w:eastAsia="宋体" w:cs="Times New Roman"/>
          <w:sz w:val="24"/>
          <w:szCs w:val="22"/>
          <w:lang w:val="en-US" w:eastAsia="zh-CN"/>
        </w:rPr>
        <w:t>投料粉尘</w:t>
      </w:r>
      <w:r>
        <w:rPr>
          <w:rFonts w:hint="eastAsia" w:ascii="Times New Roman" w:hAnsi="Times New Roman" w:eastAsia="宋体" w:cs="Times New Roman"/>
          <w:sz w:val="24"/>
          <w:szCs w:val="22"/>
          <w:lang w:val="en-US" w:eastAsia="zh-CN"/>
        </w:rPr>
        <w:t>和振动搅拌产生的颗粒物</w:t>
      </w:r>
      <w:r>
        <w:rPr>
          <w:rFonts w:hint="default" w:ascii="Times New Roman" w:hAnsi="Times New Roman" w:eastAsia="宋体" w:cs="Times New Roman"/>
          <w:sz w:val="24"/>
          <w:szCs w:val="22"/>
          <w:lang w:val="en-US" w:eastAsia="zh-CN"/>
        </w:rPr>
        <w:t>。</w:t>
      </w:r>
    </w:p>
    <w:p w14:paraId="09538C48">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①红磷阻燃母粒挤出废气</w:t>
      </w:r>
    </w:p>
    <w:p w14:paraId="2DF93A55">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红磷阻燃母粒生产过程中，油相超细红磷阻燃剂、聚乙烯树脂在配料、混合、挤出过程中将产生少量的颗粒物和有机废气。此外，由于油相超细红磷阻燃剂中含有白油成分，白油在135~140℃下会形成少量的油雾，油雾的成分非常复杂，通常包括石油中的碳氢化合物、过氧化物、挥发油分等。挤出工序抽出的废气经“</w:t>
      </w:r>
      <w:r>
        <w:rPr>
          <w:rFonts w:hint="eastAsia" w:ascii="Times New Roman" w:hAnsi="Times New Roman" w:eastAsia="宋体" w:cs="Times New Roman"/>
          <w:sz w:val="24"/>
          <w:szCs w:val="22"/>
          <w:lang w:val="en-US" w:eastAsia="zh-CN"/>
        </w:rPr>
        <w:t>喷淋（</w:t>
      </w:r>
      <w:r>
        <w:rPr>
          <w:rFonts w:hint="default" w:ascii="Times New Roman" w:hAnsi="Times New Roman" w:eastAsia="宋体" w:cs="Times New Roman"/>
          <w:sz w:val="24"/>
          <w:szCs w:val="22"/>
          <w:lang w:val="en-US" w:eastAsia="zh-CN"/>
        </w:rPr>
        <w:t>油雾净化</w:t>
      </w:r>
      <w:r>
        <w:rPr>
          <w:rFonts w:hint="eastAsia" w:ascii="Times New Roman" w:hAnsi="Times New Roman" w:eastAsia="宋体" w:cs="Times New Roman"/>
          <w:sz w:val="24"/>
          <w:szCs w:val="22"/>
          <w:lang w:val="en-US" w:eastAsia="zh-CN"/>
        </w:rPr>
        <w:t>）</w:t>
      </w:r>
      <w:r>
        <w:rPr>
          <w:rFonts w:hint="default" w:ascii="Times New Roman" w:hAnsi="Times New Roman" w:eastAsia="宋体" w:cs="Times New Roman"/>
          <w:sz w:val="24"/>
          <w:szCs w:val="22"/>
          <w:lang w:val="en-US" w:eastAsia="zh-CN"/>
        </w:rPr>
        <w:t>+UV光催化氧化+活性炭吸附”处理后，再经15m高的排气筒G1排放。</w:t>
      </w:r>
    </w:p>
    <w:p w14:paraId="29A3A28A">
      <w:pPr>
        <w:bidi w:val="0"/>
        <w:spacing w:line="360" w:lineRule="auto"/>
        <w:ind w:firstLine="480" w:firstLineChars="200"/>
        <w:jc w:val="both"/>
        <w:rPr>
          <w:rFonts w:hint="default" w:ascii="Times New Roman" w:hAnsi="Times New Roman" w:eastAsia="宋体" w:cs="Times New Roman"/>
          <w:sz w:val="24"/>
          <w:szCs w:val="22"/>
          <w:lang w:val="en-US" w:eastAsia="zh-CN"/>
        </w:rPr>
      </w:pPr>
      <w:r>
        <w:rPr>
          <w:rFonts w:hint="default" w:ascii="Times New Roman" w:hAnsi="Times New Roman" w:eastAsia="宋体" w:cs="Times New Roman"/>
          <w:sz w:val="24"/>
          <w:szCs w:val="22"/>
          <w:lang w:val="en-US" w:eastAsia="zh-CN"/>
        </w:rPr>
        <w:t>项目无组织排放粉尘主要包括：原料拆包产生的粉尘、</w:t>
      </w:r>
      <w:r>
        <w:rPr>
          <w:rFonts w:hint="eastAsia" w:ascii="Times New Roman" w:hAnsi="Times New Roman" w:eastAsia="宋体" w:cs="Times New Roman"/>
          <w:sz w:val="24"/>
          <w:szCs w:val="22"/>
          <w:lang w:val="en-US" w:eastAsia="zh-CN"/>
        </w:rPr>
        <w:t>球磨</w:t>
      </w:r>
      <w:r>
        <w:rPr>
          <w:rFonts w:hint="default" w:ascii="Times New Roman" w:hAnsi="Times New Roman" w:eastAsia="宋体" w:cs="Times New Roman"/>
          <w:sz w:val="24"/>
          <w:szCs w:val="22"/>
          <w:lang w:val="en-US" w:eastAsia="zh-CN"/>
        </w:rPr>
        <w:t>投料粉尘以及</w:t>
      </w:r>
      <w:r>
        <w:rPr>
          <w:rFonts w:hint="eastAsia" w:ascii="Times New Roman" w:hAnsi="Times New Roman" w:eastAsia="宋体" w:cs="Times New Roman"/>
          <w:sz w:val="24"/>
          <w:szCs w:val="22"/>
          <w:lang w:val="en-US" w:eastAsia="zh-CN"/>
        </w:rPr>
        <w:t>振动搅拌</w:t>
      </w:r>
      <w:r>
        <w:rPr>
          <w:rFonts w:hint="default" w:ascii="Times New Roman" w:hAnsi="Times New Roman" w:eastAsia="宋体" w:cs="Times New Roman"/>
          <w:sz w:val="24"/>
          <w:szCs w:val="22"/>
          <w:lang w:val="en-US" w:eastAsia="zh-CN"/>
        </w:rPr>
        <w:t>粉尘。项目设置单独的半封闭式（三面封闭）球磨机房，可减少原料拆包和</w:t>
      </w:r>
      <w:r>
        <w:rPr>
          <w:rFonts w:hint="eastAsia" w:ascii="Times New Roman" w:hAnsi="Times New Roman" w:eastAsia="宋体" w:cs="Times New Roman"/>
          <w:sz w:val="24"/>
          <w:szCs w:val="22"/>
          <w:lang w:val="en-US" w:eastAsia="zh-CN"/>
        </w:rPr>
        <w:t>球磨</w:t>
      </w:r>
      <w:r>
        <w:rPr>
          <w:rFonts w:hint="default" w:ascii="Times New Roman" w:hAnsi="Times New Roman" w:eastAsia="宋体" w:cs="Times New Roman"/>
          <w:sz w:val="24"/>
          <w:szCs w:val="22"/>
          <w:lang w:val="en-US" w:eastAsia="zh-CN"/>
        </w:rPr>
        <w:t>投料粉尘。项目</w:t>
      </w:r>
      <w:r>
        <w:rPr>
          <w:rFonts w:hint="eastAsia" w:ascii="Times New Roman" w:hAnsi="Times New Roman" w:eastAsia="宋体" w:cs="Times New Roman"/>
          <w:sz w:val="24"/>
          <w:szCs w:val="22"/>
          <w:lang w:val="en-US" w:eastAsia="zh-CN"/>
        </w:rPr>
        <w:t>在振动搅拌</w:t>
      </w:r>
      <w:r>
        <w:rPr>
          <w:rFonts w:hint="default" w:ascii="Times New Roman" w:hAnsi="Times New Roman" w:eastAsia="宋体" w:cs="Times New Roman"/>
          <w:sz w:val="24"/>
          <w:szCs w:val="22"/>
          <w:lang w:val="en-US" w:eastAsia="zh-CN"/>
        </w:rPr>
        <w:t>过程中也会产生少量的粉尘，项目设置</w:t>
      </w:r>
      <w:r>
        <w:rPr>
          <w:rFonts w:hint="eastAsia" w:ascii="Times New Roman" w:hAnsi="Times New Roman" w:eastAsia="宋体" w:cs="Times New Roman"/>
          <w:sz w:val="24"/>
          <w:szCs w:val="22"/>
          <w:lang w:val="en-US" w:eastAsia="zh-CN"/>
        </w:rPr>
        <w:t>喷淋器</w:t>
      </w:r>
      <w:r>
        <w:rPr>
          <w:rFonts w:hint="default" w:ascii="Times New Roman" w:hAnsi="Times New Roman" w:eastAsia="宋体" w:cs="Times New Roman"/>
          <w:sz w:val="24"/>
          <w:szCs w:val="22"/>
          <w:lang w:val="en-US" w:eastAsia="zh-CN"/>
        </w:rPr>
        <w:t>进行收集</w:t>
      </w:r>
      <w:r>
        <w:rPr>
          <w:rFonts w:hint="eastAsia" w:ascii="Times New Roman" w:hAnsi="Times New Roman" w:eastAsia="宋体" w:cs="Times New Roman"/>
          <w:sz w:val="24"/>
          <w:szCs w:val="22"/>
          <w:lang w:val="en-US" w:eastAsia="zh-CN"/>
        </w:rPr>
        <w:t>，</w:t>
      </w:r>
      <w:r>
        <w:rPr>
          <w:rFonts w:hint="default" w:ascii="Times New Roman" w:hAnsi="Times New Roman" w:eastAsia="宋体" w:cs="Times New Roman"/>
          <w:sz w:val="24"/>
          <w:szCs w:val="22"/>
          <w:lang w:val="en-US" w:eastAsia="zh-CN"/>
        </w:rPr>
        <w:t>处理后以无组织排放。</w:t>
      </w:r>
    </w:p>
    <w:p w14:paraId="526162CE">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（三）噪声</w:t>
      </w:r>
    </w:p>
    <w:p w14:paraId="65FD1CB4">
      <w:pPr>
        <w:pStyle w:val="11"/>
        <w:spacing w:line="360" w:lineRule="auto"/>
        <w:ind w:left="0" w:leftChars="0"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本项目噪声主要来自生产设备球磨机、砂磨机、离心机等，噪声源强为70-90dB（A）。项目主要采用选用低噪声设备、基础减振等措施进行降噪的方式削弱源强。</w:t>
      </w:r>
    </w:p>
    <w:p w14:paraId="2C84C7D9">
      <w:pPr>
        <w:pStyle w:val="11"/>
        <w:spacing w:line="360" w:lineRule="auto"/>
        <w:ind w:left="0" w:leftChars="0"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（1）尽量选用低噪声、振动小的生产设备，采取合理布设高噪声设备及利用建筑物屏蔽等措施减少噪声；</w:t>
      </w:r>
    </w:p>
    <w:p w14:paraId="07E36DAE">
      <w:pPr>
        <w:pStyle w:val="11"/>
        <w:spacing w:line="360" w:lineRule="auto"/>
        <w:ind w:left="0" w:leftChars="0" w:firstLine="480" w:firstLineChars="200"/>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（2）在对设备设置减振基础或减振垫的基础上，加强机械设备的日常维护，生产设备要注意润滑，并对老化和性能降低的旧设备进行及时更换，以此降低磨擦，减小噪声强度；对设备定期进行检查和维修。</w:t>
      </w:r>
    </w:p>
    <w:p w14:paraId="25693B73">
      <w:pPr>
        <w:numPr>
          <w:ilvl w:val="0"/>
          <w:numId w:val="0"/>
        </w:numPr>
        <w:spacing w:line="360" w:lineRule="auto"/>
        <w:ind w:leftChars="0" w:firstLine="480" w:firstLineChars="200"/>
        <w:jc w:val="left"/>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（四）固体废物</w:t>
      </w:r>
    </w:p>
    <w:p w14:paraId="4AB7DC7B">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项目营运期固体废物主要为废包装材料、废滤袋、布袋除尘器收集的粉尘、车间清扫收集的粉尘、</w:t>
      </w:r>
      <w:r>
        <w:rPr>
          <w:rFonts w:hint="eastAsia" w:ascii="Times New Roman" w:hAnsi="Times New Roman" w:eastAsia="宋体" w:cs="Times New Roman"/>
          <w:smallCaps/>
          <w:kern w:val="2"/>
          <w:sz w:val="24"/>
          <w:szCs w:val="20"/>
          <w:lang w:val="en-US" w:eastAsia="zh-CN" w:bidi="ar-SA"/>
        </w:rPr>
        <w:t>喷淋沉渣</w:t>
      </w:r>
      <w:r>
        <w:rPr>
          <w:rFonts w:hint="default" w:ascii="Times New Roman" w:hAnsi="Times New Roman" w:eastAsia="宋体" w:cs="Times New Roman"/>
          <w:smallCaps/>
          <w:kern w:val="2"/>
          <w:sz w:val="24"/>
          <w:szCs w:val="20"/>
          <w:lang w:val="en-US" w:eastAsia="zh-CN" w:bidi="ar-SA"/>
        </w:rPr>
        <w:t>、废吸油纸、废油泥、废活性炭、废润滑油、废UV灯管及生活垃圾等。</w:t>
      </w:r>
    </w:p>
    <w:p w14:paraId="01666C49">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①一般工业固体废物</w:t>
      </w:r>
    </w:p>
    <w:p w14:paraId="4C58DB8D">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eastAsia" w:ascii="Times New Roman" w:hAnsi="Times New Roman" w:eastAsia="宋体" w:cs="Times New Roman"/>
          <w:smallCaps/>
          <w:kern w:val="2"/>
          <w:sz w:val="24"/>
          <w:szCs w:val="20"/>
          <w:lang w:val="en-US" w:eastAsia="zh-CN" w:bidi="ar-SA"/>
        </w:rPr>
        <w:t>废</w:t>
      </w:r>
      <w:r>
        <w:rPr>
          <w:rFonts w:hint="default" w:ascii="Times New Roman" w:hAnsi="Times New Roman" w:eastAsia="宋体" w:cs="Times New Roman"/>
          <w:smallCaps/>
          <w:kern w:val="2"/>
          <w:sz w:val="24"/>
          <w:szCs w:val="20"/>
          <w:lang w:val="en-US" w:eastAsia="zh-CN" w:bidi="ar-SA"/>
        </w:rPr>
        <w:t>包装材料：主要为原料包装材料，收集后由原料生产厂家回收利用。</w:t>
      </w:r>
    </w:p>
    <w:p w14:paraId="2D487980">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车间清扫收集的粉尘：车间清扫收集的粉尘全部回用于生产。</w:t>
      </w:r>
    </w:p>
    <w:p w14:paraId="2287499C">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②危险废物</w:t>
      </w:r>
    </w:p>
    <w:p w14:paraId="0282310C">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废活性炭：产生于红磷阻燃母粒挤出废气处理系统，废活性炭属危险废物，其危废类别为“HW49其他废物”，废物代码为“900-039-49烟气、VOCs 治理过程（不包括餐饮行业油烟治理过程）产生的废活性炭，化学原料和化学制品脱色（不包括有机合成食品添加剂脱色）、除杂、净化过程产生的废活性炭”，收集后暂存于危险废物暂存间，委托有资质单位清运处置。</w:t>
      </w:r>
    </w:p>
    <w:p w14:paraId="614CD0B4">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废润滑油：机械设备维修保养将产生废润滑油，废润滑油属危险废物，其危废类别为“HW08废矿物油与含矿物油废物”，废物代码为“900-214-08车辆、轮船及其它机械维修过程中产生的废发动机油、制动器油、自动变速器油、齿轮油等废润滑油”，收集后暂存于危险废物暂存间，委托有资质单位清运处置。</w:t>
      </w:r>
    </w:p>
    <w:p w14:paraId="14D88540">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废UV灯管：废UV灯管属危险废物，其危废类别为“HW29含汞废物”，废物代码为“900-023-29生产、销售及使用过程中产生的废含汞荧光灯管及其他废含汞电光源，及废弃含汞电光源处理处置过程中产生的废荧光粉、废活性炭和废水处理污泥”，经收集于危废暂存间储存，委托有资质单位清运处置。</w:t>
      </w:r>
    </w:p>
    <w:p w14:paraId="0EC3C04A">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废吸油纸：项目员工工衣洗衣用水经六级沉淀池混凝沉淀处理后，上清液流至循环水池，再抽至循环水塔循环使用。对于沉淀池内漂浮的油分，项目使用吸油纸进行吸附处理。废吸油纸属危险废物，其危废类别为“HW08 废矿物油与含矿物油废物”，废物代码为“900-249-08其他生产、销售、使用过程中产生的废矿物油及沾染矿物油的废弃包装物”，经收集于危废暂存间储存，委托有资质单位清运处置。</w:t>
      </w:r>
    </w:p>
    <w:p w14:paraId="670C575E">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废油泥：洗衣用水经六级沉淀池混凝沉淀处理、湿拖把在沉淀池内清洗都会产生少量油泥，废油泥属危险废物，其危废类别为“HW08 废矿物油与含矿物油废物”，废物代码为“900-210-08 含油废水处理中隔油、气浮、沉淀等处理过程中产生的浮油、浮渣和污泥（不包括废水生化处理污泥）”。由于该部分污泥中富含红磷和白油，因此，经定期清捞后回用于生产。</w:t>
      </w:r>
    </w:p>
    <w:p w14:paraId="2069D083">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4"/>
          <w:szCs w:val="20"/>
          <w:lang w:val="en-US" w:eastAsia="zh-CN" w:bidi="ar-SA"/>
        </w:rPr>
      </w:pPr>
      <w:r>
        <w:rPr>
          <w:rFonts w:hint="default" w:ascii="Times New Roman" w:hAnsi="Times New Roman" w:eastAsia="宋体" w:cs="Times New Roman"/>
          <w:smallCaps/>
          <w:kern w:val="2"/>
          <w:sz w:val="24"/>
          <w:szCs w:val="20"/>
          <w:lang w:val="en-US" w:eastAsia="zh-CN" w:bidi="ar-SA"/>
        </w:rPr>
        <w:t>③生活垃圾</w:t>
      </w:r>
    </w:p>
    <w:p w14:paraId="7EDD8679">
      <w:pPr>
        <w:widowControl w:val="0"/>
        <w:tabs>
          <w:tab w:val="right" w:leader="dot" w:pos="9060"/>
        </w:tabs>
        <w:spacing w:line="360" w:lineRule="auto"/>
        <w:ind w:firstLine="480" w:firstLineChars="200"/>
        <w:jc w:val="left"/>
        <w:rPr>
          <w:rFonts w:hint="default" w:ascii="Times New Roman" w:hAnsi="Times New Roman" w:eastAsia="宋体" w:cs="Times New Roman"/>
          <w:smallCaps/>
          <w:kern w:val="2"/>
          <w:sz w:val="20"/>
          <w:szCs w:val="20"/>
          <w:lang w:val="en-US" w:eastAsia="zh-CN" w:bidi="ar-SA"/>
        </w:rPr>
      </w:pPr>
      <w:r>
        <w:rPr>
          <w:rFonts w:hint="default" w:ascii="Times New Roman" w:hAnsi="Times New Roman" w:eastAsia="宋体" w:cs="Times New Roman"/>
          <w:smallCaps/>
          <w:kern w:val="2"/>
          <w:sz w:val="24"/>
          <w:szCs w:val="20"/>
          <w:lang w:val="en-US" w:eastAsia="zh-CN" w:bidi="ar-SA"/>
        </w:rPr>
        <w:t>项目生活垃圾收集后委托环卫部门清运处置。</w:t>
      </w:r>
    </w:p>
    <w:p w14:paraId="5F21B9A4">
      <w:pPr>
        <w:numPr>
          <w:ilvl w:val="0"/>
          <w:numId w:val="0"/>
        </w:numPr>
        <w:spacing w:line="360" w:lineRule="auto"/>
        <w:ind w:firstLine="482" w:firstLineChars="200"/>
        <w:jc w:val="left"/>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四、环境保护设施调试效果</w:t>
      </w:r>
    </w:p>
    <w:p w14:paraId="15995E23">
      <w:pPr>
        <w:numPr>
          <w:ilvl w:val="0"/>
          <w:numId w:val="0"/>
        </w:numPr>
        <w:spacing w:line="360" w:lineRule="auto"/>
        <w:ind w:leftChars="0" w:firstLine="240" w:firstLineChars="1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（一）污染物达标排放情况</w:t>
      </w:r>
    </w:p>
    <w:p w14:paraId="43CAB5CD">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1.废水</w:t>
      </w:r>
    </w:p>
    <w:p w14:paraId="37905C48">
      <w:pPr>
        <w:spacing w:line="360" w:lineRule="auto"/>
        <w:ind w:firstLine="48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生产废水经混凝沉淀处理后回用，不外排。验收监测期间，生活污水排放口处监测点位处的pH、悬浮物、COD、BOD5、总磷和动植物油外排浓度符合《污水综合排放标准》（GB 8978-1996 ）表4中三级标准限值；氨氮外排浓度符合《污水排入城镇下水道水质标准》（GB/T31962-2015）表1中B级标准限值。</w:t>
      </w:r>
    </w:p>
    <w:p w14:paraId="3626B66F">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2.废气</w:t>
      </w:r>
    </w:p>
    <w:p w14:paraId="205AC754">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验收监测期间，挤出废气检测口处监测点位处的颗粒物、非甲烷总烃浓度符合《大气污染物综合排放标准》（GB16297-1996）表2中二级标准限值。</w:t>
      </w:r>
    </w:p>
    <w:p w14:paraId="7AA108CE">
      <w:pPr>
        <w:spacing w:line="360" w:lineRule="auto"/>
        <w:ind w:firstLine="480"/>
        <w:jc w:val="both"/>
        <w:rPr>
          <w:rFonts w:hint="default" w:ascii="Times New Roman" w:hAnsi="Times New Roman" w:eastAsia="宋体" w:cs="Times New Roman"/>
          <w:color w:val="auto"/>
          <w:sz w:val="24"/>
          <w:szCs w:val="24"/>
          <w:lang w:val="en-US" w:eastAsia="zh-CN"/>
        </w:rPr>
      </w:pPr>
      <w:r>
        <w:rPr>
          <w:rFonts w:hint="default" w:ascii="Times New Roman" w:hAnsi="Times New Roman" w:cs="Times New Roman"/>
          <w:color w:val="000000"/>
          <w:sz w:val="24"/>
          <w:szCs w:val="24"/>
          <w:lang w:val="en-US" w:eastAsia="zh-CN"/>
        </w:rPr>
        <w:t>验收监测期间，本项目无组织废气下风向各监控点监测因子颗粒物、非甲烷总烃浓度符合《大气污染物综合排放标准》（GB16297-1996）表2中无组织排放监控浓度限值。</w:t>
      </w:r>
    </w:p>
    <w:p w14:paraId="45D6BF62">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3.厂界噪声</w:t>
      </w:r>
    </w:p>
    <w:p w14:paraId="76F7D360">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本项目验收监测期间，东、南、西、北面厂界昼、夜间噪声等效声级最大值均符合《声环境质量标准》（GB3096-2008）</w:t>
      </w:r>
      <w:r>
        <w:rPr>
          <w:rFonts w:hint="eastAsia" w:ascii="Times New Roman" w:hAnsi="Times New Roman" w:cs="Times New Roman"/>
          <w:color w:val="000000"/>
          <w:sz w:val="24"/>
          <w:szCs w:val="24"/>
          <w:lang w:val="en-US" w:eastAsia="zh-CN"/>
        </w:rPr>
        <w:t>3</w:t>
      </w:r>
      <w:r>
        <w:rPr>
          <w:rFonts w:hint="default" w:ascii="Times New Roman" w:hAnsi="Times New Roman" w:cs="Times New Roman"/>
          <w:color w:val="000000"/>
          <w:sz w:val="24"/>
          <w:szCs w:val="24"/>
          <w:lang w:val="en-US" w:eastAsia="zh-CN"/>
        </w:rPr>
        <w:t>类标准限值。</w:t>
      </w:r>
    </w:p>
    <w:p w14:paraId="3E27E4C6">
      <w:pPr>
        <w:pStyle w:val="18"/>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4.固体废物</w:t>
      </w:r>
    </w:p>
    <w:p w14:paraId="61A1DFE1">
      <w:pPr>
        <w:spacing w:line="360" w:lineRule="auto"/>
        <w:ind w:firstLine="48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公司已按照“减量化、资源化、无害化”原则妥善处置固体废物。废包装材料收集后已由原料生产厂家回收利用；车间清扫收集的粉尘已全部回用于生产；喷淋沉渣、废吸油纸、废活性炭、废润滑油、废UV灯管等已分类收集于危废暂存间储存，并委托有资质单位规范处置；废油泥已经定期清捞后回用于生产。</w:t>
      </w:r>
    </w:p>
    <w:p w14:paraId="355D929C">
      <w:pPr>
        <w:pStyle w:val="18"/>
        <w:numPr>
          <w:ilvl w:val="0"/>
          <w:numId w:val="3"/>
        </w:numPr>
        <w:spacing w:before="0" w:beforeAutospacing="0" w:after="0" w:afterAutospacing="0" w:line="360" w:lineRule="auto"/>
        <w:ind w:firstLine="482" w:firstLineChars="200"/>
        <w:jc w:val="both"/>
        <w:outlineLvl w:val="0"/>
        <w:rPr>
          <w:rFonts w:hint="default" w:ascii="Times New Roman" w:hAnsi="Times New Roman" w:cs="Times New Roman"/>
          <w:b/>
          <w:sz w:val="24"/>
          <w:szCs w:val="24"/>
        </w:rPr>
      </w:pPr>
      <w:r>
        <w:rPr>
          <w:rFonts w:hint="default" w:ascii="Times New Roman" w:hAnsi="Times New Roman" w:cs="Times New Roman"/>
          <w:b/>
          <w:sz w:val="24"/>
          <w:szCs w:val="24"/>
        </w:rPr>
        <w:t>工程建设对环境的影响</w:t>
      </w:r>
    </w:p>
    <w:p w14:paraId="346BF7FF">
      <w:pPr>
        <w:pStyle w:val="18"/>
        <w:numPr>
          <w:ilvl w:val="0"/>
          <w:numId w:val="0"/>
        </w:numPr>
        <w:spacing w:before="0" w:beforeAutospacing="0" w:after="0" w:afterAutospacing="0" w:line="360" w:lineRule="auto"/>
        <w:ind w:firstLine="480" w:firstLineChars="200"/>
        <w:jc w:val="both"/>
        <w:outlineLvl w:val="0"/>
        <w:rPr>
          <w:rFonts w:hint="default" w:ascii="Times New Roman" w:hAnsi="Times New Roman" w:eastAsia="宋体"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本项目已按照环评及批复要求落实了各项污染防治措施，验收监测期间各类污染物均可以做到达标排放，对周围环境影响较小。</w:t>
      </w:r>
    </w:p>
    <w:p w14:paraId="44D6758A">
      <w:pPr>
        <w:pStyle w:val="18"/>
        <w:spacing w:before="0" w:beforeAutospacing="0" w:after="0" w:afterAutospacing="0" w:line="360" w:lineRule="auto"/>
        <w:ind w:firstLine="482" w:firstLineChars="200"/>
        <w:jc w:val="both"/>
        <w:outlineLvl w:val="0"/>
        <w:rPr>
          <w:rFonts w:hint="default" w:ascii="Times New Roman" w:hAnsi="Times New Roman" w:eastAsia="宋体" w:cs="Times New Roman"/>
          <w:b/>
          <w:color w:val="000000"/>
          <w:sz w:val="24"/>
          <w:szCs w:val="24"/>
          <w:lang w:eastAsia="zh-CN"/>
        </w:rPr>
      </w:pPr>
      <w:r>
        <w:rPr>
          <w:rFonts w:hint="default" w:ascii="Times New Roman" w:hAnsi="Times New Roman" w:cs="Times New Roman"/>
          <w:b/>
          <w:color w:val="000000"/>
          <w:sz w:val="24"/>
          <w:szCs w:val="24"/>
        </w:rPr>
        <w:t>六、验收结论</w:t>
      </w:r>
    </w:p>
    <w:p w14:paraId="6AD642C5">
      <w:pPr>
        <w:spacing w:line="360" w:lineRule="auto"/>
        <w:ind w:firstLine="480" w:firstLineChars="200"/>
        <w:rPr>
          <w:rFonts w:hint="default" w:ascii="Times New Roman" w:hAnsi="Times New Roman"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本项目已按照环评及批复要求落实了各项污染防治措施，验收期间</w:t>
      </w:r>
      <w:r>
        <w:rPr>
          <w:rFonts w:hint="eastAsia" w:ascii="Times New Roman" w:hAnsi="Times New Roman" w:cs="Times New Roman"/>
          <w:b w:val="0"/>
          <w:bCs/>
          <w:sz w:val="24"/>
          <w:szCs w:val="24"/>
          <w:lang w:val="en-US" w:eastAsia="zh-CN"/>
        </w:rPr>
        <w:t>有组织</w:t>
      </w:r>
      <w:r>
        <w:rPr>
          <w:rFonts w:hint="default" w:ascii="Times New Roman" w:hAnsi="Times New Roman" w:cs="Times New Roman"/>
          <w:b w:val="0"/>
          <w:bCs/>
          <w:sz w:val="24"/>
          <w:szCs w:val="24"/>
          <w:lang w:eastAsia="zh-CN"/>
        </w:rPr>
        <w:t>废气、</w:t>
      </w:r>
      <w:r>
        <w:rPr>
          <w:rFonts w:hint="eastAsia" w:ascii="Times New Roman" w:hAnsi="Times New Roman" w:cs="Times New Roman"/>
          <w:b w:val="0"/>
          <w:bCs/>
          <w:sz w:val="24"/>
          <w:szCs w:val="24"/>
          <w:lang w:val="en-US" w:eastAsia="zh-CN"/>
        </w:rPr>
        <w:t>厂界无组织废气、</w:t>
      </w:r>
      <w:r>
        <w:rPr>
          <w:rFonts w:hint="default" w:ascii="Times New Roman" w:hAnsi="Times New Roman" w:cs="Times New Roman"/>
          <w:b w:val="0"/>
          <w:bCs/>
          <w:sz w:val="24"/>
          <w:szCs w:val="24"/>
          <w:lang w:eastAsia="zh-CN"/>
        </w:rPr>
        <w:t>噪声均达到相关标准要求，固体废物合理处置，</w:t>
      </w:r>
      <w:r>
        <w:rPr>
          <w:rFonts w:hint="eastAsia" w:ascii="Times New Roman" w:hAnsi="Times New Roman" w:cs="Times New Roman"/>
          <w:b w:val="0"/>
          <w:bCs/>
          <w:sz w:val="24"/>
          <w:szCs w:val="24"/>
          <w:lang w:val="en-US" w:eastAsia="zh-CN"/>
        </w:rPr>
        <w:t>废水不外排，</w:t>
      </w:r>
      <w:r>
        <w:rPr>
          <w:rFonts w:hint="default" w:ascii="Times New Roman" w:hAnsi="Times New Roman" w:cs="Times New Roman"/>
          <w:b w:val="0"/>
          <w:bCs/>
          <w:sz w:val="24"/>
          <w:szCs w:val="24"/>
          <w:lang w:eastAsia="zh-CN"/>
        </w:rPr>
        <w:t>验收组同意本项目通过竣工环保验收。</w:t>
      </w:r>
    </w:p>
    <w:p w14:paraId="438E15E0">
      <w:pPr>
        <w:pStyle w:val="11"/>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color w:val="000000"/>
          <w:sz w:val="24"/>
          <w:szCs w:val="24"/>
        </w:rPr>
        <w:t>七、</w:t>
      </w:r>
      <w:r>
        <w:rPr>
          <w:rFonts w:hint="default" w:ascii="Times New Roman" w:hAnsi="Times New Roman" w:cs="Times New Roman"/>
          <w:b/>
          <w:color w:val="000000"/>
          <w:sz w:val="24"/>
          <w:szCs w:val="24"/>
          <w:lang w:eastAsia="zh-CN"/>
        </w:rPr>
        <w:t>验收建议</w:t>
      </w:r>
    </w:p>
    <w:p w14:paraId="546FBEC5">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（1）设专人负责环保设施的运行和管理，保证设施正常运转。</w:t>
      </w:r>
    </w:p>
    <w:p w14:paraId="548480BD">
      <w:pPr>
        <w:spacing w:line="360" w:lineRule="auto"/>
        <w:ind w:firstLine="480" w:firstLineChars="200"/>
        <w:rPr>
          <w:rFonts w:hint="default" w:ascii="Times New Roman" w:hAnsi="Times New Roman" w:cs="Times New Roman"/>
          <w:b w:val="0"/>
          <w:bCs/>
          <w:sz w:val="24"/>
          <w:szCs w:val="24"/>
          <w:lang w:val="en-US" w:eastAsia="zh-CN"/>
        </w:rPr>
      </w:pPr>
      <w:r>
        <w:rPr>
          <w:rFonts w:hint="default" w:ascii="Times New Roman" w:hAnsi="Times New Roman" w:cs="Times New Roman"/>
          <w:b w:val="0"/>
          <w:bCs/>
          <w:sz w:val="24"/>
          <w:szCs w:val="24"/>
          <w:lang w:val="en-US" w:eastAsia="zh-CN"/>
        </w:rPr>
        <w:t>（2）加强环保设施的运行管理和维护，确保各项污染物长期、稳定达标排放。</w:t>
      </w:r>
    </w:p>
    <w:p w14:paraId="4B33AE4C">
      <w:pPr>
        <w:pStyle w:val="18"/>
        <w:spacing w:before="0" w:beforeAutospacing="0" w:after="0" w:afterAutospacing="0" w:line="360" w:lineRule="auto"/>
        <w:ind w:firstLine="482" w:firstLineChars="200"/>
        <w:jc w:val="both"/>
        <w:outlineLvl w:val="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eastAsia="zh-CN"/>
        </w:rPr>
        <w:t>八</w:t>
      </w:r>
      <w:r>
        <w:rPr>
          <w:rFonts w:hint="default" w:ascii="Times New Roman" w:hAnsi="Times New Roman" w:cs="Times New Roman"/>
          <w:b/>
          <w:color w:val="000000"/>
          <w:sz w:val="24"/>
          <w:szCs w:val="24"/>
        </w:rPr>
        <w:t>、验收人员信息</w:t>
      </w:r>
    </w:p>
    <w:p w14:paraId="328C9239">
      <w:pPr>
        <w:pStyle w:val="18"/>
        <w:spacing w:before="0" w:beforeAutospacing="0" w:after="0" w:afterAutospacing="0" w:line="360" w:lineRule="auto"/>
        <w:ind w:firstLine="480" w:firstLineChars="200"/>
        <w:jc w:val="both"/>
        <w:outlineLvl w:val="0"/>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eastAsia="zh-CN"/>
        </w:rPr>
        <w:t>验收负责人和参加验收人员信息见附表。</w:t>
      </w:r>
    </w:p>
    <w:p w14:paraId="3A92E752">
      <w:pPr>
        <w:pStyle w:val="18"/>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 </w:t>
      </w:r>
    </w:p>
    <w:p w14:paraId="4D0D1250">
      <w:pPr>
        <w:pStyle w:val="18"/>
        <w:spacing w:before="0" w:beforeAutospacing="0" w:after="0" w:afterAutospacing="0" w:line="360" w:lineRule="auto"/>
        <w:jc w:val="both"/>
        <w:outlineLvl w:val="0"/>
        <w:rPr>
          <w:rFonts w:hint="default" w:ascii="Times New Roman" w:hAnsi="Times New Roman" w:cs="Times New Roman"/>
          <w:color w:val="000000"/>
          <w:sz w:val="24"/>
          <w:szCs w:val="24"/>
          <w:lang w:val="en-US" w:eastAsia="zh-CN"/>
        </w:rPr>
      </w:pPr>
    </w:p>
    <w:p w14:paraId="2D382415">
      <w:pPr>
        <w:pStyle w:val="18"/>
        <w:spacing w:before="0" w:beforeAutospacing="0" w:after="0" w:afterAutospacing="0" w:line="360" w:lineRule="auto"/>
        <w:ind w:firstLine="240" w:firstLineChars="100"/>
        <w:jc w:val="right"/>
        <w:outlineLvl w:val="0"/>
        <w:rPr>
          <w:rFonts w:hint="default" w:ascii="Times New Roman" w:hAnsi="Times New Roman" w:cs="Times New Roman"/>
          <w:sz w:val="24"/>
          <w:szCs w:val="24"/>
          <w:u w:val="single"/>
          <w:lang w:val="en-US" w:eastAsia="zh-CN"/>
        </w:rPr>
      </w:pPr>
      <w:r>
        <w:rPr>
          <w:rFonts w:hint="eastAsia" w:ascii="Times New Roman" w:hAnsi="Times New Roman" w:cs="Times New Roman"/>
          <w:color w:val="000000"/>
          <w:sz w:val="24"/>
          <w:szCs w:val="24"/>
          <w:lang w:val="en-US" w:eastAsia="zh-CN"/>
        </w:rPr>
        <w:t>邵阳市鑫腾阻燃新材料科技有限公司</w:t>
      </w:r>
      <w:r>
        <w:rPr>
          <w:rFonts w:hint="default"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u w:val="none"/>
          <w:lang w:val="en-US" w:eastAsia="zh-CN"/>
        </w:rPr>
        <w:t>2025年7月2日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57775">
    <w:pPr>
      <w:pStyle w:val="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761B6C">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761B6C">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FE159"/>
    <w:multiLevelType w:val="singleLevel"/>
    <w:tmpl w:val="0AAFE159"/>
    <w:lvl w:ilvl="0" w:tentative="0">
      <w:start w:val="3"/>
      <w:numFmt w:val="chineseCounting"/>
      <w:suff w:val="nothing"/>
      <w:lvlText w:val="（%1）"/>
      <w:lvlJc w:val="left"/>
      <w:rPr>
        <w:rFonts w:hint="eastAsia"/>
      </w:rPr>
    </w:lvl>
  </w:abstractNum>
  <w:abstractNum w:abstractNumId="1">
    <w:nsid w:val="6EC25134"/>
    <w:multiLevelType w:val="singleLevel"/>
    <w:tmpl w:val="6EC25134"/>
    <w:lvl w:ilvl="0" w:tentative="0">
      <w:start w:val="5"/>
      <w:numFmt w:val="chineseCounting"/>
      <w:suff w:val="nothing"/>
      <w:lvlText w:val="%1、"/>
      <w:lvlJc w:val="left"/>
      <w:rPr>
        <w:rFonts w:hint="eastAsia"/>
      </w:rPr>
    </w:lvl>
  </w:abstractNum>
  <w:abstractNum w:abstractNumId="2">
    <w:nsid w:val="7554AF9B"/>
    <w:multiLevelType w:val="singleLevel"/>
    <w:tmpl w:val="7554AF9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displayBackgroundShape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lZTE5ZDdlOGU5ZTg3MDVlODY3OWUxYzg5MThkY2EifQ=="/>
  </w:docVars>
  <w:rsids>
    <w:rsidRoot w:val="30736BF9"/>
    <w:rsid w:val="00335C52"/>
    <w:rsid w:val="0436194D"/>
    <w:rsid w:val="07233FAD"/>
    <w:rsid w:val="0B2337CA"/>
    <w:rsid w:val="0D13458B"/>
    <w:rsid w:val="0D916DB2"/>
    <w:rsid w:val="0E027E14"/>
    <w:rsid w:val="0F136BA4"/>
    <w:rsid w:val="0FB03A4C"/>
    <w:rsid w:val="10280E92"/>
    <w:rsid w:val="18166B3E"/>
    <w:rsid w:val="190169B2"/>
    <w:rsid w:val="191C1122"/>
    <w:rsid w:val="1C8211DF"/>
    <w:rsid w:val="1EFB6FCE"/>
    <w:rsid w:val="1FBB2916"/>
    <w:rsid w:val="252A5133"/>
    <w:rsid w:val="25877079"/>
    <w:rsid w:val="270A1F04"/>
    <w:rsid w:val="270A52FB"/>
    <w:rsid w:val="2F2A68ED"/>
    <w:rsid w:val="2F616AFE"/>
    <w:rsid w:val="30736BF9"/>
    <w:rsid w:val="3355009F"/>
    <w:rsid w:val="377177E5"/>
    <w:rsid w:val="38B73D95"/>
    <w:rsid w:val="38F436E0"/>
    <w:rsid w:val="3E1B58FF"/>
    <w:rsid w:val="3FC73216"/>
    <w:rsid w:val="408D617B"/>
    <w:rsid w:val="409A5BCA"/>
    <w:rsid w:val="488072D5"/>
    <w:rsid w:val="4D736991"/>
    <w:rsid w:val="4F2770BE"/>
    <w:rsid w:val="50265CBC"/>
    <w:rsid w:val="50E6102E"/>
    <w:rsid w:val="528046A7"/>
    <w:rsid w:val="54136C77"/>
    <w:rsid w:val="55102CD0"/>
    <w:rsid w:val="56CE28FE"/>
    <w:rsid w:val="57163C34"/>
    <w:rsid w:val="5ED051A2"/>
    <w:rsid w:val="5F6E4222"/>
    <w:rsid w:val="63271AB0"/>
    <w:rsid w:val="63F60FCB"/>
    <w:rsid w:val="65CA0593"/>
    <w:rsid w:val="68536BF4"/>
    <w:rsid w:val="68BD42CF"/>
    <w:rsid w:val="68EB6D6E"/>
    <w:rsid w:val="69105C2F"/>
    <w:rsid w:val="6D535020"/>
    <w:rsid w:val="6E152C53"/>
    <w:rsid w:val="6E6F0007"/>
    <w:rsid w:val="6FC952B1"/>
    <w:rsid w:val="705E2DCB"/>
    <w:rsid w:val="72F65104"/>
    <w:rsid w:val="74F55B5C"/>
    <w:rsid w:val="75CC36F5"/>
    <w:rsid w:val="764A2A98"/>
    <w:rsid w:val="77252A6B"/>
    <w:rsid w:val="79975C89"/>
    <w:rsid w:val="7B3A2A2E"/>
    <w:rsid w:val="7CA26F5B"/>
    <w:rsid w:val="7D375CBE"/>
    <w:rsid w:val="7FB42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caption"/>
    <w:basedOn w:val="1"/>
    <w:next w:val="1"/>
    <w:qFormat/>
    <w:uiPriority w:val="0"/>
    <w:rPr>
      <w:rFonts w:ascii="Cambria" w:hAnsi="Cambria" w:eastAsia="黑体" w:cs="Times New Roman"/>
      <w:sz w:val="20"/>
      <w:szCs w:val="20"/>
    </w:rPr>
  </w:style>
  <w:style w:type="paragraph" w:styleId="4">
    <w:name w:val="Body Text"/>
    <w:basedOn w:val="1"/>
    <w:next w:val="1"/>
    <w:unhideWhenUsed/>
    <w:qFormat/>
    <w:uiPriority w:val="0"/>
    <w:pPr>
      <w:spacing w:after="120"/>
    </w:pPr>
  </w:style>
  <w:style w:type="paragraph" w:styleId="5">
    <w:name w:val="Body Text Indent"/>
    <w:basedOn w:val="1"/>
    <w:qFormat/>
    <w:uiPriority w:val="0"/>
    <w:pPr>
      <w:spacing w:after="120" w:afterLines="0"/>
      <w:ind w:left="420" w:leftChars="200"/>
    </w:pPr>
  </w:style>
  <w:style w:type="paragraph" w:styleId="6">
    <w:name w:val="Plain Text"/>
    <w:basedOn w:val="1"/>
    <w:qFormat/>
    <w:uiPriority w:val="0"/>
    <w:rPr>
      <w:rFonts w:ascii="宋体" w:hAnsi="Courier New" w:cs="Courier New"/>
      <w:kern w:val="2"/>
      <w:sz w:val="21"/>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2"/>
    <w:basedOn w:val="1"/>
    <w:next w:val="1"/>
    <w:unhideWhenUsed/>
    <w:qFormat/>
    <w:uiPriority w:val="39"/>
    <w:pPr>
      <w:tabs>
        <w:tab w:val="right" w:leader="dot" w:pos="9060"/>
      </w:tabs>
      <w:ind w:firstLine="400"/>
      <w:jc w:val="left"/>
    </w:pPr>
    <w:rPr>
      <w:rFonts w:asciiTheme="minorHAnsi" w:hAnsiTheme="minorHAnsi"/>
      <w:smallCaps/>
      <w:sz w:val="20"/>
      <w:szCs w:val="20"/>
    </w:rPr>
  </w:style>
  <w:style w:type="paragraph" w:styleId="10">
    <w:name w:val="Body Text First Indent"/>
    <w:basedOn w:val="4"/>
    <w:next w:val="1"/>
    <w:qFormat/>
    <w:uiPriority w:val="0"/>
    <w:rPr>
      <w:rFonts w:ascii="Calibri" w:hAnsi="Calibri" w:eastAsia="宋体" w:cs="Times New Roman"/>
      <w:szCs w:val="20"/>
    </w:rPr>
  </w:style>
  <w:style w:type="paragraph" w:styleId="11">
    <w:name w:val="Body Text First Indent 2"/>
    <w:basedOn w:val="5"/>
    <w:qFormat/>
    <w:uiPriority w:val="0"/>
    <w:pPr>
      <w:ind w:firstLine="420" w:firstLineChars="200"/>
    </w:pPr>
    <w:rPr>
      <w:sz w:val="21"/>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annotation reference"/>
    <w:basedOn w:val="14"/>
    <w:semiHidden/>
    <w:unhideWhenUsed/>
    <w:qFormat/>
    <w:uiPriority w:val="99"/>
    <w:rPr>
      <w:sz w:val="21"/>
      <w:szCs w:val="21"/>
    </w:rPr>
  </w:style>
  <w:style w:type="character" w:customStyle="1" w:styleId="16">
    <w:name w:val="content1"/>
    <w:qFormat/>
    <w:uiPriority w:val="0"/>
    <w:rPr>
      <w:color w:val="000000"/>
      <w:sz w:val="20"/>
      <w:szCs w:val="20"/>
    </w:rPr>
  </w:style>
  <w:style w:type="paragraph" w:customStyle="1" w:styleId="17">
    <w:name w:val="列出段落1"/>
    <w:basedOn w:val="1"/>
    <w:qFormat/>
    <w:uiPriority w:val="34"/>
    <w:pPr>
      <w:ind w:firstLine="420"/>
    </w:pPr>
  </w:style>
  <w:style w:type="paragraph" w:customStyle="1" w:styleId="18">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19">
    <w:name w:val="正文内容"/>
    <w:basedOn w:val="1"/>
    <w:qFormat/>
    <w:uiPriority w:val="0"/>
    <w:pPr>
      <w:spacing w:line="360" w:lineRule="auto"/>
      <w:ind w:firstLine="200" w:firstLineChars="200"/>
    </w:pPr>
    <w:rPr>
      <w:kern w:val="0"/>
      <w:sz w:val="24"/>
      <w:szCs w:val="21"/>
    </w:rPr>
  </w:style>
  <w:style w:type="paragraph" w:customStyle="1" w:styleId="20">
    <w:name w:val="Default"/>
    <w:basedOn w:val="21"/>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
    <w:name w:val="纯文本1"/>
    <w:basedOn w:val="1"/>
    <w:qFormat/>
    <w:uiPriority w:val="0"/>
    <w:rPr>
      <w:rFonts w:ascii="宋体" w:hAnsi="Courier New"/>
    </w:rPr>
  </w:style>
  <w:style w:type="paragraph" w:customStyle="1" w:styleId="22">
    <w:name w:val="表格标题"/>
    <w:basedOn w:val="3"/>
    <w:next w:val="1"/>
    <w:qFormat/>
    <w:uiPriority w:val="0"/>
    <w:pPr>
      <w:keepNext/>
      <w:widowControl w:val="0"/>
      <w:spacing w:line="240" w:lineRule="auto"/>
      <w:ind w:firstLine="0" w:firstLineChars="0"/>
      <w:jc w:val="center"/>
    </w:pPr>
    <w:rPr>
      <w:rFonts w:ascii="Times New Roman" w:hAnsi="Times New Roman" w:eastAsia="宋体"/>
      <w:b/>
      <w:kern w:val="2"/>
      <w:sz w:val="21"/>
    </w:rPr>
  </w:style>
  <w:style w:type="paragraph" w:customStyle="1" w:styleId="23">
    <w:name w:val="正文啊"/>
    <w:basedOn w:val="1"/>
    <w:link w:val="25"/>
    <w:qFormat/>
    <w:uiPriority w:val="0"/>
    <w:pPr>
      <w:spacing w:line="360" w:lineRule="auto"/>
      <w:ind w:firstLine="560"/>
      <w:jc w:val="both"/>
    </w:pPr>
    <w:rPr>
      <w:sz w:val="28"/>
      <w:szCs w:val="22"/>
    </w:rPr>
  </w:style>
  <w:style w:type="paragraph" w:customStyle="1" w:styleId="24">
    <w:name w:val="环评正文文字"/>
    <w:basedOn w:val="1"/>
    <w:qFormat/>
    <w:uiPriority w:val="0"/>
    <w:pPr>
      <w:spacing w:line="360" w:lineRule="auto"/>
      <w:ind w:firstLine="480"/>
      <w:jc w:val="both"/>
    </w:pPr>
    <w:rPr>
      <w:kern w:val="0"/>
      <w:szCs w:val="20"/>
    </w:rPr>
  </w:style>
  <w:style w:type="character" w:customStyle="1" w:styleId="25">
    <w:name w:val="正文啊 Char"/>
    <w:link w:val="23"/>
    <w:qFormat/>
    <w:locked/>
    <w:uiPriority w:val="0"/>
    <w:rPr>
      <w:sz w:val="28"/>
      <w:szCs w:val="22"/>
    </w:rPr>
  </w:style>
  <w:style w:type="paragraph" w:customStyle="1" w:styleId="26">
    <w:name w:val="xl31"/>
    <w:basedOn w:val="1"/>
    <w:qFormat/>
    <w:uiPriority w:val="0"/>
    <w:pPr>
      <w:widowControl/>
      <w:pBdr>
        <w:bottom w:val="double" w:color="auto" w:sz="6" w:space="0"/>
        <w:right w:val="single" w:color="auto" w:sz="4" w:space="0"/>
      </w:pBdr>
      <w:spacing w:before="100" w:beforeAutospacing="1" w:after="100" w:afterAutospacing="1"/>
      <w:jc w:val="center"/>
      <w:textAlignment w:val="center"/>
    </w:pPr>
    <w:rPr>
      <w:rFonts w:eastAsia="Arial Unicode MS"/>
      <w:kern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7</Pages>
  <Words>4059</Words>
  <Characters>4196</Characters>
  <Lines>0</Lines>
  <Paragraphs>0</Paragraphs>
  <TotalTime>1</TotalTime>
  <ScaleCrop>false</ScaleCrop>
  <LinksUpToDate>false</LinksUpToDate>
  <CharactersWithSpaces>4246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2018-08-07T08:35:00Z</dcterms:created>
  <dc:creator>扶琴为谁汝了素颜</dc:creator>
  <cp:lastModifiedBy>骋</cp:lastModifiedBy>
  <cp:lastPrinted>2021-08-19T07:57:00Z</cp:lastPrinted>
  <dcterms:modified xsi:type="dcterms:W3CDTF">2025-07-08T14:11:18Z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6B39D33349A0433491A2EB27A8672797</vt:lpwstr>
  </property>
  <property fmtid="{D5CDD505-2E9C-101B-9397-08002B2CF9AE}" pid="4" name="KSOTemplateDocerSaveRecord">
    <vt:lpwstr>eyJoZGlkIjoiYWJlZTE5ZDdlOGU5ZTg3MDVlODY3OWUxYzg5MThkY2EiLCJ1c2VySWQiOiI0NDc4NDM0MTcifQ==</vt:lpwstr>
  </property>
</Properties>
</file>