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22ED1B">
      <w:pPr>
        <w:widowControl/>
        <w:jc w:val="center"/>
        <w:rPr>
          <w:rFonts w:ascii="Times New Roman" w:hAnsi="Times New Roman" w:eastAsia="宋体" w:cs="Times New Roman"/>
          <w:b/>
          <w:color w:val="000000"/>
          <w:sz w:val="36"/>
          <w:szCs w:val="36"/>
        </w:rPr>
      </w:pPr>
    </w:p>
    <w:p w14:paraId="51EF017E">
      <w:pPr>
        <w:pStyle w:val="6"/>
      </w:pPr>
    </w:p>
    <w:p w14:paraId="5F4693CC">
      <w:pPr>
        <w:widowControl/>
        <w:jc w:val="center"/>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年产60000平方米冷库保温板项目</w:t>
      </w:r>
    </w:p>
    <w:p w14:paraId="36C8C30E">
      <w:pPr>
        <w:widowControl/>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竣工环境保护验收监测报告表</w:t>
      </w:r>
    </w:p>
    <w:p w14:paraId="4EEFCC8C">
      <w:pPr>
        <w:widowControl/>
        <w:jc w:val="center"/>
        <w:rPr>
          <w:rFonts w:ascii="Times New Roman" w:hAnsi="Times New Roman" w:eastAsia="宋体" w:cs="Times New Roman"/>
          <w:b/>
          <w:color w:val="000000"/>
          <w:sz w:val="36"/>
          <w:szCs w:val="36"/>
        </w:rPr>
      </w:pPr>
    </w:p>
    <w:p w14:paraId="6086F63E">
      <w:pPr>
        <w:widowControl/>
        <w:jc w:val="center"/>
        <w:rPr>
          <w:rFonts w:ascii="Times New Roman" w:hAnsi="Times New Roman" w:eastAsia="宋体" w:cs="Times New Roman"/>
          <w:b/>
          <w:color w:val="000000"/>
          <w:sz w:val="36"/>
          <w:szCs w:val="36"/>
        </w:rPr>
      </w:pPr>
    </w:p>
    <w:p w14:paraId="34A18B21">
      <w:pPr>
        <w:widowControl/>
        <w:jc w:val="center"/>
        <w:rPr>
          <w:rFonts w:ascii="Times New Roman" w:hAnsi="Times New Roman" w:eastAsia="宋体" w:cs="Times New Roman"/>
          <w:b/>
          <w:color w:val="000000"/>
          <w:sz w:val="36"/>
          <w:szCs w:val="36"/>
        </w:rPr>
      </w:pPr>
    </w:p>
    <w:p w14:paraId="34634C54">
      <w:pPr>
        <w:widowControl/>
        <w:jc w:val="center"/>
        <w:rPr>
          <w:rFonts w:ascii="Times New Roman" w:hAnsi="Times New Roman" w:eastAsia="宋体" w:cs="Times New Roman"/>
          <w:b/>
          <w:color w:val="000000"/>
          <w:sz w:val="36"/>
          <w:szCs w:val="36"/>
        </w:rPr>
      </w:pPr>
    </w:p>
    <w:p w14:paraId="6073F619">
      <w:pPr>
        <w:widowControl/>
        <w:jc w:val="center"/>
        <w:rPr>
          <w:rFonts w:ascii="Times New Roman" w:hAnsi="Times New Roman" w:eastAsia="宋体" w:cs="Times New Roman"/>
          <w:b/>
          <w:color w:val="000000"/>
          <w:sz w:val="36"/>
          <w:szCs w:val="36"/>
        </w:rPr>
      </w:pPr>
    </w:p>
    <w:p w14:paraId="5BB51724">
      <w:pPr>
        <w:widowControl/>
        <w:jc w:val="center"/>
        <w:rPr>
          <w:rFonts w:ascii="Times New Roman" w:hAnsi="Times New Roman" w:eastAsia="宋体" w:cs="Times New Roman"/>
          <w:b/>
          <w:color w:val="000000"/>
          <w:sz w:val="36"/>
          <w:szCs w:val="36"/>
        </w:rPr>
      </w:pPr>
    </w:p>
    <w:p w14:paraId="4D4595CC">
      <w:pPr>
        <w:widowControl/>
        <w:jc w:val="center"/>
        <w:rPr>
          <w:rFonts w:ascii="Times New Roman" w:hAnsi="Times New Roman" w:eastAsia="宋体" w:cs="Times New Roman"/>
          <w:b/>
          <w:color w:val="000000"/>
          <w:sz w:val="36"/>
          <w:szCs w:val="36"/>
        </w:rPr>
      </w:pPr>
    </w:p>
    <w:p w14:paraId="01908529">
      <w:pPr>
        <w:widowControl/>
        <w:jc w:val="center"/>
        <w:rPr>
          <w:rFonts w:ascii="Times New Roman" w:hAnsi="Times New Roman" w:eastAsia="宋体" w:cs="Times New Roman"/>
          <w:b/>
          <w:color w:val="000000"/>
          <w:sz w:val="36"/>
          <w:szCs w:val="36"/>
        </w:rPr>
      </w:pPr>
    </w:p>
    <w:p w14:paraId="20512567">
      <w:pPr>
        <w:widowControl/>
        <w:jc w:val="center"/>
        <w:rPr>
          <w:rFonts w:ascii="Times New Roman" w:hAnsi="Times New Roman" w:eastAsia="宋体" w:cs="Times New Roman"/>
          <w:b/>
          <w:color w:val="000000"/>
          <w:sz w:val="36"/>
          <w:szCs w:val="36"/>
        </w:rPr>
      </w:pPr>
    </w:p>
    <w:p w14:paraId="64149A0A">
      <w:pPr>
        <w:widowControl/>
        <w:jc w:val="center"/>
        <w:rPr>
          <w:rFonts w:ascii="Times New Roman" w:hAnsi="Times New Roman" w:eastAsia="宋体" w:cs="Times New Roman"/>
          <w:b/>
          <w:color w:val="000000"/>
          <w:sz w:val="36"/>
          <w:szCs w:val="36"/>
        </w:rPr>
      </w:pPr>
    </w:p>
    <w:p w14:paraId="05664AC4">
      <w:pPr>
        <w:pStyle w:val="36"/>
      </w:pPr>
    </w:p>
    <w:p w14:paraId="404EE3D2">
      <w:pPr>
        <w:pStyle w:val="38"/>
        <w:rPr>
          <w:rFonts w:ascii="Times New Roman" w:hAnsi="Times New Roman" w:eastAsia="宋体" w:cs="Times New Roman"/>
          <w:color w:val="000000"/>
          <w:sz w:val="36"/>
          <w:szCs w:val="36"/>
        </w:rPr>
      </w:pPr>
    </w:p>
    <w:p w14:paraId="479C77CC"/>
    <w:p w14:paraId="2D86C5FC">
      <w:pPr>
        <w:pStyle w:val="38"/>
        <w:rPr>
          <w:rFonts w:ascii="Times New Roman" w:hAnsi="Times New Roman" w:eastAsia="宋体" w:cs="Times New Roman"/>
          <w:color w:val="000000"/>
          <w:sz w:val="36"/>
          <w:szCs w:val="36"/>
        </w:rPr>
      </w:pPr>
    </w:p>
    <w:p w14:paraId="26660E18">
      <w:pPr>
        <w:pStyle w:val="38"/>
      </w:pPr>
    </w:p>
    <w:p w14:paraId="34377561">
      <w:pPr>
        <w:widowControl/>
        <w:jc w:val="center"/>
        <w:rPr>
          <w:rFonts w:ascii="Times New Roman" w:hAnsi="Times New Roman" w:eastAsia="宋体" w:cs="Times New Roman"/>
          <w:b/>
          <w:color w:val="000000"/>
          <w:sz w:val="36"/>
          <w:szCs w:val="36"/>
        </w:rPr>
      </w:pPr>
    </w:p>
    <w:p w14:paraId="4E9EC8BA">
      <w:pPr>
        <w:widowControl/>
        <w:adjustRightInd w:val="0"/>
        <w:snapToGrid w:val="0"/>
        <w:spacing w:line="360" w:lineRule="auto"/>
        <w:jc w:val="center"/>
        <w:rPr>
          <w:rFonts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t>建设单位：</w:t>
      </w:r>
      <w:r>
        <w:rPr>
          <w:rFonts w:hint="eastAsia" w:ascii="Times New Roman" w:hAnsi="Times New Roman" w:eastAsia="宋体" w:cs="Times New Roman"/>
          <w:b/>
          <w:color w:val="000000"/>
          <w:sz w:val="32"/>
          <w:szCs w:val="32"/>
        </w:rPr>
        <w:t>海南良雪制冷设备有限公司</w:t>
      </w:r>
    </w:p>
    <w:p w14:paraId="3C877424">
      <w:pPr>
        <w:widowControl/>
        <w:adjustRightInd w:val="0"/>
        <w:snapToGrid w:val="0"/>
        <w:jc w:val="center"/>
        <w:rPr>
          <w:rFonts w:ascii="Times New Roman" w:hAnsi="Times New Roman" w:eastAsia="宋体" w:cs="Times New Roman"/>
          <w:b/>
          <w:color w:val="000000"/>
          <w:sz w:val="32"/>
          <w:szCs w:val="32"/>
        </w:rPr>
      </w:pPr>
      <w:r>
        <w:rPr>
          <w:rFonts w:ascii="Times New Roman" w:hAnsi="Times New Roman" w:eastAsia="宋体" w:cs="Times New Roman"/>
          <w:b/>
          <w:sz w:val="32"/>
          <w:szCs w:val="32"/>
        </w:rPr>
        <w:t>编制单位：</w:t>
      </w:r>
      <w:r>
        <w:rPr>
          <w:rFonts w:ascii="Times New Roman" w:hAnsi="Times New Roman" w:eastAsia="宋体" w:cs="Times New Roman"/>
          <w:b/>
          <w:color w:val="000000"/>
          <w:sz w:val="32"/>
          <w:szCs w:val="32"/>
        </w:rPr>
        <w:t>海南</w:t>
      </w:r>
      <w:r>
        <w:rPr>
          <w:rFonts w:hint="eastAsia" w:ascii="Times New Roman" w:hAnsi="Times New Roman" w:eastAsia="宋体" w:cs="Times New Roman"/>
          <w:b/>
          <w:color w:val="000000"/>
          <w:sz w:val="32"/>
          <w:szCs w:val="32"/>
          <w:lang w:val="en-US" w:eastAsia="zh-CN"/>
        </w:rPr>
        <w:t>环供科技</w:t>
      </w:r>
      <w:r>
        <w:rPr>
          <w:rFonts w:ascii="Times New Roman" w:hAnsi="Times New Roman" w:eastAsia="宋体" w:cs="Times New Roman"/>
          <w:b/>
          <w:color w:val="000000"/>
          <w:sz w:val="32"/>
          <w:szCs w:val="32"/>
        </w:rPr>
        <w:t>有限公司</w:t>
      </w:r>
    </w:p>
    <w:p w14:paraId="333C3260">
      <w:pPr>
        <w:widowControl/>
        <w:spacing w:line="360" w:lineRule="auto"/>
        <w:jc w:val="center"/>
        <w:rPr>
          <w:rFonts w:ascii="Times New Roman" w:hAnsi="Times New Roman" w:eastAsia="宋体" w:cs="Times New Roman"/>
          <w:b/>
          <w:sz w:val="32"/>
          <w:szCs w:val="32"/>
        </w:rPr>
        <w:sectPr>
          <w:headerReference r:id="rId3" w:type="default"/>
          <w:footerReference r:id="rId4" w:type="default"/>
          <w:pgSz w:w="11906" w:h="16838"/>
          <w:pgMar w:top="1417" w:right="1417" w:bottom="1417" w:left="1417" w:header="851" w:footer="992" w:gutter="0"/>
          <w:pgNumType w:start="1"/>
          <w:cols w:space="0" w:num="1"/>
          <w:docGrid w:type="linesAndChars" w:linePitch="312" w:charSpace="0"/>
        </w:sectPr>
      </w:pPr>
      <w:r>
        <w:rPr>
          <w:rFonts w:ascii="Times New Roman" w:hAnsi="Times New Roman" w:eastAsia="宋体" w:cs="Times New Roman"/>
          <w:b/>
          <w:sz w:val="32"/>
          <w:szCs w:val="32"/>
        </w:rPr>
        <w:t>202</w:t>
      </w:r>
      <w:r>
        <w:rPr>
          <w:rFonts w:hint="eastAsia" w:ascii="Times New Roman" w:hAnsi="Times New Roman" w:eastAsia="宋体" w:cs="Times New Roman"/>
          <w:b/>
          <w:sz w:val="32"/>
          <w:szCs w:val="32"/>
          <w:lang w:val="en-US" w:eastAsia="zh-CN"/>
        </w:rPr>
        <w:t>5</w:t>
      </w:r>
      <w:r>
        <w:rPr>
          <w:rFonts w:ascii="Times New Roman" w:hAnsi="Times New Roman" w:eastAsia="宋体" w:cs="Times New Roman"/>
          <w:b/>
          <w:sz w:val="32"/>
          <w:szCs w:val="32"/>
        </w:rPr>
        <w:t>年</w:t>
      </w:r>
      <w:r>
        <w:rPr>
          <w:rFonts w:hint="eastAsia" w:ascii="Times New Roman" w:hAnsi="Times New Roman" w:eastAsia="宋体" w:cs="Times New Roman"/>
          <w:b/>
          <w:sz w:val="32"/>
          <w:szCs w:val="32"/>
          <w:lang w:val="en-US" w:eastAsia="zh-CN"/>
        </w:rPr>
        <w:t>7</w:t>
      </w:r>
      <w:r>
        <w:rPr>
          <w:rFonts w:ascii="Times New Roman" w:hAnsi="Times New Roman" w:eastAsia="宋体" w:cs="Times New Roman"/>
          <w:b/>
          <w:sz w:val="32"/>
          <w:szCs w:val="32"/>
        </w:rPr>
        <w:t>月</w:t>
      </w:r>
    </w:p>
    <w:p w14:paraId="3A24F5FB">
      <w:pPr>
        <w:rPr>
          <w:rFonts w:asciiTheme="minorEastAsia" w:hAnsiTheme="minorEastAsia" w:cstheme="minorEastAsia"/>
          <w:b/>
          <w:color w:val="000000"/>
          <w:sz w:val="28"/>
        </w:rPr>
      </w:pPr>
      <w:r>
        <w:rPr>
          <w:rFonts w:hint="eastAsia" w:asciiTheme="minorEastAsia" w:hAnsiTheme="minorEastAsia" w:cstheme="minorEastAsia"/>
          <w:b/>
          <w:color w:val="000000"/>
          <w:sz w:val="28"/>
        </w:rPr>
        <w:t>建设单位法人代表:</w:t>
      </w:r>
      <w:r>
        <w:rPr>
          <w:rFonts w:hint="eastAsia" w:asciiTheme="minorEastAsia" w:hAnsiTheme="minorEastAsia" w:cstheme="minorEastAsia"/>
          <w:b/>
          <w:color w:val="000000"/>
          <w:sz w:val="28"/>
        </w:rPr>
        <w:tab/>
      </w:r>
      <w:r>
        <w:rPr>
          <w:rFonts w:hint="eastAsia" w:asciiTheme="minorEastAsia" w:hAnsiTheme="minorEastAsia" w:cstheme="minorEastAsia"/>
          <w:b/>
          <w:color w:val="000000"/>
          <w:sz w:val="28"/>
        </w:rPr>
        <w:t xml:space="preserve">          </w:t>
      </w:r>
    </w:p>
    <w:p w14:paraId="36FD7D58">
      <w:pPr>
        <w:rPr>
          <w:rFonts w:asciiTheme="minorEastAsia" w:hAnsiTheme="minorEastAsia" w:cstheme="minorEastAsia"/>
          <w:b/>
          <w:color w:val="000000"/>
          <w:sz w:val="28"/>
        </w:rPr>
      </w:pPr>
      <w:r>
        <w:rPr>
          <w:rFonts w:hint="eastAsia" w:asciiTheme="minorEastAsia" w:hAnsiTheme="minorEastAsia" w:cstheme="minorEastAsia"/>
          <w:b/>
          <w:color w:val="000000"/>
          <w:sz w:val="28"/>
        </w:rPr>
        <w:t>编制单位法人代表:</w:t>
      </w:r>
    </w:p>
    <w:p w14:paraId="35BE66AC">
      <w:pPr>
        <w:adjustRightInd w:val="0"/>
        <w:snapToGrid w:val="0"/>
        <w:spacing w:line="360" w:lineRule="auto"/>
        <w:rPr>
          <w:rFonts w:asciiTheme="minorEastAsia" w:hAnsiTheme="minorEastAsia" w:cstheme="minorEastAsia"/>
          <w:b/>
          <w:color w:val="000000"/>
          <w:sz w:val="28"/>
        </w:rPr>
      </w:pPr>
      <w:r>
        <w:rPr>
          <w:rFonts w:hint="eastAsia" w:asciiTheme="minorEastAsia" w:hAnsiTheme="minorEastAsia" w:cstheme="minorEastAsia"/>
          <w:b/>
          <w:color w:val="000000"/>
          <w:sz w:val="28"/>
        </w:rPr>
        <w:t>项 目  负  责 人:</w:t>
      </w:r>
    </w:p>
    <w:p w14:paraId="647595D2">
      <w:pPr>
        <w:adjustRightInd w:val="0"/>
        <w:snapToGrid w:val="0"/>
        <w:spacing w:line="360" w:lineRule="auto"/>
        <w:rPr>
          <w:rFonts w:asciiTheme="minorEastAsia" w:hAnsiTheme="minorEastAsia" w:cstheme="minorEastAsia"/>
          <w:b/>
          <w:color w:val="000000"/>
          <w:sz w:val="28"/>
        </w:rPr>
      </w:pPr>
      <w:r>
        <w:rPr>
          <w:rFonts w:hint="eastAsia" w:asciiTheme="minorEastAsia" w:hAnsiTheme="minorEastAsia" w:cstheme="minorEastAsia"/>
          <w:b/>
          <w:color w:val="000000"/>
          <w:sz w:val="28"/>
        </w:rPr>
        <w:t>填     表     人:</w:t>
      </w:r>
    </w:p>
    <w:p w14:paraId="0E01821E">
      <w:pPr>
        <w:rPr>
          <w:rFonts w:asciiTheme="minorEastAsia" w:hAnsiTheme="minorEastAsia" w:cstheme="minorEastAsia"/>
          <w:b/>
          <w:color w:val="000000"/>
          <w:sz w:val="28"/>
        </w:rPr>
      </w:pPr>
      <w:r>
        <w:rPr>
          <w:rFonts w:hint="eastAsia" w:asciiTheme="minorEastAsia" w:hAnsiTheme="minorEastAsia" w:cstheme="minorEastAsia"/>
          <w:b/>
          <w:color w:val="000000"/>
          <w:sz w:val="28"/>
        </w:rPr>
        <w:tab/>
      </w:r>
      <w:r>
        <w:rPr>
          <w:rFonts w:hint="eastAsia" w:asciiTheme="minorEastAsia" w:hAnsiTheme="minorEastAsia" w:cstheme="minorEastAsia"/>
          <w:b/>
          <w:color w:val="000000"/>
          <w:sz w:val="28"/>
        </w:rPr>
        <w:t xml:space="preserve">          </w:t>
      </w:r>
    </w:p>
    <w:p w14:paraId="6AE970CB">
      <w:pPr>
        <w:ind w:firstLine="560"/>
        <w:rPr>
          <w:rFonts w:ascii="仿宋_GB2312" w:eastAsia="仿宋_GB2312"/>
          <w:color w:val="000000"/>
          <w:sz w:val="28"/>
        </w:rPr>
      </w:pPr>
    </w:p>
    <w:p w14:paraId="189908EB">
      <w:pPr>
        <w:pStyle w:val="36"/>
      </w:pPr>
    </w:p>
    <w:p w14:paraId="41F7EBE0">
      <w:pPr>
        <w:pStyle w:val="38"/>
      </w:pPr>
    </w:p>
    <w:p w14:paraId="5F20B54F">
      <w:pPr>
        <w:pStyle w:val="36"/>
      </w:pPr>
    </w:p>
    <w:p w14:paraId="04D875BD">
      <w:pPr>
        <w:ind w:firstLine="560"/>
        <w:rPr>
          <w:rFonts w:ascii="仿宋_GB2312" w:eastAsia="仿宋_GB2312"/>
          <w:color w:val="000000"/>
          <w:sz w:val="28"/>
        </w:rPr>
      </w:pPr>
    </w:p>
    <w:p w14:paraId="7F29858F">
      <w:pPr>
        <w:ind w:firstLine="560"/>
        <w:rPr>
          <w:rFonts w:ascii="仿宋_GB2312" w:eastAsia="仿宋_GB2312"/>
          <w:color w:val="000000"/>
          <w:sz w:val="28"/>
        </w:rPr>
      </w:pPr>
    </w:p>
    <w:p w14:paraId="76F5BE19">
      <w:pPr>
        <w:ind w:firstLine="560"/>
        <w:rPr>
          <w:rFonts w:ascii="仿宋_GB2312" w:eastAsia="仿宋_GB2312"/>
          <w:color w:val="000000"/>
          <w:sz w:val="28"/>
        </w:rPr>
      </w:pPr>
    </w:p>
    <w:p w14:paraId="042982FA">
      <w:pPr>
        <w:pStyle w:val="38"/>
      </w:pPr>
    </w:p>
    <w:p w14:paraId="776CF03C"/>
    <w:p w14:paraId="5D4BF731"/>
    <w:tbl>
      <w:tblPr>
        <w:tblStyle w:val="29"/>
        <w:tblW w:w="9638" w:type="dxa"/>
        <w:jc w:val="center"/>
        <w:tblLayout w:type="autofit"/>
        <w:tblCellMar>
          <w:top w:w="0" w:type="dxa"/>
          <w:left w:w="108" w:type="dxa"/>
          <w:bottom w:w="0" w:type="dxa"/>
          <w:right w:w="108" w:type="dxa"/>
        </w:tblCellMar>
      </w:tblPr>
      <w:tblGrid>
        <w:gridCol w:w="857"/>
        <w:gridCol w:w="679"/>
        <w:gridCol w:w="3074"/>
        <w:gridCol w:w="972"/>
        <w:gridCol w:w="578"/>
        <w:gridCol w:w="3478"/>
      </w:tblGrid>
      <w:tr w14:paraId="367FBFDC">
        <w:tblPrEx>
          <w:tblCellMar>
            <w:top w:w="0" w:type="dxa"/>
            <w:left w:w="108" w:type="dxa"/>
            <w:bottom w:w="0" w:type="dxa"/>
            <w:right w:w="108" w:type="dxa"/>
          </w:tblCellMar>
        </w:tblPrEx>
        <w:trPr>
          <w:jc w:val="center"/>
        </w:trPr>
        <w:tc>
          <w:tcPr>
            <w:tcW w:w="1536" w:type="dxa"/>
            <w:gridSpan w:val="2"/>
            <w:vAlign w:val="center"/>
          </w:tcPr>
          <w:p w14:paraId="54050177">
            <w:pPr>
              <w:tabs>
                <w:tab w:val="left" w:pos="984"/>
              </w:tabs>
              <w:adjustRightInd w:val="0"/>
              <w:snapToGrid w:val="0"/>
              <w:spacing w:line="500" w:lineRule="exact"/>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建设单位：</w:t>
            </w:r>
          </w:p>
        </w:tc>
        <w:tc>
          <w:tcPr>
            <w:tcW w:w="3074" w:type="dxa"/>
            <w:vAlign w:val="center"/>
          </w:tcPr>
          <w:p w14:paraId="5F160EFD">
            <w:pPr>
              <w:tabs>
                <w:tab w:val="left" w:pos="984"/>
              </w:tabs>
              <w:adjustRightInd w:val="0"/>
              <w:snapToGrid w:val="0"/>
              <w:spacing w:line="500" w:lineRule="exact"/>
              <w:rPr>
                <w:rFonts w:hint="default" w:ascii="Times New Roman" w:hAnsi="Times New Roman" w:eastAsia="宋体" w:cs="Times New Roman"/>
                <w:b/>
                <w:color w:val="000000"/>
                <w:spacing w:val="20"/>
                <w:w w:val="79"/>
                <w:sz w:val="28"/>
                <w:szCs w:val="28"/>
              </w:rPr>
            </w:pPr>
          </w:p>
        </w:tc>
        <w:tc>
          <w:tcPr>
            <w:tcW w:w="1550" w:type="dxa"/>
            <w:gridSpan w:val="2"/>
            <w:vAlign w:val="center"/>
          </w:tcPr>
          <w:p w14:paraId="6C49FB2A">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编制单位：</w:t>
            </w:r>
          </w:p>
        </w:tc>
        <w:tc>
          <w:tcPr>
            <w:tcW w:w="3478" w:type="dxa"/>
            <w:vAlign w:val="center"/>
          </w:tcPr>
          <w:p w14:paraId="6D3572BD">
            <w:pPr>
              <w:tabs>
                <w:tab w:val="left" w:pos="984"/>
              </w:tabs>
              <w:rPr>
                <w:rFonts w:hint="default" w:ascii="Times New Roman" w:hAnsi="Times New Roman" w:eastAsia="宋体" w:cs="Times New Roman"/>
                <w:color w:val="000000"/>
                <w:sz w:val="28"/>
                <w:szCs w:val="28"/>
              </w:rPr>
            </w:pPr>
          </w:p>
        </w:tc>
      </w:tr>
      <w:tr w14:paraId="7221653A">
        <w:tblPrEx>
          <w:tblCellMar>
            <w:top w:w="0" w:type="dxa"/>
            <w:left w:w="108" w:type="dxa"/>
            <w:bottom w:w="0" w:type="dxa"/>
            <w:right w:w="108" w:type="dxa"/>
          </w:tblCellMar>
        </w:tblPrEx>
        <w:trPr>
          <w:jc w:val="center"/>
        </w:trPr>
        <w:tc>
          <w:tcPr>
            <w:tcW w:w="4610" w:type="dxa"/>
            <w:gridSpan w:val="3"/>
            <w:vAlign w:val="center"/>
          </w:tcPr>
          <w:p w14:paraId="5DF036DB">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海南良雪制冷设备有限公司</w:t>
            </w:r>
          </w:p>
          <w:p w14:paraId="63756AE4">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（盖章）</w:t>
            </w:r>
          </w:p>
        </w:tc>
        <w:tc>
          <w:tcPr>
            <w:tcW w:w="5028" w:type="dxa"/>
            <w:gridSpan w:val="3"/>
            <w:vAlign w:val="center"/>
          </w:tcPr>
          <w:p w14:paraId="1CA4655B">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海南环供科技有限公司</w:t>
            </w:r>
          </w:p>
          <w:p w14:paraId="52286116">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（盖章）</w:t>
            </w:r>
          </w:p>
        </w:tc>
      </w:tr>
      <w:tr w14:paraId="5FFFDD9B">
        <w:tblPrEx>
          <w:tblCellMar>
            <w:top w:w="0" w:type="dxa"/>
            <w:left w:w="108" w:type="dxa"/>
            <w:bottom w:w="0" w:type="dxa"/>
            <w:right w:w="108" w:type="dxa"/>
          </w:tblCellMar>
        </w:tblPrEx>
        <w:trPr>
          <w:jc w:val="center"/>
        </w:trPr>
        <w:tc>
          <w:tcPr>
            <w:tcW w:w="857" w:type="dxa"/>
            <w:vAlign w:val="center"/>
          </w:tcPr>
          <w:p w14:paraId="063552EB">
            <w:pPr>
              <w:tabs>
                <w:tab w:val="left" w:pos="984"/>
              </w:tabs>
              <w:adjustRightInd w:val="0"/>
              <w:snapToGrid w:val="0"/>
              <w:spacing w:line="500" w:lineRule="exact"/>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电话:</w:t>
            </w:r>
          </w:p>
        </w:tc>
        <w:tc>
          <w:tcPr>
            <w:tcW w:w="3753" w:type="dxa"/>
            <w:gridSpan w:val="2"/>
            <w:vAlign w:val="center"/>
          </w:tcPr>
          <w:p w14:paraId="46BAA3C3">
            <w:pPr>
              <w:tabs>
                <w:tab w:val="left" w:pos="984"/>
              </w:tabs>
              <w:adjustRightInd w:val="0"/>
              <w:snapToGrid w:val="0"/>
              <w:spacing w:line="500" w:lineRule="exact"/>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13647571013</w:t>
            </w:r>
          </w:p>
        </w:tc>
        <w:tc>
          <w:tcPr>
            <w:tcW w:w="972" w:type="dxa"/>
            <w:vAlign w:val="center"/>
          </w:tcPr>
          <w:p w14:paraId="012957FF">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电话:</w:t>
            </w:r>
          </w:p>
        </w:tc>
        <w:tc>
          <w:tcPr>
            <w:tcW w:w="4056" w:type="dxa"/>
            <w:gridSpan w:val="2"/>
            <w:vAlign w:val="center"/>
          </w:tcPr>
          <w:p w14:paraId="2A21712F">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15289908388</w:t>
            </w:r>
          </w:p>
        </w:tc>
      </w:tr>
      <w:tr w14:paraId="7D661C66">
        <w:tblPrEx>
          <w:tblCellMar>
            <w:top w:w="0" w:type="dxa"/>
            <w:left w:w="108" w:type="dxa"/>
            <w:bottom w:w="0" w:type="dxa"/>
            <w:right w:w="108" w:type="dxa"/>
          </w:tblCellMar>
        </w:tblPrEx>
        <w:trPr>
          <w:jc w:val="center"/>
        </w:trPr>
        <w:tc>
          <w:tcPr>
            <w:tcW w:w="857" w:type="dxa"/>
            <w:vAlign w:val="center"/>
          </w:tcPr>
          <w:p w14:paraId="75E57E3A">
            <w:pPr>
              <w:tabs>
                <w:tab w:val="left" w:pos="984"/>
              </w:tabs>
              <w:adjustRightInd w:val="0"/>
              <w:snapToGrid w:val="0"/>
              <w:spacing w:line="500" w:lineRule="exact"/>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b/>
                <w:color w:val="000000"/>
                <w:spacing w:val="20"/>
                <w:w w:val="79"/>
                <w:sz w:val="28"/>
                <w:szCs w:val="28"/>
              </w:rPr>
              <w:t>传真:</w:t>
            </w:r>
          </w:p>
        </w:tc>
        <w:tc>
          <w:tcPr>
            <w:tcW w:w="3753" w:type="dxa"/>
            <w:gridSpan w:val="2"/>
            <w:vAlign w:val="center"/>
          </w:tcPr>
          <w:p w14:paraId="0028636C">
            <w:pPr>
              <w:tabs>
                <w:tab w:val="left" w:pos="984"/>
              </w:tabs>
              <w:adjustRightInd w:val="0"/>
              <w:snapToGrid w:val="0"/>
              <w:spacing w:line="500" w:lineRule="exact"/>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b/>
                <w:color w:val="000000"/>
                <w:spacing w:val="20"/>
                <w:w w:val="79"/>
                <w:sz w:val="28"/>
                <w:szCs w:val="28"/>
              </w:rPr>
              <w:t>/</w:t>
            </w:r>
          </w:p>
        </w:tc>
        <w:tc>
          <w:tcPr>
            <w:tcW w:w="972" w:type="dxa"/>
            <w:vAlign w:val="center"/>
          </w:tcPr>
          <w:p w14:paraId="287ACC86">
            <w:pPr>
              <w:tabs>
                <w:tab w:val="left" w:pos="984"/>
              </w:tabs>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b/>
                <w:color w:val="000000"/>
                <w:spacing w:val="20"/>
                <w:w w:val="79"/>
                <w:sz w:val="28"/>
                <w:szCs w:val="28"/>
              </w:rPr>
              <w:t>传真:</w:t>
            </w:r>
          </w:p>
        </w:tc>
        <w:tc>
          <w:tcPr>
            <w:tcW w:w="4056" w:type="dxa"/>
            <w:gridSpan w:val="2"/>
            <w:vAlign w:val="center"/>
          </w:tcPr>
          <w:p w14:paraId="0A05038E">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w:t>
            </w:r>
          </w:p>
        </w:tc>
      </w:tr>
      <w:tr w14:paraId="481E7EFB">
        <w:tblPrEx>
          <w:tblCellMar>
            <w:top w:w="0" w:type="dxa"/>
            <w:left w:w="108" w:type="dxa"/>
            <w:bottom w:w="0" w:type="dxa"/>
            <w:right w:w="108" w:type="dxa"/>
          </w:tblCellMar>
        </w:tblPrEx>
        <w:trPr>
          <w:jc w:val="center"/>
        </w:trPr>
        <w:tc>
          <w:tcPr>
            <w:tcW w:w="857" w:type="dxa"/>
            <w:vAlign w:val="center"/>
          </w:tcPr>
          <w:p w14:paraId="515C6FA3">
            <w:pPr>
              <w:tabs>
                <w:tab w:val="left" w:pos="984"/>
              </w:tabs>
              <w:adjustRightInd w:val="0"/>
              <w:snapToGrid w:val="0"/>
              <w:spacing w:line="500" w:lineRule="exact"/>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邮编:</w:t>
            </w:r>
          </w:p>
        </w:tc>
        <w:tc>
          <w:tcPr>
            <w:tcW w:w="3753" w:type="dxa"/>
            <w:gridSpan w:val="2"/>
            <w:vAlign w:val="center"/>
          </w:tcPr>
          <w:p w14:paraId="6233A059">
            <w:pPr>
              <w:tabs>
                <w:tab w:val="left" w:pos="984"/>
              </w:tabs>
              <w:adjustRightInd w:val="0"/>
              <w:snapToGrid w:val="0"/>
              <w:spacing w:line="500" w:lineRule="exact"/>
              <w:rPr>
                <w:rFonts w:hint="default" w:ascii="Times New Roman" w:hAnsi="Times New Roman" w:eastAsia="宋体" w:cs="Times New Roman"/>
                <w:b/>
                <w:color w:val="000000"/>
                <w:spacing w:val="20"/>
                <w:w w:val="79"/>
                <w:sz w:val="28"/>
                <w:szCs w:val="28"/>
                <w:lang w:val="en-US" w:eastAsia="zh-CN"/>
              </w:rPr>
            </w:pPr>
            <w:r>
              <w:rPr>
                <w:rFonts w:hint="eastAsia" w:ascii="Times New Roman" w:hAnsi="Times New Roman" w:eastAsia="宋体" w:cs="Times New Roman"/>
                <w:b/>
                <w:color w:val="000000"/>
                <w:spacing w:val="20"/>
                <w:w w:val="79"/>
                <w:sz w:val="28"/>
                <w:szCs w:val="28"/>
                <w:lang w:val="en-US" w:eastAsia="zh-CN"/>
              </w:rPr>
              <w:t>571924</w:t>
            </w:r>
          </w:p>
        </w:tc>
        <w:tc>
          <w:tcPr>
            <w:tcW w:w="972" w:type="dxa"/>
            <w:vAlign w:val="center"/>
          </w:tcPr>
          <w:p w14:paraId="719B51E4">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邮编:</w:t>
            </w:r>
          </w:p>
        </w:tc>
        <w:tc>
          <w:tcPr>
            <w:tcW w:w="4056" w:type="dxa"/>
            <w:gridSpan w:val="2"/>
            <w:vAlign w:val="center"/>
          </w:tcPr>
          <w:p w14:paraId="6EA196AE">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lang w:val="en-US" w:eastAsia="zh-CN"/>
              </w:rPr>
              <w:t>571100</w:t>
            </w:r>
          </w:p>
        </w:tc>
      </w:tr>
      <w:tr w14:paraId="48DAF886">
        <w:tblPrEx>
          <w:tblCellMar>
            <w:top w:w="0" w:type="dxa"/>
            <w:left w:w="108" w:type="dxa"/>
            <w:bottom w:w="0" w:type="dxa"/>
            <w:right w:w="108" w:type="dxa"/>
          </w:tblCellMar>
        </w:tblPrEx>
        <w:trPr>
          <w:jc w:val="center"/>
        </w:trPr>
        <w:tc>
          <w:tcPr>
            <w:tcW w:w="857" w:type="dxa"/>
            <w:vAlign w:val="center"/>
          </w:tcPr>
          <w:p w14:paraId="54FA4111">
            <w:pPr>
              <w:tabs>
                <w:tab w:val="left" w:pos="984"/>
              </w:tabs>
              <w:adjustRightInd w:val="0"/>
              <w:snapToGrid w:val="0"/>
              <w:spacing w:line="500" w:lineRule="exact"/>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地址:</w:t>
            </w:r>
          </w:p>
        </w:tc>
        <w:tc>
          <w:tcPr>
            <w:tcW w:w="3753" w:type="dxa"/>
            <w:gridSpan w:val="2"/>
            <w:vAlign w:val="center"/>
          </w:tcPr>
          <w:p w14:paraId="1F9F19DF">
            <w:pPr>
              <w:tabs>
                <w:tab w:val="left" w:pos="984"/>
              </w:tabs>
              <w:adjustRightInd w:val="0"/>
              <w:snapToGrid w:val="0"/>
              <w:spacing w:line="500" w:lineRule="exact"/>
              <w:rPr>
                <w:rFonts w:hint="default" w:ascii="Times New Roman" w:hAnsi="Times New Roman" w:eastAsia="宋体" w:cs="Times New Roman"/>
                <w:b/>
                <w:color w:val="000000"/>
                <w:spacing w:val="20"/>
                <w:w w:val="79"/>
                <w:sz w:val="28"/>
                <w:szCs w:val="28"/>
              </w:rPr>
            </w:pPr>
          </w:p>
        </w:tc>
        <w:tc>
          <w:tcPr>
            <w:tcW w:w="972" w:type="dxa"/>
            <w:vAlign w:val="center"/>
          </w:tcPr>
          <w:p w14:paraId="35B03AAE">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地址:</w:t>
            </w:r>
          </w:p>
        </w:tc>
        <w:tc>
          <w:tcPr>
            <w:tcW w:w="4056" w:type="dxa"/>
            <w:gridSpan w:val="2"/>
            <w:vAlign w:val="center"/>
          </w:tcPr>
          <w:p w14:paraId="44C807AB">
            <w:pPr>
              <w:tabs>
                <w:tab w:val="left" w:pos="984"/>
              </w:tabs>
              <w:rPr>
                <w:rFonts w:hint="default" w:ascii="Times New Roman" w:hAnsi="Times New Roman" w:eastAsia="宋体" w:cs="Times New Roman"/>
                <w:color w:val="000000"/>
                <w:sz w:val="28"/>
                <w:szCs w:val="28"/>
              </w:rPr>
            </w:pPr>
          </w:p>
        </w:tc>
      </w:tr>
      <w:tr w14:paraId="599A82BF">
        <w:tblPrEx>
          <w:tblCellMar>
            <w:top w:w="0" w:type="dxa"/>
            <w:left w:w="108" w:type="dxa"/>
            <w:bottom w:w="0" w:type="dxa"/>
            <w:right w:w="108" w:type="dxa"/>
          </w:tblCellMar>
        </w:tblPrEx>
        <w:trPr>
          <w:jc w:val="center"/>
        </w:trPr>
        <w:tc>
          <w:tcPr>
            <w:tcW w:w="4610" w:type="dxa"/>
            <w:gridSpan w:val="3"/>
            <w:vAlign w:val="center"/>
          </w:tcPr>
          <w:p w14:paraId="137CF883">
            <w:pPr>
              <w:tabs>
                <w:tab w:val="left" w:pos="984"/>
              </w:tabs>
              <w:adjustRightInd w:val="0"/>
              <w:snapToGrid w:val="0"/>
              <w:spacing w:line="500" w:lineRule="exact"/>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color w:val="000000"/>
                <w:sz w:val="28"/>
                <w:szCs w:val="28"/>
              </w:rPr>
              <w:t>海南省澄迈县老城镇老城经济开发区南一环路与美朗南路交汇处西北侧第二号厂房</w:t>
            </w:r>
          </w:p>
        </w:tc>
        <w:tc>
          <w:tcPr>
            <w:tcW w:w="5028" w:type="dxa"/>
            <w:gridSpan w:val="3"/>
            <w:vAlign w:val="top"/>
          </w:tcPr>
          <w:p w14:paraId="3C56662C">
            <w:pPr>
              <w:tabs>
                <w:tab w:val="left" w:pos="984"/>
              </w:tabs>
              <w:jc w:val="center"/>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海南省海口市秀英区永兴镇太平村164号505房</w:t>
            </w:r>
          </w:p>
        </w:tc>
      </w:tr>
    </w:tbl>
    <w:p w14:paraId="0C450972">
      <w:pPr>
        <w:rPr>
          <w:rFonts w:hAnsi="宋体"/>
          <w:sz w:val="24"/>
        </w:rPr>
      </w:pPr>
      <w:r>
        <w:drawing>
          <wp:anchor distT="0" distB="0" distL="114300" distR="114300" simplePos="0" relativeHeight="251667456" behindDoc="0" locked="0" layoutInCell="1" allowOverlap="1">
            <wp:simplePos x="0" y="0"/>
            <wp:positionH relativeFrom="column">
              <wp:posOffset>-266700</wp:posOffset>
            </wp:positionH>
            <wp:positionV relativeFrom="paragraph">
              <wp:posOffset>87630</wp:posOffset>
            </wp:positionV>
            <wp:extent cx="5725160" cy="8068310"/>
            <wp:effectExtent l="0" t="0" r="8890" b="889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rot="10800000">
                      <a:off x="0" y="0"/>
                      <a:ext cx="5725160" cy="8068310"/>
                    </a:xfrm>
                    <a:prstGeom prst="rect">
                      <a:avLst/>
                    </a:prstGeom>
                    <a:noFill/>
                    <a:ln>
                      <a:noFill/>
                    </a:ln>
                  </pic:spPr>
                </pic:pic>
              </a:graphicData>
            </a:graphic>
          </wp:anchor>
        </w:drawing>
      </w:r>
    </w:p>
    <w:p w14:paraId="0AA8D248">
      <w:pPr>
        <w:rPr>
          <w:rFonts w:hAnsi="宋体"/>
          <w:sz w:val="24"/>
        </w:rPr>
      </w:pPr>
    </w:p>
    <w:p w14:paraId="0997CAA2">
      <w:pPr>
        <w:rPr>
          <w:rFonts w:hAnsi="宋体"/>
          <w:sz w:val="24"/>
        </w:rPr>
      </w:pPr>
    </w:p>
    <w:p w14:paraId="1F455E5A">
      <w:pPr>
        <w:rPr>
          <w:rFonts w:hAnsi="宋体"/>
          <w:sz w:val="24"/>
        </w:rPr>
      </w:pPr>
    </w:p>
    <w:p w14:paraId="434170B2">
      <w:pPr>
        <w:rPr>
          <w:rFonts w:hAnsi="宋体"/>
          <w:sz w:val="24"/>
        </w:rPr>
      </w:pPr>
    </w:p>
    <w:p w14:paraId="408D39E0">
      <w:pPr>
        <w:rPr>
          <w:rFonts w:hAnsi="宋体"/>
          <w:sz w:val="24"/>
        </w:rPr>
      </w:pPr>
    </w:p>
    <w:p w14:paraId="04F21EB8">
      <w:pPr>
        <w:rPr>
          <w:rFonts w:hAnsi="宋体"/>
          <w:sz w:val="24"/>
        </w:rPr>
      </w:pPr>
    </w:p>
    <w:p w14:paraId="5791323D">
      <w:pPr>
        <w:rPr>
          <w:rFonts w:hAnsi="宋体"/>
          <w:sz w:val="24"/>
        </w:rPr>
      </w:pPr>
    </w:p>
    <w:p w14:paraId="78412D3E">
      <w:pPr>
        <w:rPr>
          <w:rFonts w:hAnsi="宋体"/>
          <w:sz w:val="24"/>
        </w:rPr>
      </w:pPr>
    </w:p>
    <w:p w14:paraId="7771909E">
      <w:pPr>
        <w:rPr>
          <w:rFonts w:hAnsi="宋体"/>
          <w:sz w:val="24"/>
        </w:rPr>
      </w:pPr>
    </w:p>
    <w:p w14:paraId="5AC5E938">
      <w:pPr>
        <w:rPr>
          <w:rFonts w:hAnsi="宋体"/>
          <w:sz w:val="24"/>
        </w:rPr>
      </w:pPr>
    </w:p>
    <w:p w14:paraId="7590F1DE">
      <w:pPr>
        <w:rPr>
          <w:rFonts w:hAnsi="宋体"/>
          <w:sz w:val="24"/>
        </w:rPr>
      </w:pPr>
    </w:p>
    <w:p w14:paraId="549BBA66">
      <w:pPr>
        <w:rPr>
          <w:rFonts w:hAnsi="宋体"/>
          <w:sz w:val="24"/>
        </w:rPr>
      </w:pPr>
    </w:p>
    <w:p w14:paraId="754AB27E">
      <w:pPr>
        <w:rPr>
          <w:rFonts w:hAnsi="宋体"/>
          <w:sz w:val="24"/>
        </w:rPr>
      </w:pPr>
    </w:p>
    <w:p w14:paraId="4DAE8B00">
      <w:pPr>
        <w:rPr>
          <w:rFonts w:hAnsi="宋体"/>
          <w:sz w:val="24"/>
        </w:rPr>
      </w:pPr>
    </w:p>
    <w:p w14:paraId="3C176953">
      <w:pPr>
        <w:rPr>
          <w:rFonts w:hAnsi="宋体"/>
          <w:sz w:val="24"/>
        </w:rPr>
      </w:pPr>
    </w:p>
    <w:p w14:paraId="69306553">
      <w:pPr>
        <w:rPr>
          <w:rFonts w:hAnsi="宋体"/>
          <w:sz w:val="24"/>
        </w:rPr>
      </w:pPr>
    </w:p>
    <w:p w14:paraId="00AC08A2">
      <w:pPr>
        <w:rPr>
          <w:rFonts w:hAnsi="宋体"/>
          <w:sz w:val="24"/>
        </w:rPr>
      </w:pPr>
    </w:p>
    <w:p w14:paraId="62D3DC68">
      <w:pPr>
        <w:rPr>
          <w:rFonts w:hAnsi="宋体"/>
          <w:sz w:val="24"/>
        </w:rPr>
      </w:pPr>
    </w:p>
    <w:p w14:paraId="74BB6C67">
      <w:pPr>
        <w:rPr>
          <w:rFonts w:hAnsi="宋体"/>
          <w:sz w:val="24"/>
        </w:rPr>
      </w:pPr>
    </w:p>
    <w:p w14:paraId="553AA2ED">
      <w:pPr>
        <w:rPr>
          <w:rFonts w:hAnsi="宋体"/>
          <w:sz w:val="24"/>
        </w:rPr>
      </w:pPr>
    </w:p>
    <w:p w14:paraId="45895383">
      <w:pPr>
        <w:rPr>
          <w:rFonts w:hAnsi="宋体"/>
          <w:sz w:val="24"/>
        </w:rPr>
      </w:pPr>
    </w:p>
    <w:p w14:paraId="40559445">
      <w:pPr>
        <w:rPr>
          <w:rFonts w:hAnsi="宋体"/>
          <w:sz w:val="24"/>
        </w:rPr>
      </w:pPr>
    </w:p>
    <w:p w14:paraId="2E25E014">
      <w:pPr>
        <w:rPr>
          <w:rFonts w:hAnsi="宋体"/>
          <w:sz w:val="24"/>
        </w:rPr>
      </w:pPr>
    </w:p>
    <w:p w14:paraId="7E121DE7">
      <w:pPr>
        <w:rPr>
          <w:rFonts w:hAnsi="宋体"/>
          <w:sz w:val="24"/>
        </w:rPr>
      </w:pPr>
    </w:p>
    <w:p w14:paraId="1812216E">
      <w:pPr>
        <w:rPr>
          <w:rFonts w:hAnsi="宋体"/>
          <w:sz w:val="24"/>
        </w:rPr>
      </w:pPr>
    </w:p>
    <w:p w14:paraId="0A992BD7">
      <w:pPr>
        <w:rPr>
          <w:rFonts w:hAnsi="宋体"/>
          <w:sz w:val="24"/>
        </w:rPr>
      </w:pPr>
    </w:p>
    <w:p w14:paraId="31339765">
      <w:pPr>
        <w:rPr>
          <w:rFonts w:hAnsi="宋体"/>
          <w:sz w:val="24"/>
        </w:rPr>
      </w:pPr>
    </w:p>
    <w:p w14:paraId="2343D1B0">
      <w:pPr>
        <w:rPr>
          <w:rFonts w:hAnsi="宋体"/>
          <w:sz w:val="24"/>
        </w:rPr>
      </w:pPr>
    </w:p>
    <w:p w14:paraId="7BD0182A">
      <w:pPr>
        <w:rPr>
          <w:rFonts w:hAnsi="宋体"/>
          <w:sz w:val="24"/>
        </w:rPr>
      </w:pPr>
    </w:p>
    <w:p w14:paraId="793BEB2E">
      <w:pPr>
        <w:rPr>
          <w:rFonts w:hAnsi="宋体"/>
          <w:sz w:val="24"/>
        </w:rPr>
      </w:pPr>
    </w:p>
    <w:p w14:paraId="0ABA4185">
      <w:pPr>
        <w:rPr>
          <w:rFonts w:hAnsi="宋体"/>
          <w:sz w:val="24"/>
        </w:rPr>
      </w:pPr>
    </w:p>
    <w:p w14:paraId="26703DE5">
      <w:pPr>
        <w:rPr>
          <w:rFonts w:hAnsi="宋体"/>
          <w:sz w:val="24"/>
        </w:rPr>
      </w:pPr>
    </w:p>
    <w:p w14:paraId="3B0344F8">
      <w:pPr>
        <w:rPr>
          <w:rFonts w:hAnsi="宋体"/>
          <w:sz w:val="24"/>
        </w:rPr>
      </w:pPr>
    </w:p>
    <w:p w14:paraId="0779C294">
      <w:pPr>
        <w:rPr>
          <w:rFonts w:hAnsi="宋体"/>
          <w:sz w:val="24"/>
        </w:rPr>
      </w:pPr>
    </w:p>
    <w:p w14:paraId="652A4B21">
      <w:pPr>
        <w:rPr>
          <w:rFonts w:hAnsi="宋体"/>
          <w:sz w:val="24"/>
        </w:rPr>
      </w:pPr>
    </w:p>
    <w:p w14:paraId="22912701">
      <w:pPr>
        <w:rPr>
          <w:rFonts w:hAnsi="宋体"/>
          <w:sz w:val="24"/>
        </w:rPr>
      </w:pPr>
    </w:p>
    <w:p w14:paraId="35920810">
      <w:pPr>
        <w:rPr>
          <w:rFonts w:hAnsi="宋体"/>
          <w:sz w:val="24"/>
        </w:rPr>
      </w:pPr>
    </w:p>
    <w:p w14:paraId="3E4C1837">
      <w:pPr>
        <w:rPr>
          <w:rFonts w:hAnsi="宋体"/>
          <w:sz w:val="24"/>
        </w:rPr>
      </w:pPr>
    </w:p>
    <w:p w14:paraId="0849DDFC">
      <w:pPr>
        <w:rPr>
          <w:rFonts w:hAnsi="宋体"/>
          <w:sz w:val="24"/>
        </w:rPr>
      </w:pPr>
    </w:p>
    <w:p w14:paraId="14D5C485">
      <w:pPr>
        <w:rPr>
          <w:rFonts w:hAnsi="宋体"/>
          <w:sz w:val="24"/>
        </w:rPr>
      </w:pPr>
    </w:p>
    <w:p w14:paraId="67E0F017">
      <w:pPr>
        <w:rPr>
          <w:rFonts w:hAnsi="宋体"/>
          <w:sz w:val="24"/>
        </w:rPr>
      </w:pPr>
    </w:p>
    <w:p w14:paraId="3B679106">
      <w:pPr>
        <w:rPr>
          <w:rFonts w:hAnsi="宋体"/>
          <w:sz w:val="24"/>
        </w:rPr>
      </w:pPr>
    </w:p>
    <w:p w14:paraId="0F3377E3">
      <w:pPr>
        <w:rPr>
          <w:rFonts w:hAnsi="宋体"/>
          <w:sz w:val="24"/>
        </w:rPr>
      </w:pPr>
    </w:p>
    <w:p w14:paraId="448AF7BC">
      <w:pPr>
        <w:rPr>
          <w:rFonts w:hAnsi="宋体"/>
          <w:sz w:val="24"/>
        </w:rPr>
      </w:pPr>
    </w:p>
    <w:p w14:paraId="224ED0F3">
      <w:pPr>
        <w:rPr>
          <w:rFonts w:hAnsi="宋体"/>
          <w:sz w:val="24"/>
        </w:rPr>
      </w:pPr>
      <w:r>
        <w:drawing>
          <wp:anchor distT="0" distB="0" distL="114300" distR="114300" simplePos="0" relativeHeight="251661312" behindDoc="0" locked="0" layoutInCell="1" allowOverlap="1">
            <wp:simplePos x="0" y="0"/>
            <wp:positionH relativeFrom="column">
              <wp:posOffset>-228600</wp:posOffset>
            </wp:positionH>
            <wp:positionV relativeFrom="paragraph">
              <wp:posOffset>20955</wp:posOffset>
            </wp:positionV>
            <wp:extent cx="5759450" cy="8769985"/>
            <wp:effectExtent l="0" t="0" r="12700" b="12065"/>
            <wp:wrapNone/>
            <wp:docPr id="2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1"/>
                    <pic:cNvPicPr>
                      <a:picLocks noChangeAspect="1"/>
                    </pic:cNvPicPr>
                  </pic:nvPicPr>
                  <pic:blipFill>
                    <a:blip r:embed="rId10"/>
                    <a:stretch>
                      <a:fillRect/>
                    </a:stretch>
                  </pic:blipFill>
                  <pic:spPr>
                    <a:xfrm>
                      <a:off x="0" y="0"/>
                      <a:ext cx="5759450" cy="8769985"/>
                    </a:xfrm>
                    <a:prstGeom prst="rect">
                      <a:avLst/>
                    </a:prstGeom>
                    <a:noFill/>
                    <a:ln>
                      <a:noFill/>
                    </a:ln>
                  </pic:spPr>
                </pic:pic>
              </a:graphicData>
            </a:graphic>
          </wp:anchor>
        </w:drawing>
      </w:r>
    </w:p>
    <w:p w14:paraId="44B2B219">
      <w:pPr>
        <w:rPr>
          <w:rFonts w:hAnsi="宋体"/>
          <w:sz w:val="24"/>
        </w:rPr>
      </w:pPr>
    </w:p>
    <w:p w14:paraId="16674F49">
      <w:pPr>
        <w:rPr>
          <w:rFonts w:hAnsi="宋体"/>
          <w:sz w:val="24"/>
        </w:rPr>
      </w:pPr>
    </w:p>
    <w:p w14:paraId="14597412">
      <w:pPr>
        <w:rPr>
          <w:rFonts w:hAnsi="宋体"/>
          <w:sz w:val="24"/>
        </w:rPr>
      </w:pPr>
    </w:p>
    <w:p w14:paraId="46C69421">
      <w:pPr>
        <w:rPr>
          <w:rFonts w:hAnsi="宋体"/>
          <w:sz w:val="24"/>
        </w:rPr>
      </w:pPr>
    </w:p>
    <w:p w14:paraId="4B2D9BAA">
      <w:pPr>
        <w:rPr>
          <w:rFonts w:hAnsi="宋体"/>
          <w:sz w:val="24"/>
        </w:rPr>
      </w:pPr>
    </w:p>
    <w:p w14:paraId="2FB9B541">
      <w:pPr>
        <w:rPr>
          <w:rFonts w:hAnsi="宋体"/>
          <w:sz w:val="24"/>
        </w:rPr>
      </w:pPr>
    </w:p>
    <w:p w14:paraId="026B590E">
      <w:pPr>
        <w:rPr>
          <w:rFonts w:hAnsi="宋体"/>
          <w:sz w:val="24"/>
        </w:rPr>
      </w:pPr>
    </w:p>
    <w:p w14:paraId="6B442AC7">
      <w:pPr>
        <w:rPr>
          <w:rFonts w:hAnsi="宋体"/>
          <w:sz w:val="24"/>
        </w:rPr>
      </w:pPr>
    </w:p>
    <w:p w14:paraId="3129F315">
      <w:pPr>
        <w:rPr>
          <w:rFonts w:hAnsi="宋体"/>
          <w:sz w:val="24"/>
        </w:rPr>
      </w:pPr>
    </w:p>
    <w:p w14:paraId="315F2E7E">
      <w:pPr>
        <w:rPr>
          <w:rFonts w:hAnsi="宋体"/>
          <w:sz w:val="24"/>
        </w:rPr>
      </w:pPr>
    </w:p>
    <w:p w14:paraId="2B8764A7">
      <w:pPr>
        <w:rPr>
          <w:rFonts w:hAnsi="宋体"/>
          <w:sz w:val="24"/>
        </w:rPr>
      </w:pPr>
    </w:p>
    <w:p w14:paraId="042D1C16">
      <w:pPr>
        <w:rPr>
          <w:rFonts w:hAnsi="宋体"/>
          <w:sz w:val="24"/>
        </w:rPr>
      </w:pPr>
    </w:p>
    <w:p w14:paraId="519B1B0F">
      <w:pPr>
        <w:rPr>
          <w:rFonts w:hAnsi="宋体"/>
          <w:sz w:val="24"/>
        </w:rPr>
      </w:pPr>
    </w:p>
    <w:p w14:paraId="4669E896">
      <w:pPr>
        <w:rPr>
          <w:rFonts w:hAnsi="宋体"/>
          <w:sz w:val="24"/>
        </w:rPr>
      </w:pPr>
    </w:p>
    <w:p w14:paraId="680CB009">
      <w:pPr>
        <w:rPr>
          <w:rFonts w:hAnsi="宋体"/>
          <w:sz w:val="24"/>
        </w:rPr>
      </w:pPr>
    </w:p>
    <w:p w14:paraId="49CA388A">
      <w:pPr>
        <w:rPr>
          <w:rFonts w:hAnsi="宋体"/>
          <w:sz w:val="24"/>
        </w:rPr>
      </w:pPr>
    </w:p>
    <w:p w14:paraId="6DE7D5DB">
      <w:pPr>
        <w:rPr>
          <w:rFonts w:hAnsi="宋体"/>
          <w:sz w:val="24"/>
        </w:rPr>
      </w:pPr>
    </w:p>
    <w:p w14:paraId="72041696">
      <w:pPr>
        <w:rPr>
          <w:rFonts w:hAnsi="宋体"/>
          <w:sz w:val="24"/>
        </w:rPr>
      </w:pPr>
    </w:p>
    <w:p w14:paraId="21E36537">
      <w:pPr>
        <w:rPr>
          <w:rFonts w:hAnsi="宋体"/>
          <w:sz w:val="24"/>
        </w:rPr>
      </w:pPr>
    </w:p>
    <w:p w14:paraId="2BAEB80A">
      <w:pPr>
        <w:rPr>
          <w:rFonts w:hAnsi="宋体"/>
          <w:sz w:val="24"/>
        </w:rPr>
      </w:pPr>
    </w:p>
    <w:p w14:paraId="68D70EED">
      <w:pPr>
        <w:rPr>
          <w:rFonts w:hAnsi="宋体"/>
          <w:sz w:val="24"/>
        </w:rPr>
      </w:pPr>
    </w:p>
    <w:p w14:paraId="1D649C40">
      <w:pPr>
        <w:pStyle w:val="36"/>
        <w:rPr>
          <w:rFonts w:hAnsi="宋体"/>
        </w:rPr>
      </w:pPr>
    </w:p>
    <w:p w14:paraId="37CB0A48">
      <w:pPr>
        <w:pStyle w:val="38"/>
        <w:rPr>
          <w:rFonts w:hAnsi="宋体"/>
          <w:sz w:val="24"/>
        </w:rPr>
      </w:pPr>
    </w:p>
    <w:p w14:paraId="03564D7E">
      <w:pPr>
        <w:rPr>
          <w:rFonts w:hAnsi="宋体"/>
          <w:sz w:val="24"/>
        </w:rPr>
      </w:pPr>
    </w:p>
    <w:p w14:paraId="20E78C61">
      <w:pPr>
        <w:pStyle w:val="36"/>
        <w:rPr>
          <w:rFonts w:hAnsi="宋体"/>
        </w:rPr>
      </w:pPr>
    </w:p>
    <w:p w14:paraId="6E012227">
      <w:pPr>
        <w:pStyle w:val="38"/>
        <w:rPr>
          <w:rFonts w:hAnsi="宋体"/>
          <w:sz w:val="24"/>
        </w:rPr>
      </w:pPr>
    </w:p>
    <w:p w14:paraId="3C8825DC">
      <w:pPr>
        <w:rPr>
          <w:rFonts w:hAnsi="宋体"/>
          <w:sz w:val="24"/>
        </w:rPr>
      </w:pPr>
    </w:p>
    <w:p w14:paraId="4E212DC8">
      <w:pPr>
        <w:pStyle w:val="36"/>
        <w:rPr>
          <w:rFonts w:hAnsi="宋体"/>
        </w:rPr>
      </w:pPr>
    </w:p>
    <w:p w14:paraId="69E628B8">
      <w:pPr>
        <w:pStyle w:val="38"/>
        <w:rPr>
          <w:rFonts w:hAnsi="宋体"/>
          <w:sz w:val="24"/>
        </w:rPr>
      </w:pPr>
    </w:p>
    <w:p w14:paraId="3DB51D98">
      <w:pPr>
        <w:rPr>
          <w:rFonts w:hAnsi="宋体"/>
          <w:sz w:val="24"/>
        </w:rPr>
      </w:pPr>
    </w:p>
    <w:p w14:paraId="683D28A2">
      <w:pPr>
        <w:pStyle w:val="36"/>
        <w:rPr>
          <w:rFonts w:hAnsi="宋体"/>
        </w:rPr>
      </w:pPr>
    </w:p>
    <w:p w14:paraId="0D4CB595">
      <w:pPr>
        <w:pStyle w:val="38"/>
        <w:rPr>
          <w:rFonts w:hAnsi="宋体"/>
          <w:sz w:val="24"/>
        </w:rPr>
      </w:pPr>
    </w:p>
    <w:p w14:paraId="52DEC9BA">
      <w:pPr>
        <w:rPr>
          <w:rFonts w:hAnsi="宋体"/>
          <w:sz w:val="24"/>
        </w:rPr>
      </w:pPr>
    </w:p>
    <w:p w14:paraId="47EDD20A">
      <w:pPr>
        <w:pStyle w:val="36"/>
        <w:rPr>
          <w:rFonts w:hAnsi="宋体"/>
        </w:rPr>
      </w:pPr>
    </w:p>
    <w:p w14:paraId="099FB1F0">
      <w:pPr>
        <w:pStyle w:val="38"/>
      </w:pPr>
    </w:p>
    <w:p w14:paraId="4E79F1AB">
      <w:pPr>
        <w:pStyle w:val="38"/>
        <w:rPr>
          <w:rFonts w:hAnsi="宋体"/>
          <w:sz w:val="24"/>
        </w:rPr>
      </w:pPr>
    </w:p>
    <w:p w14:paraId="373910C7">
      <w:pPr>
        <w:rPr>
          <w:rFonts w:hAnsi="宋体"/>
          <w:sz w:val="24"/>
        </w:rPr>
      </w:pPr>
    </w:p>
    <w:p w14:paraId="23456C19">
      <w:pPr>
        <w:pStyle w:val="36"/>
        <w:rPr>
          <w:rFonts w:hAnsi="宋体"/>
        </w:rPr>
      </w:pPr>
    </w:p>
    <w:p w14:paraId="3950D1B3">
      <w:pPr>
        <w:pStyle w:val="38"/>
        <w:rPr>
          <w:rFonts w:hAnsi="宋体"/>
          <w:sz w:val="24"/>
        </w:rPr>
      </w:pPr>
    </w:p>
    <w:p w14:paraId="6C8998F7">
      <w:pPr>
        <w:rPr>
          <w:rFonts w:hAnsi="宋体"/>
          <w:sz w:val="24"/>
        </w:rPr>
      </w:pPr>
    </w:p>
    <w:p w14:paraId="75BE2CDF">
      <w:pPr>
        <w:pStyle w:val="36"/>
        <w:rPr>
          <w:rFonts w:hAnsi="宋体"/>
        </w:rPr>
      </w:pPr>
    </w:p>
    <w:p w14:paraId="1BCC4BA5">
      <w:pPr>
        <w:pStyle w:val="38"/>
        <w:rPr>
          <w:rFonts w:hAnsi="宋体"/>
          <w:sz w:val="24"/>
        </w:rPr>
      </w:pPr>
    </w:p>
    <w:p w14:paraId="077EAA53">
      <w:pPr>
        <w:pStyle w:val="40"/>
        <w:adjustRightInd w:val="0"/>
        <w:snapToGrid w:val="0"/>
        <w:spacing w:before="0" w:line="360" w:lineRule="auto"/>
        <w:jc w:val="center"/>
        <w:rPr>
          <w:color w:val="000000" w:themeColor="text1"/>
          <w:sz w:val="30"/>
          <w:szCs w:val="30"/>
          <w:highlight w:val="none"/>
          <w14:textFill>
            <w14:solidFill>
              <w14:schemeClr w14:val="tx1"/>
            </w14:solidFill>
          </w14:textFill>
        </w:rPr>
      </w:pPr>
      <w:r>
        <w:rPr>
          <w:color w:val="000000" w:themeColor="text1"/>
          <w:sz w:val="30"/>
          <w:szCs w:val="30"/>
          <w:highlight w:val="none"/>
          <w:lang w:val="zh-CN"/>
          <w14:textFill>
            <w14:solidFill>
              <w14:schemeClr w14:val="tx1"/>
            </w14:solidFill>
          </w14:textFill>
        </w:rPr>
        <w:t>目</w:t>
      </w:r>
      <w:r>
        <w:rPr>
          <w:rFonts w:hint="eastAsia"/>
          <w:color w:val="000000" w:themeColor="text1"/>
          <w:sz w:val="30"/>
          <w:szCs w:val="30"/>
          <w:highlight w:val="none"/>
          <w14:textFill>
            <w14:solidFill>
              <w14:schemeClr w14:val="tx1"/>
            </w14:solidFill>
          </w14:textFill>
        </w:rPr>
        <w:t xml:space="preserve"> </w:t>
      </w:r>
      <w:r>
        <w:rPr>
          <w:color w:val="000000" w:themeColor="text1"/>
          <w:sz w:val="30"/>
          <w:szCs w:val="30"/>
          <w:highlight w:val="none"/>
          <w:lang w:val="zh-CN"/>
          <w14:textFill>
            <w14:solidFill>
              <w14:schemeClr w14:val="tx1"/>
            </w14:solidFill>
          </w14:textFill>
        </w:rPr>
        <w:t>录</w:t>
      </w:r>
    </w:p>
    <w:p w14:paraId="2158DA2B">
      <w:pPr>
        <w:pStyle w:val="17"/>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fldChar w:fldCharType="begin"/>
      </w:r>
      <w:r>
        <w:rPr>
          <w:rFonts w:ascii="Times New Roman" w:hAnsi="Times New Roman" w:cs="Times New Roman"/>
          <w:color w:val="000000" w:themeColor="text1"/>
          <w:sz w:val="24"/>
          <w14:textFill>
            <w14:solidFill>
              <w14:schemeClr w14:val="tx1"/>
            </w14:solidFill>
          </w14:textFill>
        </w:rPr>
        <w:instrText xml:space="preserve"> TOC \o "1-3" \h \z \u </w:instrText>
      </w:r>
      <w:r>
        <w:rPr>
          <w:rFonts w:ascii="Times New Roman" w:hAnsi="Times New Roman" w:cs="Times New Roman"/>
          <w:color w:val="000000" w:themeColor="text1"/>
          <w:sz w:val="24"/>
          <w14:textFill>
            <w14:solidFill>
              <w14:schemeClr w14:val="tx1"/>
            </w14:solidFill>
          </w14:textFill>
        </w:rPr>
        <w:fldChar w:fldCharType="separate"/>
      </w:r>
      <w:r>
        <w:fldChar w:fldCharType="begin"/>
      </w:r>
      <w:r>
        <w:instrText xml:space="preserve"> HYPERLINK \l "_Toc46827819" </w:instrText>
      </w:r>
      <w:r>
        <w:fldChar w:fldCharType="separate"/>
      </w:r>
      <w:r>
        <w:rPr>
          <w:rStyle w:val="34"/>
          <w:rFonts w:ascii="Times New Roman" w:hAnsi="Times New Roman" w:cs="Times New Roman"/>
          <w:color w:val="000000" w:themeColor="text1"/>
          <w:kern w:val="44"/>
          <w:sz w:val="24"/>
          <w14:textFill>
            <w14:solidFill>
              <w14:schemeClr w14:val="tx1"/>
            </w14:solidFill>
          </w14:textFill>
        </w:rPr>
        <w:t>前  言</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1</w:t>
      </w:r>
      <w:r>
        <w:rPr>
          <w:rFonts w:hint="eastAsia" w:ascii="Times New Roman" w:hAnsi="Times New Roman" w:cs="Times New Roman"/>
          <w:color w:val="000000" w:themeColor="text1"/>
          <w:sz w:val="24"/>
          <w14:textFill>
            <w14:solidFill>
              <w14:schemeClr w14:val="tx1"/>
            </w14:solidFill>
          </w14:textFill>
        </w:rPr>
        <w:fldChar w:fldCharType="end"/>
      </w:r>
    </w:p>
    <w:p w14:paraId="68B656F2">
      <w:pPr>
        <w:pStyle w:val="17"/>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fldChar w:fldCharType="begin"/>
      </w:r>
      <w:r>
        <w:instrText xml:space="preserve"> HYPERLINK \l "_Toc46827820" </w:instrText>
      </w:r>
      <w:r>
        <w:fldChar w:fldCharType="separate"/>
      </w:r>
      <w:r>
        <w:rPr>
          <w:rStyle w:val="34"/>
          <w:rFonts w:ascii="Times New Roman" w:hAnsi="Times New Roman" w:cs="Times New Roman"/>
          <w:color w:val="000000" w:themeColor="text1"/>
          <w:sz w:val="24"/>
          <w14:textFill>
            <w14:solidFill>
              <w14:schemeClr w14:val="tx1"/>
            </w14:solidFill>
          </w14:textFill>
        </w:rPr>
        <w:t>表一  项目概况、验收依据及评价标准</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t>3</w:t>
      </w:r>
      <w:r>
        <w:rPr>
          <w:rFonts w:ascii="Times New Roman" w:hAnsi="Times New Roman" w:cs="Times New Roman"/>
          <w:color w:val="000000" w:themeColor="text1"/>
          <w:sz w:val="24"/>
          <w14:textFill>
            <w14:solidFill>
              <w14:schemeClr w14:val="tx1"/>
            </w14:solidFill>
          </w14:textFill>
        </w:rPr>
        <w:fldChar w:fldCharType="end"/>
      </w:r>
    </w:p>
    <w:p w14:paraId="36326C03">
      <w:pPr>
        <w:pStyle w:val="17"/>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fldChar w:fldCharType="begin"/>
      </w:r>
      <w:r>
        <w:instrText xml:space="preserve"> HYPERLINK \l "_Toc46827830" </w:instrText>
      </w:r>
      <w:r>
        <w:fldChar w:fldCharType="separate"/>
      </w:r>
      <w:r>
        <w:rPr>
          <w:rStyle w:val="34"/>
          <w:rFonts w:ascii="Times New Roman" w:hAnsi="Times New Roman" w:cs="Times New Roman"/>
          <w:color w:val="000000" w:themeColor="text1"/>
          <w:sz w:val="24"/>
          <w14:textFill>
            <w14:solidFill>
              <w14:schemeClr w14:val="tx1"/>
            </w14:solidFill>
          </w14:textFill>
        </w:rPr>
        <w:t>表二  建设内容、主要生产工艺及污染物产出流程</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7</w:t>
      </w:r>
      <w:r>
        <w:rPr>
          <w:rFonts w:hint="eastAsia" w:ascii="Times New Roman" w:hAnsi="Times New Roman" w:cs="Times New Roman"/>
          <w:color w:val="000000" w:themeColor="text1"/>
          <w:sz w:val="24"/>
          <w14:textFill>
            <w14:solidFill>
              <w14:schemeClr w14:val="tx1"/>
            </w14:solidFill>
          </w14:textFill>
        </w:rPr>
        <w:fldChar w:fldCharType="end"/>
      </w:r>
    </w:p>
    <w:p w14:paraId="476690B9">
      <w:pPr>
        <w:pStyle w:val="17"/>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fldChar w:fldCharType="begin"/>
      </w:r>
      <w:r>
        <w:instrText xml:space="preserve"> HYPERLINK \l "_Toc46827831" </w:instrText>
      </w:r>
      <w:r>
        <w:fldChar w:fldCharType="separate"/>
      </w:r>
      <w:r>
        <w:rPr>
          <w:rStyle w:val="34"/>
          <w:rFonts w:ascii="Times New Roman" w:hAnsi="Times New Roman" w:cs="Times New Roman"/>
          <w:color w:val="000000" w:themeColor="text1"/>
          <w:sz w:val="24"/>
          <w14:textFill>
            <w14:solidFill>
              <w14:schemeClr w14:val="tx1"/>
            </w14:solidFill>
          </w14:textFill>
        </w:rPr>
        <w:t>表三  主要污染物、污染物处理流程和排放流程</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end"/>
      </w:r>
      <w:r>
        <w:rPr>
          <w:rStyle w:val="34"/>
          <w:rFonts w:hint="eastAsia" w:ascii="Times New Roman" w:hAnsi="Times New Roman" w:cs="Times New Roman"/>
          <w:color w:val="000000" w:themeColor="text1"/>
          <w:sz w:val="24"/>
          <w14:textFill>
            <w14:solidFill>
              <w14:schemeClr w14:val="tx1"/>
            </w14:solidFill>
          </w14:textFill>
        </w:rPr>
        <w:t>1</w:t>
      </w:r>
      <w:r>
        <w:rPr>
          <w:rStyle w:val="34"/>
          <w:rFonts w:hint="eastAsia" w:ascii="Times New Roman" w:hAnsi="Times New Roman" w:cs="Times New Roman"/>
          <w:color w:val="000000" w:themeColor="text1"/>
          <w:sz w:val="24"/>
          <w:lang w:val="en-US" w:eastAsia="zh-CN"/>
          <w14:textFill>
            <w14:solidFill>
              <w14:schemeClr w14:val="tx1"/>
            </w14:solidFill>
          </w14:textFill>
        </w:rPr>
        <w:t>2</w:t>
      </w:r>
    </w:p>
    <w:p w14:paraId="44CAD6AF">
      <w:pPr>
        <w:pStyle w:val="17"/>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"_Toc46827833" </w:instrText>
      </w:r>
      <w:r>
        <w:fldChar w:fldCharType="separate"/>
      </w:r>
      <w:r>
        <w:rPr>
          <w:rStyle w:val="34"/>
          <w:rFonts w:ascii="Times New Roman" w:hAnsi="Times New Roman" w:cs="Times New Roman"/>
          <w:color w:val="000000" w:themeColor="text1"/>
          <w:sz w:val="24"/>
          <w14:textFill>
            <w14:solidFill>
              <w14:schemeClr w14:val="tx1"/>
            </w14:solidFill>
          </w14:textFill>
        </w:rPr>
        <w:t>表四  环境影响报告表结论、审批部门审批决定及其落实情况</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end"/>
      </w:r>
      <w:r>
        <w:rPr>
          <w:rStyle w:val="34"/>
          <w:rFonts w:hint="eastAsia" w:ascii="Times New Roman" w:hAnsi="Times New Roman" w:cs="Times New Roman"/>
          <w:color w:val="000000" w:themeColor="text1"/>
          <w:sz w:val="24"/>
          <w:lang w:val="en-US" w:eastAsia="zh-CN"/>
          <w14:textFill>
            <w14:solidFill>
              <w14:schemeClr w14:val="tx1"/>
            </w14:solidFill>
          </w14:textFill>
        </w:rPr>
        <w:t>17</w:t>
      </w:r>
    </w:p>
    <w:p w14:paraId="349ACA5F">
      <w:pPr>
        <w:pStyle w:val="17"/>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fldChar w:fldCharType="begin"/>
      </w:r>
      <w:r>
        <w:instrText xml:space="preserve"> HYPERLINK \l "_Toc46827837" </w:instrText>
      </w:r>
      <w:r>
        <w:fldChar w:fldCharType="separate"/>
      </w:r>
      <w:r>
        <w:rPr>
          <w:rStyle w:val="34"/>
          <w:rFonts w:ascii="Times New Roman" w:hAnsi="Times New Roman" w:cs="Times New Roman"/>
          <w:color w:val="000000" w:themeColor="text1"/>
          <w:sz w:val="24"/>
          <w14:textFill>
            <w14:solidFill>
              <w14:schemeClr w14:val="tx1"/>
            </w14:solidFill>
          </w14:textFill>
        </w:rPr>
        <w:t>表五  验收监测质量保证及质量控制</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2</w:t>
      </w:r>
      <w:r>
        <w:rPr>
          <w:rFonts w:hint="eastAsia" w:ascii="Times New Roman" w:hAnsi="Times New Roman" w:cs="Times New Roman"/>
          <w:color w:val="000000" w:themeColor="text1"/>
          <w:sz w:val="24"/>
          <w14:textFill>
            <w14:solidFill>
              <w14:schemeClr w14:val="tx1"/>
            </w14:solidFill>
          </w14:textFill>
        </w:rPr>
        <w:fldChar w:fldCharType="end"/>
      </w:r>
      <w:r>
        <w:rPr>
          <w:rStyle w:val="34"/>
          <w:rFonts w:hint="eastAsia" w:ascii="Times New Roman" w:hAnsi="Times New Roman" w:cs="Times New Roman"/>
          <w:color w:val="000000" w:themeColor="text1"/>
          <w:sz w:val="24"/>
          <w:lang w:val="en-US" w:eastAsia="zh-CN"/>
          <w14:textFill>
            <w14:solidFill>
              <w14:schemeClr w14:val="tx1"/>
            </w14:solidFill>
          </w14:textFill>
        </w:rPr>
        <w:t>5</w:t>
      </w:r>
    </w:p>
    <w:p w14:paraId="31526D56">
      <w:pPr>
        <w:pStyle w:val="17"/>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"_Toc46827838" </w:instrText>
      </w:r>
      <w:r>
        <w:fldChar w:fldCharType="separate"/>
      </w:r>
      <w:r>
        <w:rPr>
          <w:rStyle w:val="34"/>
          <w:rFonts w:ascii="Times New Roman" w:hAnsi="Times New Roman" w:cs="Times New Roman"/>
          <w:color w:val="000000" w:themeColor="text1"/>
          <w:sz w:val="24"/>
          <w14:textFill>
            <w14:solidFill>
              <w14:schemeClr w14:val="tx1"/>
            </w14:solidFill>
          </w14:textFill>
        </w:rPr>
        <w:t>表六  验收监测点位、监测项目及监测频率</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end"/>
      </w:r>
      <w:r>
        <w:rPr>
          <w:rStyle w:val="34"/>
          <w:rFonts w:hint="eastAsia" w:ascii="Times New Roman" w:hAnsi="Times New Roman" w:cs="Times New Roman"/>
          <w:color w:val="000000" w:themeColor="text1"/>
          <w:sz w:val="24"/>
          <w:lang w:val="en-US" w:eastAsia="zh-CN"/>
          <w14:textFill>
            <w14:solidFill>
              <w14:schemeClr w14:val="tx1"/>
            </w14:solidFill>
          </w14:textFill>
        </w:rPr>
        <w:t>26</w:t>
      </w:r>
    </w:p>
    <w:p w14:paraId="42395961">
      <w:pPr>
        <w:pStyle w:val="17"/>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"_Toc46827843" </w:instrText>
      </w:r>
      <w:r>
        <w:fldChar w:fldCharType="separate"/>
      </w:r>
      <w:r>
        <w:rPr>
          <w:rStyle w:val="34"/>
          <w:rFonts w:ascii="Times New Roman" w:hAnsi="Times New Roman" w:cs="Times New Roman"/>
          <w:color w:val="000000" w:themeColor="text1"/>
          <w:sz w:val="24"/>
          <w14:textFill>
            <w14:solidFill>
              <w14:schemeClr w14:val="tx1"/>
            </w14:solidFill>
          </w14:textFill>
        </w:rPr>
        <w:t>表七  验收监测工况及监测结果</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2</w:t>
      </w:r>
      <w:r>
        <w:rPr>
          <w:rFonts w:hint="eastAsia" w:ascii="Times New Roman" w:hAnsi="Times New Roman" w:cs="Times New Roman"/>
          <w:color w:val="000000" w:themeColor="text1"/>
          <w:sz w:val="24"/>
          <w14:textFill>
            <w14:solidFill>
              <w14:schemeClr w14:val="tx1"/>
            </w14:solidFill>
          </w14:textFill>
        </w:rPr>
        <w:fldChar w:fldCharType="end"/>
      </w:r>
      <w:r>
        <w:rPr>
          <w:rFonts w:hint="eastAsia" w:ascii="Times New Roman" w:hAnsi="Times New Roman" w:cs="Times New Roman"/>
          <w:color w:val="000000" w:themeColor="text1"/>
          <w:sz w:val="24"/>
          <w:lang w:val="en-US" w:eastAsia="zh-CN"/>
          <w14:textFill>
            <w14:solidFill>
              <w14:schemeClr w14:val="tx1"/>
            </w14:solidFill>
          </w14:textFill>
        </w:rPr>
        <w:t>7</w:t>
      </w:r>
    </w:p>
    <w:p w14:paraId="2D26AF9D">
      <w:pPr>
        <w:pStyle w:val="17"/>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"_Toc46827846" </w:instrText>
      </w:r>
      <w:r>
        <w:fldChar w:fldCharType="separate"/>
      </w:r>
      <w:r>
        <w:rPr>
          <w:rStyle w:val="34"/>
          <w:rFonts w:ascii="Times New Roman" w:hAnsi="Times New Roman" w:cs="Times New Roman"/>
          <w:color w:val="000000" w:themeColor="text1"/>
          <w:sz w:val="24"/>
          <w14:textFill>
            <w14:solidFill>
              <w14:schemeClr w14:val="tx1"/>
            </w14:solidFill>
          </w14:textFill>
        </w:rPr>
        <w:t>表八  验收监测结论</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end"/>
      </w:r>
      <w:r>
        <w:rPr>
          <w:rStyle w:val="34"/>
          <w:rFonts w:hint="eastAsia" w:ascii="Times New Roman" w:hAnsi="Times New Roman" w:cs="Times New Roman"/>
          <w:color w:val="000000" w:themeColor="text1"/>
          <w:sz w:val="24"/>
          <w:lang w:val="en-US" w:eastAsia="zh-CN"/>
          <w14:textFill>
            <w14:solidFill>
              <w14:schemeClr w14:val="tx1"/>
            </w14:solidFill>
          </w14:textFill>
        </w:rPr>
        <w:t>31</w:t>
      </w:r>
    </w:p>
    <w:p w14:paraId="0EB19865">
      <w:pPr>
        <w:pStyle w:val="17"/>
        <w:tabs>
          <w:tab w:val="right" w:leader="dot" w:pos="8296"/>
        </w:tabs>
        <w:adjustRightInd w:val="0"/>
        <w:snapToGrid w:val="0"/>
        <w:spacing w:line="500" w:lineRule="exact"/>
      </w:pPr>
      <w:r>
        <w:fldChar w:fldCharType="begin"/>
      </w:r>
      <w:r>
        <w:instrText xml:space="preserve"> HYPERLINK \l "_Toc46827846" </w:instrText>
      </w:r>
      <w:r>
        <w:fldChar w:fldCharType="separate"/>
      </w:r>
      <w:r>
        <w:rPr>
          <w:rStyle w:val="34"/>
          <w:rFonts w:ascii="Times New Roman" w:hAnsi="Times New Roman" w:cs="Times New Roman"/>
          <w:color w:val="000000" w:themeColor="text1"/>
          <w:sz w:val="24"/>
          <w14:textFill>
            <w14:solidFill>
              <w14:schemeClr w14:val="tx1"/>
            </w14:solidFill>
          </w14:textFill>
        </w:rPr>
        <w:t>表</w:t>
      </w:r>
      <w:r>
        <w:rPr>
          <w:rStyle w:val="34"/>
          <w:rFonts w:hint="eastAsia" w:ascii="Times New Roman" w:hAnsi="Times New Roman" w:cs="Times New Roman"/>
          <w:color w:val="000000" w:themeColor="text1"/>
          <w:sz w:val="24"/>
          <w:lang w:val="en-US" w:eastAsia="zh-CN"/>
          <w14:textFill>
            <w14:solidFill>
              <w14:schemeClr w14:val="tx1"/>
            </w14:solidFill>
          </w14:textFill>
        </w:rPr>
        <w:t>九</w:t>
      </w:r>
      <w:r>
        <w:rPr>
          <w:rStyle w:val="34"/>
          <w:rFonts w:ascii="Times New Roman" w:hAnsi="Times New Roman" w:cs="Times New Roman"/>
          <w:color w:val="000000" w:themeColor="text1"/>
          <w:sz w:val="24"/>
          <w14:textFill>
            <w14:solidFill>
              <w14:schemeClr w14:val="tx1"/>
            </w14:solidFill>
          </w14:textFill>
        </w:rPr>
        <w:t xml:space="preserve">  </w:t>
      </w:r>
      <w:r>
        <w:rPr>
          <w:rStyle w:val="34"/>
          <w:rFonts w:hint="eastAsia" w:ascii="Times New Roman" w:hAnsi="Times New Roman" w:cs="Times New Roman"/>
          <w:color w:val="000000" w:themeColor="text1"/>
          <w:sz w:val="24"/>
          <w:lang w:val="en-US" w:eastAsia="zh-CN"/>
          <w14:textFill>
            <w14:solidFill>
              <w14:schemeClr w14:val="tx1"/>
            </w14:solidFill>
          </w14:textFill>
        </w:rPr>
        <w:t>其他需要说明事项</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end"/>
      </w:r>
      <w:r>
        <w:rPr>
          <w:rStyle w:val="34"/>
          <w:rFonts w:hint="eastAsia" w:ascii="Times New Roman" w:hAnsi="Times New Roman" w:cs="Times New Roman"/>
          <w:color w:val="000000" w:themeColor="text1"/>
          <w:sz w:val="24"/>
          <w:lang w:val="en-US" w:eastAsia="zh-CN"/>
          <w14:textFill>
            <w14:solidFill>
              <w14:schemeClr w14:val="tx1"/>
            </w14:solidFill>
          </w14:textFill>
        </w:rPr>
        <w:t>33</w:t>
      </w:r>
    </w:p>
    <w:p w14:paraId="402BD78D">
      <w:pPr>
        <w:pStyle w:val="17"/>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"_Toc46827864" </w:instrText>
      </w:r>
      <w:r>
        <w:fldChar w:fldCharType="separate"/>
      </w:r>
      <w:r>
        <w:rPr>
          <w:rStyle w:val="34"/>
          <w:rFonts w:ascii="Times New Roman" w:hAnsi="Times New Roman" w:cs="Times New Roman"/>
          <w:color w:val="000000" w:themeColor="text1"/>
          <w:sz w:val="24"/>
          <w14:textFill>
            <w14:solidFill>
              <w14:schemeClr w14:val="tx1"/>
            </w14:solidFill>
          </w14:textFill>
        </w:rPr>
        <w:t>建设项目工程竣工环境保护“三同时”验收登记表</w:t>
      </w:r>
      <w:r>
        <w:rPr>
          <w:rStyle w:val="34"/>
          <w:rFonts w:ascii="Times New Roman" w:hAnsi="Times New Roman" w:cs="Times New Roman"/>
          <w:color w:val="000000" w:themeColor="text1"/>
          <w:sz w:val="24"/>
          <w14:textFill>
            <w14:solidFill>
              <w14:schemeClr w14:val="tx1"/>
            </w14:solidFill>
          </w14:textFill>
        </w:rPr>
        <w:fldChar w:fldCharType="end"/>
      </w:r>
    </w:p>
    <w:p w14:paraId="37777EB6">
      <w:pPr>
        <w:adjustRightInd w:val="0"/>
        <w:snapToGrid w:val="0"/>
        <w:spacing w:line="500" w:lineRule="exact"/>
        <w:outlineLvl w:val="0"/>
        <w:rPr>
          <w:rFonts w:ascii="Times New Roman" w:hAnsi="Times New Roman" w:cs="Times New Roman"/>
          <w:color w:val="000000" w:themeColor="text1"/>
          <w:sz w:val="24"/>
          <w:lang w:val="zh-CN"/>
          <w14:textFill>
            <w14:solidFill>
              <w14:schemeClr w14:val="tx1"/>
            </w14:solidFill>
          </w14:textFill>
        </w:rPr>
      </w:pPr>
      <w:r>
        <w:rPr>
          <w:rFonts w:ascii="Times New Roman" w:hAnsi="Times New Roman" w:cs="Times New Roman"/>
          <w:color w:val="000000" w:themeColor="text1"/>
          <w:sz w:val="24"/>
          <w:lang w:val="zh-CN"/>
          <w14:textFill>
            <w14:solidFill>
              <w14:schemeClr w14:val="tx1"/>
            </w14:solidFill>
          </w14:textFill>
        </w:rPr>
        <w:fldChar w:fldCharType="end"/>
      </w:r>
      <w:bookmarkStart w:id="0" w:name="_Toc46827819"/>
      <w:bookmarkStart w:id="1" w:name="_Toc13213276"/>
      <w:bookmarkStart w:id="2" w:name="_Toc40194933"/>
    </w:p>
    <w:p w14:paraId="6A0C5D2F">
      <w:pPr>
        <w:adjustRightInd w:val="0"/>
        <w:snapToGrid w:val="0"/>
        <w:spacing w:line="500" w:lineRule="exact"/>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附图1项目地理位置图</w:t>
      </w:r>
    </w:p>
    <w:p w14:paraId="38C2AE50">
      <w:pPr>
        <w:adjustRightInd w:val="0"/>
        <w:snapToGrid w:val="0"/>
        <w:spacing w:line="500" w:lineRule="exact"/>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附图2项目周边环境关系图</w:t>
      </w:r>
    </w:p>
    <w:p w14:paraId="79504AAE">
      <w:pPr>
        <w:adjustRightInd w:val="0"/>
        <w:snapToGrid w:val="0"/>
        <w:spacing w:line="500" w:lineRule="exact"/>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附图3项目所在厂区平面图</w:t>
      </w:r>
    </w:p>
    <w:p w14:paraId="0739ED31">
      <w:pPr>
        <w:adjustRightInd w:val="0"/>
        <w:snapToGrid w:val="0"/>
        <w:spacing w:line="500" w:lineRule="exact"/>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附图4项目车间平面布置</w:t>
      </w:r>
      <w:r>
        <w:rPr>
          <w:rStyle w:val="34"/>
          <w:rFonts w:hint="eastAsia" w:ascii="Times New Roman" w:hAnsi="Times New Roman" w:cs="Times New Roman"/>
          <w:color w:val="000000" w:themeColor="text1"/>
          <w:sz w:val="24"/>
          <w:u w:val="none"/>
          <w:lang w:val="en-US" w:eastAsia="zh-CN"/>
          <w14:textFill>
            <w14:solidFill>
              <w14:schemeClr w14:val="tx1"/>
            </w14:solidFill>
          </w14:textFill>
        </w:rPr>
        <w:t>示意</w:t>
      </w:r>
      <w:r>
        <w:rPr>
          <w:rStyle w:val="34"/>
          <w:rFonts w:hint="eastAsia" w:ascii="Times New Roman" w:hAnsi="Times New Roman" w:cs="Times New Roman"/>
          <w:color w:val="000000" w:themeColor="text1"/>
          <w:sz w:val="24"/>
          <w:u w:val="none"/>
          <w14:textFill>
            <w14:solidFill>
              <w14:schemeClr w14:val="tx1"/>
            </w14:solidFill>
          </w14:textFill>
        </w:rPr>
        <w:t>图</w:t>
      </w:r>
    </w:p>
    <w:p w14:paraId="2E3D6FCC">
      <w:pPr>
        <w:adjustRightInd w:val="0"/>
        <w:snapToGrid w:val="0"/>
        <w:spacing w:line="500" w:lineRule="exact"/>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附图5项目监测点位示意图</w:t>
      </w:r>
    </w:p>
    <w:p w14:paraId="7C8D2AF9">
      <w:pPr>
        <w:adjustRightInd w:val="0"/>
        <w:snapToGrid w:val="0"/>
        <w:spacing w:line="500" w:lineRule="exact"/>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附图6项目现状照片</w:t>
      </w:r>
    </w:p>
    <w:p w14:paraId="43689204">
      <w:pPr>
        <w:adjustRightInd w:val="0"/>
        <w:snapToGrid w:val="0"/>
        <w:spacing w:line="500" w:lineRule="exact"/>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附件1营业执照</w:t>
      </w:r>
    </w:p>
    <w:p w14:paraId="50E01E07">
      <w:pPr>
        <w:adjustRightInd w:val="0"/>
        <w:snapToGrid w:val="0"/>
        <w:spacing w:line="500" w:lineRule="exact"/>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附件2项目环评报告及结论</w:t>
      </w:r>
    </w:p>
    <w:p w14:paraId="13DFF8D8">
      <w:pPr>
        <w:adjustRightInd w:val="0"/>
        <w:snapToGrid w:val="0"/>
        <w:spacing w:line="500" w:lineRule="exact"/>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附件3项目环评批复</w:t>
      </w:r>
    </w:p>
    <w:p w14:paraId="1C3F6842">
      <w:pPr>
        <w:adjustRightInd w:val="0"/>
        <w:snapToGrid w:val="0"/>
        <w:spacing w:line="500" w:lineRule="exact"/>
        <w:outlineLvl w:val="0"/>
        <w:rPr>
          <w:rStyle w:val="34"/>
          <w:rFonts w:hint="default" w:ascii="Times New Roman" w:hAnsi="Times New Roman" w:cs="Times New Roman"/>
          <w:color w:val="000000" w:themeColor="text1"/>
          <w:sz w:val="24"/>
          <w:u w:val="none"/>
          <w:lang w:val="en-US" w:eastAsia="zh-CN"/>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w:t>
      </w:r>
      <w:r>
        <w:rPr>
          <w:rStyle w:val="34"/>
          <w:rFonts w:hint="eastAsia" w:ascii="Times New Roman" w:hAnsi="Times New Roman" w:cs="Times New Roman"/>
          <w:color w:val="000000" w:themeColor="text1"/>
          <w:sz w:val="24"/>
          <w:u w:val="none"/>
          <w:lang w:val="en-US" w:eastAsia="zh-CN"/>
          <w14:textFill>
            <w14:solidFill>
              <w14:schemeClr w14:val="tx1"/>
            </w14:solidFill>
          </w14:textFill>
        </w:rPr>
        <w:t>4排污登记表</w:t>
      </w:r>
    </w:p>
    <w:p w14:paraId="5912C4B2">
      <w:pPr>
        <w:pStyle w:val="11"/>
        <w:ind w:left="0" w:leftChars="0" w:firstLine="0" w:firstLineChars="0"/>
        <w:rPr>
          <w:rFonts w:hint="default"/>
          <w:lang w:val="en-US"/>
        </w:rPr>
      </w:pPr>
      <w:r>
        <w:rPr>
          <w:rStyle w:val="34"/>
          <w:rFonts w:hint="eastAsia" w:ascii="Times New Roman" w:hAnsi="Times New Roman" w:cs="Times New Roman"/>
          <w:color w:val="000000" w:themeColor="text1"/>
          <w:sz w:val="24"/>
          <w:u w:val="none"/>
          <w14:textFill>
            <w14:solidFill>
              <w14:schemeClr w14:val="tx1"/>
            </w14:solidFill>
          </w14:textFill>
        </w:rPr>
        <w:t>附件</w:t>
      </w:r>
      <w:r>
        <w:rPr>
          <w:rStyle w:val="34"/>
          <w:rFonts w:hint="eastAsia" w:ascii="Times New Roman" w:hAnsi="Times New Roman" w:cs="Times New Roman"/>
          <w:color w:val="000000" w:themeColor="text1"/>
          <w:sz w:val="24"/>
          <w:u w:val="none"/>
          <w:lang w:val="en-US" w:eastAsia="zh-CN"/>
          <w14:textFill>
            <w14:solidFill>
              <w14:schemeClr w14:val="tx1"/>
            </w14:solidFill>
          </w14:textFill>
        </w:rPr>
        <w:t>5排污登记回执</w:t>
      </w:r>
    </w:p>
    <w:p w14:paraId="12CF9B5F">
      <w:pPr>
        <w:adjustRightInd w:val="0"/>
        <w:snapToGrid w:val="0"/>
        <w:spacing w:line="500" w:lineRule="exact"/>
        <w:outlineLvl w:val="0"/>
        <w:rPr>
          <w:rStyle w:val="34"/>
          <w:rFonts w:hint="eastAsia" w:ascii="Times New Roman" w:hAnsi="Times New Roman" w:cs="Times New Roman"/>
          <w:color w:val="000000" w:themeColor="text1"/>
          <w:sz w:val="24"/>
          <w:u w:val="none"/>
          <w14:textFill>
            <w14:solidFill>
              <w14:schemeClr w14:val="tx1"/>
            </w14:solidFill>
          </w14:textFill>
        </w:rPr>
      </w:pPr>
      <w:r>
        <w:rPr>
          <w:rStyle w:val="34"/>
          <w:rFonts w:hint="eastAsia" w:ascii="Times New Roman" w:hAnsi="Times New Roman" w:cs="Times New Roman"/>
          <w:color w:val="000000" w:themeColor="text1"/>
          <w:sz w:val="24"/>
          <w:u w:val="none"/>
          <w14:textFill>
            <w14:solidFill>
              <w14:schemeClr w14:val="tx1"/>
            </w14:solidFill>
          </w14:textFill>
        </w:rPr>
        <w:t>附件</w:t>
      </w:r>
      <w:r>
        <w:rPr>
          <w:rStyle w:val="34"/>
          <w:rFonts w:hint="eastAsia" w:ascii="Times New Roman" w:hAnsi="Times New Roman" w:cs="Times New Roman"/>
          <w:color w:val="000000" w:themeColor="text1"/>
          <w:sz w:val="24"/>
          <w:u w:val="none"/>
          <w:lang w:val="en-US" w:eastAsia="zh-CN"/>
          <w14:textFill>
            <w14:solidFill>
              <w14:schemeClr w14:val="tx1"/>
            </w14:solidFill>
          </w14:textFill>
        </w:rPr>
        <w:t>6</w:t>
      </w:r>
      <w:r>
        <w:rPr>
          <w:rStyle w:val="34"/>
          <w:rFonts w:hint="eastAsia" w:ascii="Times New Roman" w:hAnsi="Times New Roman" w:cs="Times New Roman"/>
          <w:color w:val="000000" w:themeColor="text1"/>
          <w:sz w:val="24"/>
          <w:u w:val="none"/>
          <w14:textFill>
            <w14:solidFill>
              <w14:schemeClr w14:val="tx1"/>
            </w14:solidFill>
          </w14:textFill>
        </w:rPr>
        <w:t>危废处置协议</w:t>
      </w:r>
    </w:p>
    <w:p w14:paraId="46828611">
      <w:pPr>
        <w:adjustRightInd w:val="0"/>
        <w:snapToGrid w:val="0"/>
        <w:spacing w:line="500" w:lineRule="exact"/>
        <w:outlineLvl w:val="0"/>
        <w:rPr>
          <w:rFonts w:ascii="宋体" w:hAnsi="宋体"/>
          <w:b/>
          <w:bCs/>
          <w:kern w:val="44"/>
          <w:sz w:val="28"/>
          <w:szCs w:val="28"/>
        </w:rPr>
        <w:sectPr>
          <w:footerReference r:id="rId5" w:type="default"/>
          <w:pgSz w:w="11906" w:h="16838"/>
          <w:pgMar w:top="1440" w:right="1797" w:bottom="1440" w:left="1797" w:header="851" w:footer="992" w:gutter="0"/>
          <w:pgNumType w:start="1"/>
          <w:cols w:space="720" w:num="1"/>
          <w:docGrid w:type="linesAndChars" w:linePitch="312" w:charSpace="0"/>
        </w:sectPr>
      </w:pPr>
      <w:r>
        <w:rPr>
          <w:rStyle w:val="34"/>
          <w:rFonts w:hint="eastAsia" w:ascii="Times New Roman" w:hAnsi="Times New Roman" w:cs="Times New Roman"/>
          <w:color w:val="000000" w:themeColor="text1"/>
          <w:sz w:val="24"/>
          <w:u w:val="none"/>
          <w14:textFill>
            <w14:solidFill>
              <w14:schemeClr w14:val="tx1"/>
            </w14:solidFill>
          </w14:textFill>
        </w:rPr>
        <w:t>附件</w:t>
      </w:r>
      <w:r>
        <w:rPr>
          <w:rStyle w:val="34"/>
          <w:rFonts w:hint="eastAsia" w:ascii="Times New Roman" w:hAnsi="Times New Roman" w:cs="Times New Roman"/>
          <w:color w:val="000000" w:themeColor="text1"/>
          <w:sz w:val="24"/>
          <w:u w:val="none"/>
          <w:lang w:val="en-US" w:eastAsia="zh-CN"/>
          <w14:textFill>
            <w14:solidFill>
              <w14:schemeClr w14:val="tx1"/>
            </w14:solidFill>
          </w14:textFill>
        </w:rPr>
        <w:t>7</w:t>
      </w:r>
      <w:r>
        <w:rPr>
          <w:rStyle w:val="34"/>
          <w:rFonts w:hint="eastAsia" w:ascii="Times New Roman" w:hAnsi="Times New Roman" w:cs="Times New Roman"/>
          <w:color w:val="000000" w:themeColor="text1"/>
          <w:sz w:val="24"/>
          <w:u w:val="none"/>
          <w14:textFill>
            <w14:solidFill>
              <w14:schemeClr w14:val="tx1"/>
            </w14:solidFill>
          </w14:textFill>
        </w:rPr>
        <w:t>验收监测报告</w:t>
      </w:r>
    </w:p>
    <w:p w14:paraId="31E7DF83">
      <w:pPr>
        <w:adjustRightInd w:val="0"/>
        <w:snapToGrid w:val="0"/>
        <w:spacing w:line="500" w:lineRule="exact"/>
        <w:jc w:val="center"/>
        <w:outlineLvl w:val="0"/>
        <w:rPr>
          <w:rFonts w:ascii="宋体" w:hAnsi="宋体"/>
          <w:b/>
          <w:bCs/>
          <w:kern w:val="44"/>
          <w:sz w:val="28"/>
          <w:szCs w:val="28"/>
          <w:highlight w:val="none"/>
        </w:rPr>
      </w:pPr>
      <w:r>
        <w:rPr>
          <w:rFonts w:hint="eastAsia" w:ascii="宋体" w:hAnsi="宋体"/>
          <w:b/>
          <w:bCs/>
          <w:kern w:val="44"/>
          <w:sz w:val="28"/>
          <w:szCs w:val="28"/>
          <w:highlight w:val="none"/>
        </w:rPr>
        <w:t>前 言</w:t>
      </w:r>
      <w:bookmarkEnd w:id="0"/>
      <w:bookmarkEnd w:id="1"/>
      <w:bookmarkEnd w:id="2"/>
    </w:p>
    <w:p w14:paraId="54635A17">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ascii="Times New Roman" w:hAnsi="Times New Roman" w:eastAsia="宋体" w:cs="Times New Roman"/>
          <w:sz w:val="24"/>
        </w:rPr>
      </w:pPr>
      <w:r>
        <w:rPr>
          <w:rFonts w:ascii="Times New Roman" w:hAnsi="Times New Roman" w:eastAsia="宋体" w:cs="Times New Roman"/>
          <w:sz w:val="24"/>
        </w:rPr>
        <w:t xml:space="preserve"> </w:t>
      </w:r>
      <w:r>
        <w:rPr>
          <w:rFonts w:hint="default" w:ascii="Times New Roman" w:hAnsi="Times New Roman" w:cs="Times New Roman"/>
          <w:sz w:val="24"/>
          <w:szCs w:val="24"/>
        </w:rPr>
        <w:t>海南良雪制冷设备有限公司</w:t>
      </w: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建设单位</w:t>
      </w:r>
      <w:r>
        <w:rPr>
          <w:rFonts w:hint="eastAsia" w:ascii="Times New Roman" w:hAnsi="Times New Roman" w:cs="Times New Roman"/>
          <w:sz w:val="24"/>
          <w:szCs w:val="24"/>
          <w:lang w:eastAsia="zh-CN"/>
        </w:rPr>
        <w:t>）</w:t>
      </w:r>
      <w:r>
        <w:rPr>
          <w:rFonts w:hint="default" w:ascii="Times New Roman" w:hAnsi="Times New Roman" w:eastAsia="宋体" w:cs="Times New Roman"/>
          <w:color w:val="000000"/>
          <w:kern w:val="0"/>
          <w:sz w:val="24"/>
          <w:szCs w:val="24"/>
          <w:lang w:val="en-US" w:eastAsia="zh-CN" w:bidi="ar"/>
        </w:rPr>
        <w:t>于</w:t>
      </w:r>
      <w:r>
        <w:rPr>
          <w:rFonts w:hint="default" w:ascii="Times New Roman" w:hAnsi="Times New Roman" w:eastAsia="宋体" w:cs="Times New Roman"/>
          <w:bCs/>
          <w:sz w:val="24"/>
          <w:szCs w:val="24"/>
          <w:highlight w:val="none"/>
          <w:lang w:val="en-US" w:eastAsia="zh-CN"/>
        </w:rPr>
        <w:t>海南省澄迈县老城</w:t>
      </w:r>
      <w:r>
        <w:rPr>
          <w:rFonts w:hint="eastAsia" w:ascii="Times New Roman" w:hAnsi="Times New Roman" w:eastAsia="宋体" w:cs="Times New Roman"/>
          <w:bCs/>
          <w:sz w:val="24"/>
          <w:szCs w:val="24"/>
          <w:highlight w:val="none"/>
          <w:lang w:val="en-US" w:eastAsia="zh-CN"/>
        </w:rPr>
        <w:t>科技新城</w:t>
      </w:r>
      <w:r>
        <w:rPr>
          <w:rFonts w:hint="default" w:ascii="Times New Roman" w:hAnsi="Times New Roman" w:eastAsia="宋体" w:cs="Times New Roman"/>
          <w:bCs/>
          <w:sz w:val="24"/>
          <w:szCs w:val="24"/>
          <w:highlight w:val="none"/>
          <w:lang w:val="en-US" w:eastAsia="zh-CN"/>
        </w:rPr>
        <w:t>南一环路与美朗南路交汇处西北侧</w:t>
      </w:r>
      <w:r>
        <w:rPr>
          <w:rFonts w:hint="eastAsia" w:ascii="Times New Roman" w:hAnsi="Times New Roman" w:eastAsia="宋体" w:cs="Times New Roman"/>
          <w:bCs/>
          <w:sz w:val="24"/>
          <w:szCs w:val="24"/>
          <w:highlight w:val="none"/>
          <w:lang w:val="en-US" w:eastAsia="zh-CN"/>
        </w:rPr>
        <w:t>租用“海南百年新乐幕墙门窗系统工程有限公司”厂区内厂房，建设“</w:t>
      </w:r>
      <w:r>
        <w:rPr>
          <w:rFonts w:hint="default" w:ascii="Times New Roman" w:hAnsi="Times New Roman" w:cs="Times New Roman"/>
          <w:sz w:val="24"/>
          <w:szCs w:val="24"/>
        </w:rPr>
        <w:t>冷库保温板</w:t>
      </w:r>
      <w:r>
        <w:rPr>
          <w:rFonts w:hint="eastAsia" w:ascii="Times New Roman" w:hAnsi="Times New Roman" w:cs="Times New Roman"/>
          <w:sz w:val="24"/>
          <w:szCs w:val="24"/>
          <w:lang w:val="en-US" w:eastAsia="zh-CN"/>
        </w:rPr>
        <w:t>生产加工</w:t>
      </w:r>
      <w:r>
        <w:rPr>
          <w:rFonts w:hint="default" w:ascii="Times New Roman" w:hAnsi="Times New Roman" w:cs="Times New Roman"/>
          <w:sz w:val="24"/>
          <w:szCs w:val="24"/>
        </w:rPr>
        <w:t>项目</w:t>
      </w:r>
      <w:r>
        <w:rPr>
          <w:rFonts w:hint="eastAsia" w:ascii="Times New Roman" w:hAnsi="Times New Roman" w:eastAsia="宋体" w:cs="Times New Roman"/>
          <w:bCs/>
          <w:sz w:val="24"/>
          <w:szCs w:val="24"/>
          <w:highlight w:val="none"/>
          <w:lang w:val="en-US" w:eastAsia="zh-CN"/>
        </w:rPr>
        <w:t>”</w:t>
      </w:r>
      <w:r>
        <w:rPr>
          <w:rFonts w:hint="default" w:ascii="Times New Roman" w:hAnsi="Times New Roman" w:eastAsia="宋体" w:cs="Times New Roman"/>
          <w:bCs/>
          <w:sz w:val="24"/>
          <w:szCs w:val="24"/>
        </w:rPr>
        <w:t>，地理坐标为</w:t>
      </w:r>
      <w:r>
        <w:rPr>
          <w:rFonts w:hint="default" w:ascii="Times New Roman" w:hAnsi="Times New Roman" w:eastAsia="宋体" w:cs="Times New Roman"/>
          <w:color w:val="000000"/>
          <w:sz w:val="24"/>
          <w:szCs w:val="24"/>
        </w:rPr>
        <w:t>E：110°4 ′4</w:t>
      </w:r>
      <w:r>
        <w:rPr>
          <w:rFonts w:hint="eastAsia" w:ascii="Times New Roman" w:hAnsi="Times New Roman" w:eastAsia="宋体" w:cs="Times New Roman"/>
          <w:color w:val="000000"/>
          <w:sz w:val="24"/>
          <w:szCs w:val="24"/>
          <w:lang w:val="en-US" w:eastAsia="zh-CN"/>
        </w:rPr>
        <w:t>3</w:t>
      </w:r>
      <w:r>
        <w:rPr>
          <w:rFonts w:hint="default"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val="en-US" w:eastAsia="zh-CN"/>
        </w:rPr>
        <w:t>456</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color w:val="000000"/>
          <w:sz w:val="24"/>
          <w:szCs w:val="24"/>
        </w:rPr>
        <w:t>、N：</w:t>
      </w:r>
      <w:r>
        <w:rPr>
          <w:rFonts w:hint="default" w:ascii="Times New Roman" w:hAnsi="Times New Roman" w:eastAsia="宋体" w:cs="Times New Roman"/>
          <w:color w:val="000000"/>
          <w:sz w:val="24"/>
          <w:szCs w:val="24"/>
          <w:lang w:val="en-US" w:eastAsia="zh-CN"/>
        </w:rPr>
        <w:t>19°5</w:t>
      </w:r>
      <w:r>
        <w:rPr>
          <w:rFonts w:hint="eastAsia" w:ascii="Times New Roman" w:hAnsi="Times New Roman" w:eastAsia="宋体" w:cs="Times New Roman"/>
          <w:color w:val="000000"/>
          <w:sz w:val="24"/>
          <w:szCs w:val="24"/>
          <w:lang w:val="en-US" w:eastAsia="zh-CN"/>
        </w:rPr>
        <w:t>6</w:t>
      </w:r>
      <w:r>
        <w:rPr>
          <w:rFonts w:hint="default" w:ascii="Times New Roman" w:hAnsi="Times New Roman" w:eastAsia="宋体" w:cs="Times New Roman"/>
          <w:color w:val="000000"/>
          <w:sz w:val="24"/>
          <w:szCs w:val="24"/>
          <w:lang w:val="en-US" w:eastAsia="zh-CN"/>
        </w:rPr>
        <w:t>′</w:t>
      </w:r>
      <w:r>
        <w:rPr>
          <w:rFonts w:hint="eastAsia" w:ascii="Times New Roman" w:hAnsi="Times New Roman" w:eastAsia="宋体" w:cs="Times New Roman"/>
          <w:color w:val="000000"/>
          <w:sz w:val="24"/>
          <w:szCs w:val="24"/>
          <w:lang w:val="en-US" w:eastAsia="zh-CN"/>
        </w:rPr>
        <w:t>39</w:t>
      </w:r>
      <w:r>
        <w:rPr>
          <w:rFonts w:hint="default" w:ascii="Times New Roman" w:hAnsi="Times New Roman" w:eastAsia="宋体" w:cs="Times New Roman"/>
          <w:color w:val="000000"/>
          <w:sz w:val="24"/>
          <w:szCs w:val="24"/>
          <w:lang w:val="en-US" w:eastAsia="zh-CN"/>
        </w:rPr>
        <w:t>.</w:t>
      </w:r>
      <w:r>
        <w:rPr>
          <w:rFonts w:hint="eastAsia" w:ascii="Times New Roman" w:hAnsi="Times New Roman" w:eastAsia="宋体" w:cs="Times New Roman"/>
          <w:color w:val="000000"/>
          <w:sz w:val="24"/>
          <w:szCs w:val="24"/>
          <w:lang w:val="en-US" w:eastAsia="zh-CN"/>
        </w:rPr>
        <w:t>8</w:t>
      </w:r>
      <w:r>
        <w:rPr>
          <w:rFonts w:hint="default" w:ascii="Times New Roman" w:hAnsi="Times New Roman" w:eastAsia="宋体" w:cs="Times New Roman"/>
          <w:color w:val="000000"/>
          <w:sz w:val="24"/>
          <w:szCs w:val="24"/>
          <w:lang w:val="en-US" w:eastAsia="zh-CN"/>
        </w:rPr>
        <w:t>25″</w:t>
      </w:r>
      <w:r>
        <w:rPr>
          <w:rFonts w:hint="default" w:ascii="Times New Roman" w:hAnsi="Times New Roman" w:eastAsia="宋体" w:cs="Times New Roman"/>
          <w:sz w:val="24"/>
          <w:szCs w:val="24"/>
        </w:rPr>
        <w:t>。</w:t>
      </w:r>
      <w:r>
        <w:rPr>
          <w:rFonts w:ascii="Times New Roman" w:hAnsi="Times New Roman" w:eastAsia="宋体" w:cs="Times New Roman"/>
          <w:sz w:val="24"/>
        </w:rPr>
        <w:t>建设单位于202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2</w:t>
      </w:r>
      <w:r>
        <w:rPr>
          <w:rFonts w:ascii="Times New Roman" w:hAnsi="Times New Roman" w:eastAsia="宋体" w:cs="Times New Roman"/>
          <w:sz w:val="24"/>
        </w:rPr>
        <w:t>月委托</w:t>
      </w:r>
      <w:r>
        <w:rPr>
          <w:rFonts w:hint="eastAsia" w:ascii="Times New Roman" w:hAnsi="Times New Roman" w:eastAsia="宋体" w:cs="Times New Roman"/>
          <w:sz w:val="24"/>
          <w:lang w:val="en-US" w:eastAsia="zh-CN"/>
        </w:rPr>
        <w:t>海南芝南</w:t>
      </w:r>
      <w:r>
        <w:rPr>
          <w:rFonts w:ascii="Times New Roman" w:hAnsi="Times New Roman" w:eastAsia="宋体" w:cs="Times New Roman"/>
          <w:sz w:val="24"/>
        </w:rPr>
        <w:t>环保科技有限公司编制了《</w:t>
      </w:r>
      <w:r>
        <w:rPr>
          <w:rFonts w:hint="default" w:ascii="Times New Roman" w:hAnsi="Times New Roman" w:cs="Times New Roman"/>
          <w:sz w:val="24"/>
          <w:szCs w:val="24"/>
        </w:rPr>
        <w:t>年产60000平方米冷库保温板项目</w:t>
      </w:r>
      <w:r>
        <w:rPr>
          <w:rFonts w:ascii="Times New Roman" w:hAnsi="Times New Roman" w:eastAsia="宋体" w:cs="Times New Roman"/>
          <w:sz w:val="24"/>
        </w:rPr>
        <w:t>环境影响报告表》，于202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2</w:t>
      </w:r>
      <w:r>
        <w:rPr>
          <w:rFonts w:ascii="Times New Roman" w:hAnsi="Times New Roman" w:eastAsia="宋体" w:cs="Times New Roman"/>
          <w:sz w:val="24"/>
        </w:rPr>
        <w:t>月</w:t>
      </w:r>
      <w:r>
        <w:rPr>
          <w:rFonts w:hint="eastAsia" w:ascii="Times New Roman" w:hAnsi="Times New Roman" w:eastAsia="宋体" w:cs="Times New Roman"/>
          <w:sz w:val="24"/>
          <w:lang w:val="en-US" w:eastAsia="zh-CN"/>
        </w:rPr>
        <w:t>19</w:t>
      </w:r>
      <w:r>
        <w:rPr>
          <w:rFonts w:ascii="Times New Roman" w:hAnsi="Times New Roman" w:eastAsia="宋体" w:cs="Times New Roman"/>
          <w:sz w:val="24"/>
        </w:rPr>
        <w:t>日取得了</w:t>
      </w:r>
      <w:r>
        <w:rPr>
          <w:rFonts w:hint="eastAsia" w:ascii="Times New Roman" w:hAnsi="Times New Roman" w:eastAsia="宋体" w:cs="Times New Roman"/>
          <w:sz w:val="24"/>
          <w:lang w:val="en-US" w:eastAsia="zh-CN"/>
        </w:rPr>
        <w:t>澄迈县行政审批服务局</w:t>
      </w:r>
      <w:r>
        <w:rPr>
          <w:rFonts w:ascii="Times New Roman" w:hAnsi="Times New Roman" w:eastAsia="宋体" w:cs="Times New Roman"/>
          <w:sz w:val="24"/>
        </w:rPr>
        <w:t>做出的《关于批复</w:t>
      </w:r>
      <w:r>
        <w:rPr>
          <w:rFonts w:hint="default" w:ascii="Times New Roman" w:hAnsi="Times New Roman" w:cs="Times New Roman"/>
          <w:sz w:val="24"/>
          <w:szCs w:val="24"/>
        </w:rPr>
        <w:t>年产60000平方米冷库保温板</w:t>
      </w:r>
      <w:r>
        <w:rPr>
          <w:rFonts w:ascii="Times New Roman" w:hAnsi="Times New Roman" w:eastAsia="宋体" w:cs="Times New Roman"/>
          <w:sz w:val="24"/>
        </w:rPr>
        <w:t>项目环境影响报告表的函》（</w:t>
      </w:r>
      <w:r>
        <w:rPr>
          <w:rFonts w:hint="eastAsia" w:ascii="Times New Roman" w:hAnsi="Times New Roman" w:eastAsia="宋体" w:cs="Times New Roman"/>
          <w:sz w:val="24"/>
          <w:lang w:val="en-US" w:eastAsia="zh-CN"/>
        </w:rPr>
        <w:t>澄行审批</w:t>
      </w:r>
      <w:r>
        <w:rPr>
          <w:rFonts w:ascii="Times New Roman" w:hAnsi="Times New Roman" w:eastAsia="宋体" w:cs="Times New Roman"/>
          <w:sz w:val="24"/>
        </w:rPr>
        <w:t>〔202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〕第</w:t>
      </w:r>
      <w:r>
        <w:rPr>
          <w:rFonts w:hint="eastAsia" w:ascii="Times New Roman" w:hAnsi="Times New Roman" w:eastAsia="宋体" w:cs="Times New Roman"/>
          <w:sz w:val="24"/>
          <w:lang w:val="en-US" w:eastAsia="zh-CN"/>
        </w:rPr>
        <w:t>84</w:t>
      </w:r>
      <w:r>
        <w:rPr>
          <w:rFonts w:ascii="Times New Roman" w:hAnsi="Times New Roman" w:eastAsia="宋体" w:cs="Times New Roman"/>
          <w:sz w:val="24"/>
        </w:rPr>
        <w:t>号）。</w:t>
      </w:r>
      <w:bookmarkStart w:id="3" w:name="OLE_LINK1"/>
      <w:r>
        <w:rPr>
          <w:rFonts w:hint="eastAsia" w:ascii="Times New Roman" w:hAnsi="Times New Roman" w:eastAsia="宋体" w:cs="Times New Roman"/>
          <w:sz w:val="24"/>
          <w:lang w:val="en-US" w:eastAsia="zh-CN"/>
        </w:rPr>
        <w:t>后在</w:t>
      </w:r>
      <w:r>
        <w:rPr>
          <w:rFonts w:hint="eastAsia" w:ascii="Times New Roman" w:hAnsi="Times New Roman" w:eastAsia="宋体" w:cs="Times New Roman"/>
          <w:sz w:val="24"/>
        </w:rPr>
        <w:t>全国排污许可证管理信息平台</w:t>
      </w:r>
      <w:r>
        <w:rPr>
          <w:rFonts w:hint="eastAsia" w:ascii="Times New Roman" w:hAnsi="Times New Roman" w:eastAsia="宋体" w:cs="Times New Roman"/>
          <w:sz w:val="24"/>
          <w:lang w:val="en-US" w:eastAsia="zh-CN"/>
        </w:rPr>
        <w:t>-</w:t>
      </w:r>
      <w:r>
        <w:rPr>
          <w:rFonts w:hint="eastAsia" w:ascii="Times New Roman" w:hAnsi="Times New Roman" w:eastAsia="宋体" w:cs="Times New Roman"/>
          <w:sz w:val="24"/>
        </w:rPr>
        <w:t>公开端</w:t>
      </w:r>
      <w:r>
        <w:rPr>
          <w:rFonts w:hint="eastAsia" w:ascii="Times New Roman" w:hAnsi="Times New Roman" w:eastAsia="宋体" w:cs="Times New Roman"/>
          <w:sz w:val="24"/>
          <w:lang w:val="en-US" w:eastAsia="zh-CN"/>
        </w:rPr>
        <w:t>进行</w:t>
      </w:r>
      <w:r>
        <w:rPr>
          <w:rFonts w:ascii="Times New Roman" w:hAnsi="Times New Roman" w:eastAsia="宋体" w:cs="Times New Roman"/>
          <w:sz w:val="24"/>
          <w:lang w:val="en-US" w:eastAsia="zh-CN"/>
        </w:rPr>
        <w:t>固定污染源排污登记</w:t>
      </w:r>
      <w:r>
        <w:rPr>
          <w:rFonts w:hint="eastAsia" w:ascii="Times New Roman" w:hAnsi="Times New Roman" w:eastAsia="宋体" w:cs="Times New Roman"/>
          <w:sz w:val="24"/>
          <w:lang w:val="en-US" w:eastAsia="zh-CN"/>
        </w:rPr>
        <w:t>，并取得登记回执，</w:t>
      </w:r>
      <w:r>
        <w:rPr>
          <w:rFonts w:ascii="Times New Roman" w:hAnsi="Times New Roman" w:eastAsia="宋体" w:cs="Times New Roman"/>
          <w:sz w:val="24"/>
          <w:lang w:val="en-US" w:eastAsia="zh-CN"/>
        </w:rPr>
        <w:t>登记编号：91460000MAA92BXL6A001X</w:t>
      </w:r>
      <w:r>
        <w:rPr>
          <w:rFonts w:hint="eastAsia" w:ascii="Times New Roman" w:hAnsi="Times New Roman" w:eastAsia="宋体" w:cs="Times New Roman"/>
          <w:sz w:val="24"/>
          <w:lang w:val="en-US" w:eastAsia="zh-CN"/>
        </w:rPr>
        <w:t>。</w:t>
      </w:r>
    </w:p>
    <w:p w14:paraId="4EDEF73B">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根据环评报告及批复，</w:t>
      </w:r>
      <w:bookmarkEnd w:id="3"/>
      <w:r>
        <w:rPr>
          <w:rFonts w:hint="eastAsia" w:ascii="Times New Roman" w:hAnsi="Times New Roman" w:eastAsia="宋体" w:cs="Times New Roman"/>
          <w:sz w:val="24"/>
        </w:rPr>
        <w:t>项目位于澄迈县老城科技新城南一环路与美朗南路交汇处西北侧，租用海南百年新乐幕墙门窗系统工程有限公司已建厂房</w:t>
      </w:r>
      <w:r>
        <w:rPr>
          <w:rFonts w:hint="eastAsia" w:ascii="Times New Roman" w:hAnsi="Times New Roman" w:eastAsia="宋体" w:cs="Times New Roman"/>
          <w:sz w:val="24"/>
          <w:lang w:eastAsia="zh-CN"/>
        </w:rPr>
        <w:t>。</w:t>
      </w:r>
      <w:r>
        <w:rPr>
          <w:rFonts w:hint="default" w:ascii="Times New Roman" w:hAnsi="Times New Roman" w:eastAsia="宋体" w:cs="Times New Roman"/>
          <w:color w:val="000000"/>
          <w:kern w:val="0"/>
          <w:sz w:val="24"/>
          <w:szCs w:val="24"/>
          <w:lang w:val="en-US" w:eastAsia="zh-CN" w:bidi="ar"/>
        </w:rPr>
        <w:t>项目总用地面积为</w:t>
      </w:r>
      <w:r>
        <w:rPr>
          <w:rFonts w:hint="eastAsia" w:ascii="Times New Roman" w:hAnsi="Times New Roman" w:eastAsia="宋体" w:cs="Times New Roman"/>
          <w:color w:val="000000"/>
          <w:kern w:val="0"/>
          <w:sz w:val="24"/>
          <w:szCs w:val="24"/>
          <w:lang w:val="en-US" w:eastAsia="zh-CN" w:bidi="ar"/>
        </w:rPr>
        <w:t>3030</w:t>
      </w:r>
      <w:r>
        <w:rPr>
          <w:rFonts w:hint="default" w:ascii="Times New Roman" w:hAnsi="Times New Roman" w:eastAsia="宋体" w:cs="Times New Roman"/>
          <w:color w:val="000000"/>
          <w:kern w:val="0"/>
          <w:sz w:val="24"/>
          <w:szCs w:val="24"/>
          <w:lang w:val="en-US" w:eastAsia="zh-CN" w:bidi="ar"/>
        </w:rPr>
        <w:t>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，总建筑面积</w:t>
      </w:r>
      <w:r>
        <w:rPr>
          <w:rFonts w:hint="eastAsia" w:ascii="Times New Roman" w:hAnsi="Times New Roman" w:eastAsia="宋体" w:cs="Times New Roman"/>
          <w:color w:val="000000"/>
          <w:kern w:val="0"/>
          <w:sz w:val="24"/>
          <w:szCs w:val="24"/>
          <w:highlight w:val="none"/>
          <w:lang w:val="en-US" w:eastAsia="zh-CN" w:bidi="ar"/>
        </w:rPr>
        <w:t>3030</w:t>
      </w:r>
      <w:r>
        <w:rPr>
          <w:rFonts w:hint="default" w:ascii="Times New Roman" w:hAnsi="Times New Roman" w:eastAsia="宋体" w:cs="Times New Roman"/>
          <w:color w:val="000000"/>
          <w:kern w:val="0"/>
          <w:sz w:val="24"/>
          <w:szCs w:val="24"/>
          <w:lang w:val="en-US" w:eastAsia="zh-CN" w:bidi="ar"/>
        </w:rPr>
        <w:t>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，主要建设内容为：</w:t>
      </w:r>
      <w:r>
        <w:rPr>
          <w:rFonts w:hint="eastAsia" w:ascii="Times New Roman" w:hAnsi="Times New Roman" w:eastAsia="宋体" w:cs="Times New Roman"/>
          <w:color w:val="000000"/>
          <w:kern w:val="0"/>
          <w:sz w:val="24"/>
          <w:szCs w:val="24"/>
          <w:lang w:val="en-US" w:eastAsia="zh-CN" w:bidi="ar"/>
        </w:rPr>
        <w:t>保温板生产加工车间</w:t>
      </w:r>
      <w:r>
        <w:rPr>
          <w:rFonts w:hint="default" w:ascii="Times New Roman" w:hAnsi="Times New Roman" w:eastAsia="宋体" w:cs="Times New Roman"/>
          <w:color w:val="000000"/>
          <w:kern w:val="0"/>
          <w:sz w:val="24"/>
          <w:szCs w:val="24"/>
          <w:lang w:val="en-US" w:eastAsia="zh-CN" w:bidi="ar"/>
        </w:rPr>
        <w:t>以及相关配套设施</w:t>
      </w:r>
      <w:r>
        <w:rPr>
          <w:rFonts w:hint="eastAsia" w:ascii="Times New Roman" w:hAnsi="Times New Roman" w:eastAsia="宋体" w:cs="Times New Roman"/>
          <w:color w:val="000000"/>
          <w:kern w:val="0"/>
          <w:sz w:val="24"/>
          <w:szCs w:val="24"/>
          <w:lang w:val="en-US" w:eastAsia="zh-CN" w:bidi="ar"/>
        </w:rPr>
        <w:t>，车间内建设1条保温板生产线。保温板生产加工车间内部按使用功能划分为：物料存放区、钢板加工区、模具成型区、发泡区、板材存放区等</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项目厂房内不设单独办公区，员工日常办公依托厂内综合办公楼。</w:t>
      </w:r>
      <w:r>
        <w:rPr>
          <w:rFonts w:hint="default" w:ascii="Times New Roman" w:hAnsi="Times New Roman" w:eastAsia="宋体" w:cs="Times New Roman"/>
          <w:color w:val="000000"/>
          <w:kern w:val="0"/>
          <w:sz w:val="24"/>
          <w:szCs w:val="24"/>
          <w:lang w:val="en-US" w:eastAsia="zh-CN" w:bidi="ar"/>
        </w:rPr>
        <w:t>项目主要产品为：</w:t>
      </w:r>
      <w:r>
        <w:rPr>
          <w:rFonts w:hint="eastAsia" w:ascii="Times New Roman" w:hAnsi="Times New Roman" w:eastAsia="宋体" w:cs="Times New Roman"/>
          <w:color w:val="000000"/>
          <w:kern w:val="0"/>
          <w:sz w:val="24"/>
          <w:szCs w:val="24"/>
          <w:lang w:val="en-US" w:eastAsia="zh-CN" w:bidi="ar"/>
        </w:rPr>
        <w:t>冷库聚氨酯保温板</w:t>
      </w:r>
      <w:r>
        <w:rPr>
          <w:rFonts w:hint="default" w:ascii="Times New Roman" w:hAnsi="Times New Roman" w:eastAsia="宋体" w:cs="Times New Roman"/>
          <w:color w:val="000000"/>
          <w:kern w:val="0"/>
          <w:sz w:val="24"/>
          <w:szCs w:val="24"/>
          <w:lang w:val="en-US" w:eastAsia="zh-CN" w:bidi="ar"/>
        </w:rPr>
        <w:t>，设计最大生产规模为</w:t>
      </w:r>
      <w:r>
        <w:rPr>
          <w:rFonts w:hint="eastAsia" w:ascii="Times New Roman" w:hAnsi="Times New Roman" w:eastAsia="宋体" w:cs="Times New Roman"/>
          <w:color w:val="000000"/>
          <w:kern w:val="0"/>
          <w:sz w:val="24"/>
          <w:szCs w:val="24"/>
          <w:lang w:val="en-US" w:eastAsia="zh-CN" w:bidi="ar"/>
        </w:rPr>
        <w:t>每年6万平方米（约</w:t>
      </w:r>
      <w:r>
        <w:rPr>
          <w:rFonts w:hint="eastAsia" w:ascii="Times New Roman" w:hAnsi="Times New Roman" w:eastAsia="宋体" w:cs="Times New Roman"/>
          <w:color w:val="000000"/>
          <w:kern w:val="0"/>
          <w:sz w:val="24"/>
          <w:szCs w:val="24"/>
          <w:highlight w:val="none"/>
          <w:lang w:val="en-US" w:eastAsia="zh-CN" w:bidi="ar"/>
        </w:rPr>
        <w:t>6050m</w:t>
      </w:r>
      <w:r>
        <w:rPr>
          <w:rFonts w:hint="eastAsia" w:ascii="Times New Roman" w:hAnsi="Times New Roman" w:eastAsia="宋体" w:cs="Times New Roman"/>
          <w:color w:val="000000"/>
          <w:kern w:val="0"/>
          <w:sz w:val="24"/>
          <w:szCs w:val="24"/>
          <w:highlight w:val="none"/>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/a</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厂内生产加工板材</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厂外现场组装</w:t>
      </w:r>
      <w:r>
        <w:rPr>
          <w:rFonts w:hint="default" w:ascii="Times New Roman" w:hAnsi="Times New Roman" w:eastAsia="宋体" w:cs="Times New Roman"/>
          <w:color w:val="000000"/>
          <w:kern w:val="0"/>
          <w:sz w:val="24"/>
          <w:szCs w:val="24"/>
          <w:lang w:val="en-US" w:eastAsia="zh-CN" w:bidi="ar"/>
        </w:rPr>
        <w:t>。项目预计总投资</w:t>
      </w:r>
      <w:r>
        <w:rPr>
          <w:rFonts w:hint="eastAsia" w:ascii="Times New Roman" w:hAnsi="Times New Roman" w:eastAsia="宋体" w:cs="Times New Roman"/>
          <w:color w:val="000000"/>
          <w:kern w:val="0"/>
          <w:sz w:val="24"/>
          <w:szCs w:val="24"/>
          <w:highlight w:val="none"/>
          <w:lang w:val="en-US" w:eastAsia="zh-CN" w:bidi="ar"/>
        </w:rPr>
        <w:t>300</w:t>
      </w:r>
      <w:r>
        <w:rPr>
          <w:rFonts w:hint="default" w:ascii="Times New Roman" w:hAnsi="Times New Roman" w:eastAsia="宋体" w:cs="Times New Roman"/>
          <w:color w:val="000000"/>
          <w:kern w:val="0"/>
          <w:sz w:val="24"/>
          <w:szCs w:val="24"/>
          <w:lang w:val="en-US" w:eastAsia="zh-CN" w:bidi="ar"/>
        </w:rPr>
        <w:t>万元，其中环保投资</w:t>
      </w:r>
      <w:r>
        <w:rPr>
          <w:rFonts w:hint="eastAsia" w:ascii="Times New Roman" w:hAnsi="Times New Roman" w:eastAsia="宋体" w:cs="Times New Roman"/>
          <w:color w:val="000000"/>
          <w:kern w:val="0"/>
          <w:sz w:val="24"/>
          <w:szCs w:val="24"/>
          <w:lang w:val="en-US" w:eastAsia="zh-CN" w:bidi="ar"/>
        </w:rPr>
        <w:t>25</w:t>
      </w:r>
      <w:r>
        <w:rPr>
          <w:rFonts w:hint="default" w:ascii="Times New Roman" w:hAnsi="Times New Roman" w:eastAsia="宋体" w:cs="Times New Roman"/>
          <w:color w:val="000000"/>
          <w:kern w:val="0"/>
          <w:sz w:val="24"/>
          <w:szCs w:val="24"/>
          <w:lang w:val="en-US" w:eastAsia="zh-CN" w:bidi="ar"/>
        </w:rPr>
        <w:t>万元，占比总投资的</w:t>
      </w:r>
      <w:r>
        <w:rPr>
          <w:rFonts w:hint="eastAsia" w:ascii="Times New Roman" w:hAnsi="Times New Roman" w:eastAsia="宋体" w:cs="Times New Roman"/>
          <w:color w:val="000000"/>
          <w:kern w:val="0"/>
          <w:sz w:val="24"/>
          <w:szCs w:val="24"/>
          <w:highlight w:val="none"/>
          <w:lang w:val="en-US" w:eastAsia="zh-CN" w:bidi="ar"/>
        </w:rPr>
        <w:t>8.3</w:t>
      </w:r>
      <w:r>
        <w:rPr>
          <w:rFonts w:hint="default" w:ascii="Times New Roman" w:hAnsi="Times New Roman" w:eastAsia="宋体" w:cs="Times New Roman"/>
          <w:color w:val="000000"/>
          <w:kern w:val="0"/>
          <w:sz w:val="24"/>
          <w:szCs w:val="24"/>
          <w:lang w:val="en-US" w:eastAsia="zh-CN" w:bidi="ar"/>
        </w:rPr>
        <w:t>%。</w:t>
      </w:r>
    </w:p>
    <w:p w14:paraId="41925B0D">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eastAsia="宋体" w:cs="Times New Roman"/>
          <w:sz w:val="24"/>
        </w:rPr>
      </w:pPr>
      <w:r>
        <w:rPr>
          <w:rFonts w:ascii="Times New Roman" w:hAnsi="Times New Roman" w:eastAsia="宋体" w:cs="Times New Roman"/>
          <w:color w:val="000000"/>
          <w:kern w:val="0"/>
          <w:sz w:val="24"/>
          <w:lang w:bidi="ar"/>
        </w:rPr>
        <w:t>根据验收现场勘察，项目</w:t>
      </w:r>
      <w:r>
        <w:rPr>
          <w:rFonts w:hint="eastAsia" w:ascii="Times New Roman" w:hAnsi="Times New Roman" w:eastAsia="宋体" w:cs="Times New Roman"/>
          <w:color w:val="000000"/>
          <w:kern w:val="0"/>
          <w:sz w:val="24"/>
          <w:lang w:val="en-US" w:eastAsia="zh-CN" w:bidi="ar"/>
        </w:rPr>
        <w:t>实际</w:t>
      </w:r>
      <w:r>
        <w:rPr>
          <w:rFonts w:ascii="Times New Roman" w:hAnsi="Times New Roman" w:eastAsia="宋体" w:cs="Times New Roman"/>
          <w:color w:val="000000"/>
          <w:kern w:val="0"/>
          <w:sz w:val="24"/>
          <w:lang w:bidi="ar"/>
        </w:rPr>
        <w:t>建设于</w:t>
      </w:r>
      <w:r>
        <w:rPr>
          <w:rFonts w:hint="default" w:ascii="Times New Roman" w:hAnsi="Times New Roman" w:eastAsia="宋体" w:cs="Times New Roman"/>
          <w:bCs/>
          <w:sz w:val="24"/>
          <w:szCs w:val="24"/>
          <w:highlight w:val="none"/>
          <w:lang w:val="en-US" w:eastAsia="zh-CN"/>
        </w:rPr>
        <w:t>澄迈县老城</w:t>
      </w:r>
      <w:r>
        <w:rPr>
          <w:rFonts w:hint="eastAsia" w:ascii="Times New Roman" w:hAnsi="Times New Roman" w:eastAsia="宋体" w:cs="Times New Roman"/>
          <w:bCs/>
          <w:sz w:val="24"/>
          <w:szCs w:val="24"/>
          <w:highlight w:val="none"/>
          <w:lang w:val="en-US" w:eastAsia="zh-CN"/>
        </w:rPr>
        <w:t>科技新城</w:t>
      </w:r>
      <w:r>
        <w:rPr>
          <w:rFonts w:hint="default" w:ascii="Times New Roman" w:hAnsi="Times New Roman" w:eastAsia="宋体" w:cs="Times New Roman"/>
          <w:bCs/>
          <w:sz w:val="24"/>
          <w:szCs w:val="24"/>
          <w:highlight w:val="none"/>
          <w:lang w:val="en-US" w:eastAsia="zh-CN"/>
        </w:rPr>
        <w:t>南一环路与美朗南路交汇处西北侧</w:t>
      </w:r>
      <w:r>
        <w:rPr>
          <w:rFonts w:hint="eastAsia" w:ascii="Times New Roman" w:hAnsi="Times New Roman" w:eastAsia="宋体" w:cs="Times New Roman"/>
          <w:bCs/>
          <w:sz w:val="24"/>
          <w:szCs w:val="24"/>
          <w:highlight w:val="none"/>
          <w:lang w:val="en-US" w:eastAsia="zh-CN"/>
        </w:rPr>
        <w:t>，租用“海南百年新乐幕墙门窗系统工程有限公司”厂区内厂房</w:t>
      </w:r>
      <w:r>
        <w:rPr>
          <w:rFonts w:hint="default" w:ascii="Times New Roman" w:hAnsi="Times New Roman" w:eastAsia="宋体" w:cs="Times New Roman"/>
          <w:bCs/>
          <w:sz w:val="24"/>
          <w:szCs w:val="24"/>
        </w:rPr>
        <w:t>，地理坐标为</w:t>
      </w:r>
      <w:r>
        <w:rPr>
          <w:rFonts w:hint="default" w:ascii="Times New Roman" w:hAnsi="Times New Roman" w:eastAsia="宋体" w:cs="Times New Roman"/>
          <w:color w:val="000000"/>
          <w:sz w:val="24"/>
          <w:szCs w:val="24"/>
        </w:rPr>
        <w:t>E：110°4′4</w:t>
      </w:r>
      <w:r>
        <w:rPr>
          <w:rFonts w:hint="eastAsia" w:ascii="Times New Roman" w:hAnsi="Times New Roman" w:eastAsia="宋体" w:cs="Times New Roman"/>
          <w:color w:val="000000"/>
          <w:sz w:val="24"/>
          <w:szCs w:val="24"/>
          <w:lang w:val="en-US" w:eastAsia="zh-CN"/>
        </w:rPr>
        <w:t>3</w:t>
      </w:r>
      <w:r>
        <w:rPr>
          <w:rFonts w:hint="default"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val="en-US" w:eastAsia="zh-CN"/>
        </w:rPr>
        <w:t>456</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color w:val="000000"/>
          <w:sz w:val="24"/>
          <w:szCs w:val="24"/>
        </w:rPr>
        <w:t>、N：</w:t>
      </w:r>
      <w:r>
        <w:rPr>
          <w:rFonts w:hint="default" w:ascii="Times New Roman" w:hAnsi="Times New Roman" w:eastAsia="宋体" w:cs="Times New Roman"/>
          <w:color w:val="000000"/>
          <w:sz w:val="24"/>
          <w:szCs w:val="24"/>
          <w:lang w:val="en-US" w:eastAsia="zh-CN"/>
        </w:rPr>
        <w:t>19°5</w:t>
      </w:r>
      <w:r>
        <w:rPr>
          <w:rFonts w:hint="eastAsia" w:ascii="Times New Roman" w:hAnsi="Times New Roman" w:eastAsia="宋体" w:cs="Times New Roman"/>
          <w:color w:val="000000"/>
          <w:sz w:val="24"/>
          <w:szCs w:val="24"/>
          <w:lang w:val="en-US" w:eastAsia="zh-CN"/>
        </w:rPr>
        <w:t>6</w:t>
      </w:r>
      <w:r>
        <w:rPr>
          <w:rFonts w:hint="default" w:ascii="Times New Roman" w:hAnsi="Times New Roman" w:eastAsia="宋体" w:cs="Times New Roman"/>
          <w:color w:val="000000"/>
          <w:sz w:val="24"/>
          <w:szCs w:val="24"/>
          <w:lang w:val="en-US" w:eastAsia="zh-CN"/>
        </w:rPr>
        <w:t>′</w:t>
      </w:r>
      <w:r>
        <w:rPr>
          <w:rFonts w:hint="eastAsia" w:ascii="Times New Roman" w:hAnsi="Times New Roman" w:eastAsia="宋体" w:cs="Times New Roman"/>
          <w:color w:val="000000"/>
          <w:sz w:val="24"/>
          <w:szCs w:val="24"/>
          <w:lang w:val="en-US" w:eastAsia="zh-CN"/>
        </w:rPr>
        <w:t>39</w:t>
      </w:r>
      <w:r>
        <w:rPr>
          <w:rFonts w:hint="default" w:ascii="Times New Roman" w:hAnsi="Times New Roman" w:eastAsia="宋体" w:cs="Times New Roman"/>
          <w:color w:val="000000"/>
          <w:sz w:val="24"/>
          <w:szCs w:val="24"/>
          <w:lang w:val="en-US" w:eastAsia="zh-CN"/>
        </w:rPr>
        <w:t>.</w:t>
      </w:r>
      <w:r>
        <w:rPr>
          <w:rFonts w:hint="eastAsia" w:ascii="Times New Roman" w:hAnsi="Times New Roman" w:eastAsia="宋体" w:cs="Times New Roman"/>
          <w:color w:val="000000"/>
          <w:sz w:val="24"/>
          <w:szCs w:val="24"/>
          <w:lang w:val="en-US" w:eastAsia="zh-CN"/>
        </w:rPr>
        <w:t>8</w:t>
      </w:r>
      <w:r>
        <w:rPr>
          <w:rFonts w:hint="default" w:ascii="Times New Roman" w:hAnsi="Times New Roman" w:eastAsia="宋体" w:cs="Times New Roman"/>
          <w:color w:val="000000"/>
          <w:sz w:val="24"/>
          <w:szCs w:val="24"/>
          <w:lang w:val="en-US" w:eastAsia="zh-CN"/>
        </w:rPr>
        <w:t>25″</w:t>
      </w:r>
      <w:r>
        <w:rPr>
          <w:rFonts w:hint="default" w:ascii="Times New Roman" w:hAnsi="Times New Roman" w:eastAsia="宋体" w:cs="Times New Roman"/>
          <w:sz w:val="24"/>
          <w:szCs w:val="24"/>
        </w:rPr>
        <w:t>。</w:t>
      </w:r>
      <w:r>
        <w:rPr>
          <w:rFonts w:ascii="Times New Roman" w:hAnsi="Times New Roman" w:eastAsia="宋体" w:cs="Times New Roman"/>
          <w:bCs/>
          <w:sz w:val="24"/>
        </w:rPr>
        <w:t>项目实际</w:t>
      </w:r>
      <w:r>
        <w:rPr>
          <w:rFonts w:hint="default" w:ascii="Times New Roman" w:hAnsi="Times New Roman" w:eastAsia="宋体" w:cs="Times New Roman"/>
          <w:color w:val="000000"/>
          <w:kern w:val="0"/>
          <w:sz w:val="24"/>
          <w:szCs w:val="24"/>
          <w:lang w:val="en-US" w:eastAsia="zh-CN" w:bidi="ar"/>
        </w:rPr>
        <w:t>总用地面积为</w:t>
      </w:r>
      <w:r>
        <w:rPr>
          <w:rFonts w:hint="eastAsia" w:ascii="Times New Roman" w:hAnsi="Times New Roman" w:eastAsia="宋体" w:cs="Times New Roman"/>
          <w:color w:val="000000"/>
          <w:kern w:val="0"/>
          <w:sz w:val="24"/>
          <w:szCs w:val="24"/>
          <w:lang w:val="en-US" w:eastAsia="zh-CN" w:bidi="ar"/>
        </w:rPr>
        <w:t>3030</w:t>
      </w:r>
      <w:r>
        <w:rPr>
          <w:rFonts w:hint="default" w:ascii="Times New Roman" w:hAnsi="Times New Roman" w:eastAsia="宋体" w:cs="Times New Roman"/>
          <w:color w:val="000000"/>
          <w:kern w:val="0"/>
          <w:sz w:val="24"/>
          <w:szCs w:val="24"/>
          <w:lang w:val="en-US" w:eastAsia="zh-CN" w:bidi="ar"/>
        </w:rPr>
        <w:t>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即</w:t>
      </w:r>
      <w:r>
        <w:rPr>
          <w:rFonts w:ascii="Times New Roman" w:hAnsi="Times New Roman" w:eastAsia="宋体" w:cs="Times New Roman"/>
          <w:bCs/>
          <w:sz w:val="24"/>
        </w:rPr>
        <w:t>租用</w:t>
      </w:r>
      <w:r>
        <w:rPr>
          <w:rFonts w:hint="eastAsia" w:ascii="Times New Roman" w:hAnsi="Times New Roman" w:eastAsia="宋体" w:cs="Times New Roman"/>
          <w:bCs/>
          <w:sz w:val="24"/>
          <w:lang w:val="en-US" w:eastAsia="zh-CN"/>
        </w:rPr>
        <w:t>厂房的</w:t>
      </w:r>
      <w:r>
        <w:rPr>
          <w:rFonts w:hint="default" w:ascii="Times New Roman" w:hAnsi="Times New Roman" w:eastAsia="宋体" w:cs="Times New Roman"/>
          <w:color w:val="000000"/>
          <w:kern w:val="0"/>
          <w:sz w:val="24"/>
          <w:szCs w:val="24"/>
          <w:lang w:val="en-US" w:eastAsia="zh-CN" w:bidi="ar"/>
        </w:rPr>
        <w:t>总建筑面积</w:t>
      </w:r>
      <w:r>
        <w:rPr>
          <w:rFonts w:hint="eastAsia" w:ascii="Times New Roman" w:hAnsi="Times New Roman" w:eastAsia="宋体" w:cs="Times New Roman"/>
          <w:color w:val="000000"/>
          <w:kern w:val="0"/>
          <w:sz w:val="24"/>
          <w:szCs w:val="24"/>
          <w:highlight w:val="none"/>
          <w:lang w:val="en-US" w:eastAsia="zh-CN" w:bidi="ar"/>
        </w:rPr>
        <w:t>3030</w:t>
      </w:r>
      <w:r>
        <w:rPr>
          <w:rFonts w:hint="default" w:ascii="Times New Roman" w:hAnsi="Times New Roman" w:eastAsia="宋体" w:cs="Times New Roman"/>
          <w:color w:val="000000"/>
          <w:kern w:val="0"/>
          <w:sz w:val="24"/>
          <w:szCs w:val="24"/>
          <w:lang w:val="en-US" w:eastAsia="zh-CN" w:bidi="ar"/>
        </w:rPr>
        <w:t>m</w:t>
      </w:r>
      <w:r>
        <w:rPr>
          <w:rFonts w:hint="default" w:ascii="Times New Roman" w:hAnsi="Times New Roman" w:eastAsia="宋体" w:cs="Times New Roman"/>
          <w:color w:val="000000"/>
          <w:kern w:val="0"/>
          <w:sz w:val="24"/>
          <w:szCs w:val="24"/>
          <w:vertAlign w:val="superscript"/>
          <w:lang w:val="en-US" w:eastAsia="zh-CN" w:bidi="ar"/>
        </w:rPr>
        <w:t>2</w:t>
      </w:r>
      <w:r>
        <w:rPr>
          <w:rFonts w:hint="eastAsia" w:ascii="Times New Roman" w:hAnsi="Times New Roman" w:eastAsia="宋体" w:cs="Times New Roman"/>
          <w:color w:val="000000"/>
          <w:kern w:val="0"/>
          <w:sz w:val="24"/>
          <w:szCs w:val="24"/>
          <w:vertAlign w:val="baseline"/>
          <w:lang w:val="en-US" w:eastAsia="zh-CN" w:bidi="ar"/>
        </w:rPr>
        <w:t>，已完成</w:t>
      </w:r>
      <w:r>
        <w:rPr>
          <w:rFonts w:hint="default" w:ascii="Times New Roman" w:hAnsi="Times New Roman" w:eastAsia="宋体" w:cs="Times New Roman"/>
          <w:color w:val="000000"/>
          <w:kern w:val="0"/>
          <w:sz w:val="24"/>
          <w:szCs w:val="24"/>
          <w:lang w:val="en-US" w:eastAsia="zh-CN" w:bidi="ar"/>
        </w:rPr>
        <w:t>主要建设内容：</w:t>
      </w:r>
      <w:r>
        <w:rPr>
          <w:rFonts w:hint="eastAsia" w:ascii="Times New Roman" w:hAnsi="Times New Roman" w:eastAsia="宋体" w:cs="Times New Roman"/>
          <w:color w:val="000000"/>
          <w:kern w:val="0"/>
          <w:sz w:val="24"/>
          <w:szCs w:val="24"/>
          <w:lang w:val="en-US" w:eastAsia="zh-CN" w:bidi="ar"/>
        </w:rPr>
        <w:t>保温板生产加工车间</w:t>
      </w:r>
      <w:r>
        <w:rPr>
          <w:rFonts w:hint="default" w:ascii="Times New Roman" w:hAnsi="Times New Roman" w:eastAsia="宋体" w:cs="Times New Roman"/>
          <w:color w:val="000000"/>
          <w:kern w:val="0"/>
          <w:sz w:val="24"/>
          <w:szCs w:val="24"/>
          <w:lang w:val="en-US" w:eastAsia="zh-CN" w:bidi="ar"/>
        </w:rPr>
        <w:t>以及相关配套设施</w:t>
      </w:r>
      <w:r>
        <w:rPr>
          <w:rFonts w:hint="eastAsia" w:ascii="Times New Roman" w:hAnsi="Times New Roman" w:eastAsia="宋体" w:cs="Times New Roman"/>
          <w:color w:val="000000"/>
          <w:kern w:val="0"/>
          <w:sz w:val="24"/>
          <w:szCs w:val="24"/>
          <w:lang w:val="en-US" w:eastAsia="zh-CN" w:bidi="ar"/>
        </w:rPr>
        <w:t>，车间内建设1条保温板生产线。保温板生产加工车间内部按实际使用功能进行划分：物料存放区、钢板加工区、模具成型区、发泡区、板材存放区等</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项目厂房内隔断出一间单独值班室（不产生生活污水），员工日常办公依托厂内综合办公楼。</w:t>
      </w:r>
      <w:r>
        <w:rPr>
          <w:rFonts w:hint="default" w:ascii="Times New Roman" w:hAnsi="Times New Roman" w:eastAsia="宋体" w:cs="Times New Roman"/>
          <w:color w:val="000000"/>
          <w:kern w:val="0"/>
          <w:sz w:val="24"/>
          <w:szCs w:val="24"/>
          <w:lang w:val="en-US" w:eastAsia="zh-CN" w:bidi="ar"/>
        </w:rPr>
        <w:t>项目主要产品为：</w:t>
      </w:r>
      <w:r>
        <w:rPr>
          <w:rFonts w:hint="eastAsia" w:ascii="Times New Roman" w:hAnsi="Times New Roman" w:eastAsia="宋体" w:cs="Times New Roman"/>
          <w:color w:val="000000"/>
          <w:kern w:val="0"/>
          <w:sz w:val="24"/>
          <w:szCs w:val="24"/>
          <w:lang w:val="en-US" w:eastAsia="zh-CN" w:bidi="ar"/>
        </w:rPr>
        <w:t>冷库聚氨酯保温板</w:t>
      </w:r>
      <w:r>
        <w:rPr>
          <w:rFonts w:hint="default" w:ascii="Times New Roman" w:hAnsi="Times New Roman" w:eastAsia="宋体" w:cs="Times New Roman"/>
          <w:color w:val="000000"/>
          <w:kern w:val="0"/>
          <w:sz w:val="24"/>
          <w:szCs w:val="24"/>
          <w:lang w:val="en-US" w:eastAsia="zh-CN" w:bidi="ar"/>
        </w:rPr>
        <w:t>，设计最大生产规模为</w:t>
      </w:r>
      <w:r>
        <w:rPr>
          <w:rFonts w:hint="eastAsia" w:ascii="Times New Roman" w:hAnsi="Times New Roman" w:eastAsia="宋体" w:cs="Times New Roman"/>
          <w:color w:val="000000"/>
          <w:kern w:val="0"/>
          <w:sz w:val="24"/>
          <w:szCs w:val="24"/>
          <w:lang w:val="en-US" w:eastAsia="zh-CN" w:bidi="ar"/>
        </w:rPr>
        <w:t>每年6万平方米（约</w:t>
      </w:r>
      <w:r>
        <w:rPr>
          <w:rFonts w:hint="eastAsia" w:ascii="Times New Roman" w:hAnsi="Times New Roman" w:eastAsia="宋体" w:cs="Times New Roman"/>
          <w:color w:val="000000"/>
          <w:kern w:val="0"/>
          <w:sz w:val="24"/>
          <w:szCs w:val="24"/>
          <w:highlight w:val="none"/>
          <w:lang w:val="en-US" w:eastAsia="zh-CN" w:bidi="ar"/>
        </w:rPr>
        <w:t>6050m</w:t>
      </w:r>
      <w:r>
        <w:rPr>
          <w:rFonts w:hint="eastAsia" w:ascii="Times New Roman" w:hAnsi="Times New Roman" w:eastAsia="宋体" w:cs="Times New Roman"/>
          <w:color w:val="000000"/>
          <w:kern w:val="0"/>
          <w:sz w:val="24"/>
          <w:szCs w:val="24"/>
          <w:highlight w:val="none"/>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/a</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厂内生产加工板材</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厂外现场组装</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实际</w:t>
      </w:r>
      <w:r>
        <w:rPr>
          <w:rFonts w:hint="default" w:ascii="Times New Roman" w:hAnsi="Times New Roman" w:eastAsia="宋体" w:cs="Times New Roman"/>
          <w:color w:val="000000"/>
          <w:kern w:val="0"/>
          <w:sz w:val="24"/>
          <w:szCs w:val="24"/>
          <w:lang w:val="en-US" w:eastAsia="zh-CN" w:bidi="ar"/>
        </w:rPr>
        <w:t>总投资</w:t>
      </w:r>
      <w:r>
        <w:rPr>
          <w:rFonts w:hint="eastAsia" w:ascii="Times New Roman" w:hAnsi="Times New Roman" w:eastAsia="宋体" w:cs="Times New Roman"/>
          <w:color w:val="000000"/>
          <w:kern w:val="0"/>
          <w:sz w:val="24"/>
          <w:szCs w:val="24"/>
          <w:highlight w:val="none"/>
          <w:lang w:val="en-US" w:eastAsia="zh-CN" w:bidi="ar"/>
        </w:rPr>
        <w:t>350</w:t>
      </w:r>
      <w:r>
        <w:rPr>
          <w:rFonts w:hint="default" w:ascii="Times New Roman" w:hAnsi="Times New Roman" w:eastAsia="宋体" w:cs="Times New Roman"/>
          <w:color w:val="000000"/>
          <w:kern w:val="0"/>
          <w:sz w:val="24"/>
          <w:szCs w:val="24"/>
          <w:lang w:val="en-US" w:eastAsia="zh-CN" w:bidi="ar"/>
        </w:rPr>
        <w:t>万元，其中环保投资</w:t>
      </w:r>
      <w:r>
        <w:rPr>
          <w:rFonts w:hint="eastAsia" w:ascii="Times New Roman" w:hAnsi="Times New Roman" w:eastAsia="宋体" w:cs="Times New Roman"/>
          <w:color w:val="000000"/>
          <w:kern w:val="0"/>
          <w:sz w:val="24"/>
          <w:szCs w:val="24"/>
          <w:lang w:val="en-US" w:eastAsia="zh-CN" w:bidi="ar"/>
        </w:rPr>
        <w:t>32</w:t>
      </w:r>
      <w:r>
        <w:rPr>
          <w:rFonts w:hint="default" w:ascii="Times New Roman" w:hAnsi="Times New Roman" w:eastAsia="宋体" w:cs="Times New Roman"/>
          <w:color w:val="000000"/>
          <w:kern w:val="0"/>
          <w:sz w:val="24"/>
          <w:szCs w:val="24"/>
          <w:lang w:val="en-US" w:eastAsia="zh-CN" w:bidi="ar"/>
        </w:rPr>
        <w:t>万元，占比总投资的</w:t>
      </w:r>
      <w:r>
        <w:rPr>
          <w:rFonts w:hint="eastAsia" w:ascii="Times New Roman" w:hAnsi="Times New Roman" w:eastAsia="宋体" w:cs="Times New Roman"/>
          <w:color w:val="000000"/>
          <w:kern w:val="0"/>
          <w:sz w:val="24"/>
          <w:szCs w:val="24"/>
          <w:highlight w:val="none"/>
          <w:lang w:val="en-US" w:eastAsia="zh-CN" w:bidi="ar"/>
        </w:rPr>
        <w:t>9.1</w:t>
      </w:r>
      <w:r>
        <w:rPr>
          <w:rFonts w:hint="default" w:ascii="Times New Roman" w:hAnsi="Times New Roman" w:eastAsia="宋体" w:cs="Times New Roman"/>
          <w:color w:val="000000"/>
          <w:kern w:val="0"/>
          <w:sz w:val="24"/>
          <w:szCs w:val="24"/>
          <w:lang w:val="en-US" w:eastAsia="zh-CN" w:bidi="ar"/>
        </w:rPr>
        <w:t>%。</w:t>
      </w:r>
      <w:r>
        <w:rPr>
          <w:rFonts w:ascii="Times New Roman" w:hAnsi="Times New Roman" w:eastAsia="宋体" w:cs="Times New Roman"/>
          <w:sz w:val="24"/>
        </w:rPr>
        <w:t>项目实际建设情况与环评报告及批复的建设内容基本相符，部分工程设施按照实际情况进行调整，生产规模以及</w:t>
      </w:r>
      <w:r>
        <w:rPr>
          <w:rFonts w:ascii="Times New Roman" w:hAnsi="Times New Roman" w:eastAsia="宋体" w:cs="Times New Roman"/>
          <w:sz w:val="24"/>
          <w:lang w:val="zh-TW" w:eastAsia="zh-TW"/>
        </w:rPr>
        <w:t>配套环保设施符合竣工环境保护验收的条件。</w:t>
      </w:r>
    </w:p>
    <w:p w14:paraId="26BBCDDA">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eastAsia="宋体" w:cs="Times New Roman"/>
          <w:sz w:val="24"/>
        </w:rPr>
      </w:pPr>
      <w:r>
        <w:rPr>
          <w:rFonts w:ascii="Times New Roman" w:hAnsi="Times New Roman" w:eastAsia="宋体" w:cs="Times New Roman"/>
          <w:bCs/>
          <w:sz w:val="24"/>
        </w:rPr>
        <w:t>项目于202</w:t>
      </w:r>
      <w:r>
        <w:rPr>
          <w:rFonts w:hint="eastAsia" w:ascii="Times New Roman" w:hAnsi="Times New Roman" w:eastAsia="宋体" w:cs="Times New Roman"/>
          <w:bCs/>
          <w:sz w:val="24"/>
          <w:lang w:val="en-US" w:eastAsia="zh-CN"/>
        </w:rPr>
        <w:t>5</w:t>
      </w:r>
      <w:r>
        <w:rPr>
          <w:rFonts w:ascii="Times New Roman" w:hAnsi="Times New Roman" w:eastAsia="宋体" w:cs="Times New Roman"/>
          <w:bCs/>
          <w:sz w:val="24"/>
        </w:rPr>
        <w:t>年</w:t>
      </w:r>
      <w:r>
        <w:rPr>
          <w:rFonts w:hint="eastAsia" w:ascii="Times New Roman" w:hAnsi="Times New Roman" w:eastAsia="宋体" w:cs="Times New Roman"/>
          <w:bCs/>
          <w:sz w:val="24"/>
          <w:lang w:val="en-US" w:eastAsia="zh-CN"/>
        </w:rPr>
        <w:t>2</w:t>
      </w:r>
      <w:r>
        <w:rPr>
          <w:rFonts w:ascii="Times New Roman" w:hAnsi="Times New Roman" w:eastAsia="宋体" w:cs="Times New Roman"/>
          <w:bCs/>
          <w:sz w:val="24"/>
        </w:rPr>
        <w:t>月开工建设，</w:t>
      </w:r>
      <w:r>
        <w:rPr>
          <w:rFonts w:ascii="Times New Roman" w:hAnsi="Times New Roman" w:eastAsia="宋体" w:cs="Times New Roman"/>
          <w:sz w:val="24"/>
        </w:rPr>
        <w:t>202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4</w:t>
      </w:r>
      <w:r>
        <w:rPr>
          <w:rFonts w:ascii="Times New Roman" w:hAnsi="Times New Roman" w:eastAsia="宋体" w:cs="Times New Roman"/>
          <w:sz w:val="24"/>
        </w:rPr>
        <w:t>月完工后开始调试。目前，项目相关环保手续已完善，投入试运营，且各项环保处理设施已落实到位。项目建设期间严格按照相关环保要求及时办理了各项环保手续并按其要求进行施工、建设、运行，至今尚未受到环保投诉及处罚。</w:t>
      </w:r>
    </w:p>
    <w:p w14:paraId="0DD4ECA8">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eastAsia="宋体" w:cs="Times New Roman"/>
          <w:color w:val="000000"/>
          <w:kern w:val="0"/>
          <w:sz w:val="24"/>
          <w:lang w:bidi="ar"/>
        </w:rPr>
      </w:pPr>
      <w:r>
        <w:rPr>
          <w:rFonts w:hint="default" w:ascii="Times New Roman" w:hAnsi="Times New Roman" w:cs="Times New Roman"/>
          <w:sz w:val="24"/>
          <w:szCs w:val="24"/>
        </w:rPr>
        <w:t>海南良雪制冷设备有限公司</w:t>
      </w:r>
      <w:r>
        <w:rPr>
          <w:rFonts w:ascii="Times New Roman" w:hAnsi="Times New Roman" w:eastAsia="宋体" w:cs="Times New Roman"/>
          <w:sz w:val="24"/>
        </w:rPr>
        <w:t>于202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4</w:t>
      </w:r>
      <w:r>
        <w:rPr>
          <w:rFonts w:ascii="Times New Roman" w:hAnsi="Times New Roman" w:eastAsia="宋体" w:cs="Times New Roman"/>
          <w:sz w:val="24"/>
        </w:rPr>
        <w:t>月委托</w:t>
      </w:r>
      <w:r>
        <w:rPr>
          <w:rFonts w:hint="eastAsia" w:ascii="Times New Roman" w:hAnsi="Times New Roman" w:eastAsia="宋体" w:cs="Times New Roman"/>
          <w:color w:val="000000"/>
          <w:sz w:val="24"/>
        </w:rPr>
        <w:t>海南环供科技有限公司</w:t>
      </w:r>
      <w:r>
        <w:rPr>
          <w:rFonts w:ascii="Times New Roman" w:hAnsi="Times New Roman" w:eastAsia="宋体" w:cs="Times New Roman"/>
          <w:sz w:val="24"/>
        </w:rPr>
        <w:t>对本项目</w:t>
      </w:r>
      <w:r>
        <w:rPr>
          <w:rFonts w:hint="eastAsia" w:ascii="Times New Roman" w:hAnsi="Times New Roman" w:eastAsia="宋体" w:cs="Times New Roman"/>
          <w:sz w:val="24"/>
          <w:lang w:val="en-US" w:eastAsia="zh-CN"/>
        </w:rPr>
        <w:t>开展</w:t>
      </w:r>
      <w:r>
        <w:rPr>
          <w:rFonts w:ascii="Times New Roman" w:hAnsi="Times New Roman" w:eastAsia="宋体" w:cs="Times New Roman"/>
          <w:sz w:val="24"/>
        </w:rPr>
        <w:t>竣工环境保护验收</w:t>
      </w:r>
      <w:r>
        <w:rPr>
          <w:rFonts w:hint="eastAsia" w:ascii="Times New Roman" w:hAnsi="Times New Roman" w:eastAsia="宋体" w:cs="Times New Roman"/>
          <w:sz w:val="24"/>
          <w:lang w:val="en-US" w:eastAsia="zh-CN"/>
        </w:rPr>
        <w:t>工作</w:t>
      </w:r>
      <w:r>
        <w:rPr>
          <w:rFonts w:ascii="Times New Roman" w:hAnsi="Times New Roman" w:eastAsia="宋体" w:cs="Times New Roman"/>
          <w:sz w:val="24"/>
        </w:rPr>
        <w:t>。我公司接受委托后，经过现场勘察、收集相关资料，了解项目污染物排放等情况，经过现场走访及向环保部门咨询，本项目在建设和运营过程中没有受到环保投诉。根据环境保护部2017年11月20日颁布的国环规环评〔2017〕4号文关于发布《建设项目竣工环境保护验收暂行办法》、生态环境部〔2018〕9号文《建设项目竣工环境保护验收技术指南 污染影响类》、《关于加强建设项目环境保护设施竣工验收工作的通知》（琼环评字〔2018〕3号2018年1月10日）的规定和要求以及项目环境影响报告表和相关环保批复文件，制定了项目环保验收监测方案，</w:t>
      </w:r>
      <w:r>
        <w:rPr>
          <w:rFonts w:ascii="Times New Roman" w:hAnsi="Times New Roman" w:cs="Times New Roman"/>
          <w:sz w:val="24"/>
        </w:rPr>
        <w:t>依据方案建设单位委托海南中成检测技术有限公司</w:t>
      </w:r>
      <w:r>
        <w:rPr>
          <w:rFonts w:ascii="Times New Roman" w:hAnsi="Times New Roman" w:eastAsia="宋体" w:cs="Times New Roman"/>
          <w:sz w:val="24"/>
        </w:rPr>
        <w:t>于</w:t>
      </w:r>
      <w:r>
        <w:rPr>
          <w:rFonts w:ascii="Times New Roman" w:hAnsi="Times New Roman" w:eastAsia="宋体" w:cs="Times New Roman"/>
          <w:sz w:val="24"/>
          <w:highlight w:val="none"/>
        </w:rPr>
        <w:t>202</w:t>
      </w:r>
      <w:r>
        <w:rPr>
          <w:rFonts w:hint="eastAsia" w:ascii="Times New Roman" w:hAnsi="Times New Roman" w:eastAsia="宋体" w:cs="Times New Roman"/>
          <w:sz w:val="24"/>
          <w:highlight w:val="none"/>
          <w:lang w:val="en-US" w:eastAsia="zh-CN"/>
        </w:rPr>
        <w:t>5</w:t>
      </w:r>
      <w:r>
        <w:rPr>
          <w:rFonts w:ascii="Times New Roman" w:hAnsi="Times New Roman" w:eastAsia="宋体" w:cs="Times New Roman"/>
          <w:sz w:val="24"/>
          <w:highlight w:val="none"/>
        </w:rPr>
        <w:t>年</w:t>
      </w:r>
      <w:r>
        <w:rPr>
          <w:rFonts w:hint="eastAsia" w:ascii="Times New Roman" w:hAnsi="Times New Roman" w:eastAsia="宋体" w:cs="Times New Roman"/>
          <w:sz w:val="24"/>
          <w:highlight w:val="none"/>
          <w:lang w:val="en-US" w:eastAsia="zh-CN"/>
        </w:rPr>
        <w:t>4</w:t>
      </w:r>
      <w:r>
        <w:rPr>
          <w:rFonts w:ascii="Times New Roman" w:hAnsi="Times New Roman" w:eastAsia="宋体" w:cs="Times New Roman"/>
          <w:sz w:val="24"/>
          <w:highlight w:val="none"/>
        </w:rPr>
        <w:t>月</w:t>
      </w:r>
      <w:r>
        <w:rPr>
          <w:rFonts w:hint="eastAsia" w:ascii="Times New Roman" w:hAnsi="Times New Roman" w:eastAsia="宋体" w:cs="Times New Roman"/>
          <w:sz w:val="24"/>
          <w:highlight w:val="none"/>
        </w:rPr>
        <w:t>1</w:t>
      </w:r>
      <w:r>
        <w:rPr>
          <w:rFonts w:hint="eastAsia" w:ascii="Times New Roman" w:hAnsi="Times New Roman" w:eastAsia="宋体" w:cs="Times New Roman"/>
          <w:sz w:val="24"/>
          <w:highlight w:val="none"/>
          <w:lang w:val="en-US" w:eastAsia="zh-CN"/>
        </w:rPr>
        <w:t>7</w:t>
      </w:r>
      <w:r>
        <w:rPr>
          <w:rFonts w:ascii="Times New Roman" w:hAnsi="Times New Roman" w:eastAsia="宋体" w:cs="Times New Roman"/>
          <w:sz w:val="24"/>
          <w:highlight w:val="none"/>
        </w:rPr>
        <w:t>-</w:t>
      </w:r>
      <w:r>
        <w:rPr>
          <w:rFonts w:hint="eastAsia" w:ascii="Times New Roman" w:hAnsi="Times New Roman" w:eastAsia="宋体" w:cs="Times New Roman"/>
          <w:sz w:val="24"/>
          <w:highlight w:val="none"/>
          <w:lang w:val="en-US" w:eastAsia="zh-CN"/>
        </w:rPr>
        <w:t>18</w:t>
      </w:r>
      <w:r>
        <w:rPr>
          <w:rFonts w:ascii="Times New Roman" w:hAnsi="Times New Roman" w:eastAsia="宋体" w:cs="Times New Roman"/>
          <w:sz w:val="24"/>
          <w:highlight w:val="none"/>
        </w:rPr>
        <w:t>日</w:t>
      </w:r>
      <w:r>
        <w:rPr>
          <w:rFonts w:ascii="Times New Roman" w:hAnsi="Times New Roman" w:eastAsia="宋体" w:cs="Times New Roman"/>
          <w:sz w:val="24"/>
        </w:rPr>
        <w:t xml:space="preserve">进行监测，在完成上述验收监测和现场环境管理检查的基础上，编制完成本项目竣工环境保护验收监测报告表。本次验收范围包括： </w:t>
      </w:r>
      <w:r>
        <w:rPr>
          <w:rFonts w:hint="default" w:ascii="Times New Roman" w:hAnsi="Times New Roman" w:cs="Times New Roman"/>
          <w:sz w:val="24"/>
          <w:szCs w:val="24"/>
        </w:rPr>
        <w:t>海南良雪制冷设备有限公司</w:t>
      </w:r>
      <w:r>
        <w:rPr>
          <w:rFonts w:hint="eastAsia" w:ascii="Times New Roman" w:hAnsi="Times New Roman" w:cs="Times New Roman"/>
          <w:sz w:val="24"/>
          <w:szCs w:val="24"/>
          <w:lang w:val="en-US" w:eastAsia="zh-CN"/>
        </w:rPr>
        <w:t>建设的</w:t>
      </w:r>
      <w:r>
        <w:rPr>
          <w:rFonts w:ascii="Times New Roman" w:hAnsi="Times New Roman" w:eastAsia="宋体" w:cs="Times New Roman"/>
          <w:sz w:val="24"/>
        </w:rPr>
        <w:t>“</w:t>
      </w:r>
      <w:r>
        <w:rPr>
          <w:rFonts w:hint="default" w:ascii="Times New Roman" w:hAnsi="Times New Roman" w:cs="Times New Roman"/>
          <w:sz w:val="24"/>
          <w:szCs w:val="24"/>
        </w:rPr>
        <w:t>年产60000平方米冷库保温板项目</w:t>
      </w:r>
      <w:r>
        <w:rPr>
          <w:rFonts w:ascii="Times New Roman" w:hAnsi="Times New Roman" w:eastAsia="宋体" w:cs="Times New Roman"/>
          <w:sz w:val="24"/>
        </w:rPr>
        <w:t>（即本项目）”</w:t>
      </w:r>
      <w:r>
        <w:rPr>
          <w:rFonts w:hint="eastAsia" w:ascii="Times New Roman" w:hAnsi="Times New Roman" w:eastAsia="宋体" w:cs="Times New Roman"/>
          <w:sz w:val="24"/>
          <w:lang w:eastAsia="zh-CN"/>
        </w:rPr>
        <w:t>，</w:t>
      </w:r>
      <w:r>
        <w:rPr>
          <w:rFonts w:ascii="Times New Roman" w:hAnsi="Times New Roman" w:eastAsia="宋体" w:cs="Times New Roman"/>
          <w:sz w:val="24"/>
        </w:rPr>
        <w:t>主要建设内容</w:t>
      </w:r>
      <w:r>
        <w:rPr>
          <w:rFonts w:hint="eastAsia" w:ascii="Times New Roman" w:hAnsi="Times New Roman" w:eastAsia="宋体" w:cs="Times New Roman"/>
          <w:sz w:val="24"/>
          <w:lang w:eastAsia="zh-CN"/>
        </w:rPr>
        <w:t>：</w:t>
      </w:r>
      <w:r>
        <w:rPr>
          <w:rFonts w:hint="eastAsia" w:ascii="Times New Roman" w:hAnsi="Times New Roman" w:eastAsia="宋体" w:cs="Times New Roman"/>
          <w:color w:val="000000"/>
          <w:kern w:val="0"/>
          <w:sz w:val="24"/>
          <w:szCs w:val="24"/>
          <w:lang w:val="en-US" w:eastAsia="zh-CN" w:bidi="ar"/>
        </w:rPr>
        <w:t>保温板生产加工车间</w:t>
      </w:r>
      <w:r>
        <w:rPr>
          <w:rFonts w:hint="default" w:ascii="Times New Roman" w:hAnsi="Times New Roman" w:eastAsia="宋体" w:cs="Times New Roman"/>
          <w:color w:val="000000"/>
          <w:kern w:val="0"/>
          <w:sz w:val="24"/>
          <w:szCs w:val="24"/>
          <w:lang w:val="en-US" w:eastAsia="zh-CN" w:bidi="ar"/>
        </w:rPr>
        <w:t>以及</w:t>
      </w:r>
      <w:r>
        <w:rPr>
          <w:rFonts w:hint="eastAsia" w:ascii="Times New Roman" w:hAnsi="Times New Roman" w:eastAsia="宋体" w:cs="Times New Roman"/>
          <w:color w:val="000000"/>
          <w:kern w:val="0"/>
          <w:sz w:val="24"/>
          <w:szCs w:val="24"/>
          <w:lang w:val="en-US" w:eastAsia="zh-CN" w:bidi="ar"/>
        </w:rPr>
        <w:t>车间内</w:t>
      </w:r>
      <w:r>
        <w:rPr>
          <w:rFonts w:hint="default" w:ascii="Times New Roman" w:hAnsi="Times New Roman" w:eastAsia="宋体" w:cs="Times New Roman"/>
          <w:color w:val="000000"/>
          <w:kern w:val="0"/>
          <w:sz w:val="24"/>
          <w:szCs w:val="24"/>
          <w:lang w:val="en-US" w:eastAsia="zh-CN" w:bidi="ar"/>
        </w:rPr>
        <w:t>配套相关</w:t>
      </w:r>
      <w:r>
        <w:rPr>
          <w:rFonts w:hint="eastAsia" w:ascii="Times New Roman" w:hAnsi="Times New Roman" w:eastAsia="宋体" w:cs="Times New Roman"/>
          <w:color w:val="000000"/>
          <w:kern w:val="0"/>
          <w:sz w:val="24"/>
          <w:szCs w:val="24"/>
          <w:lang w:val="en-US" w:eastAsia="zh-CN" w:bidi="ar"/>
        </w:rPr>
        <w:t>生产</w:t>
      </w:r>
      <w:r>
        <w:rPr>
          <w:rFonts w:hint="default" w:ascii="Times New Roman" w:hAnsi="Times New Roman" w:eastAsia="宋体" w:cs="Times New Roman"/>
          <w:color w:val="000000"/>
          <w:kern w:val="0"/>
          <w:sz w:val="24"/>
          <w:szCs w:val="24"/>
          <w:lang w:val="en-US" w:eastAsia="zh-CN" w:bidi="ar"/>
        </w:rPr>
        <w:t>设施</w:t>
      </w:r>
      <w:r>
        <w:rPr>
          <w:rFonts w:hint="eastAsia" w:ascii="Times New Roman" w:hAnsi="Times New Roman" w:eastAsia="宋体" w:cs="Times New Roman"/>
          <w:color w:val="000000"/>
          <w:kern w:val="0"/>
          <w:sz w:val="24"/>
          <w:szCs w:val="24"/>
          <w:lang w:val="en-US" w:eastAsia="zh-CN" w:bidi="ar"/>
        </w:rPr>
        <w:t>、环保措施等</w:t>
      </w:r>
      <w:r>
        <w:rPr>
          <w:rFonts w:ascii="Times New Roman" w:hAnsi="Times New Roman" w:cs="Times New Roman"/>
          <w:color w:val="000000"/>
          <w:kern w:val="0"/>
          <w:sz w:val="24"/>
          <w:lang w:bidi="ar"/>
        </w:rPr>
        <w:t>。</w:t>
      </w:r>
    </w:p>
    <w:p w14:paraId="54CD589A">
      <w:pPr>
        <w:pStyle w:val="28"/>
        <w:sectPr>
          <w:footerReference r:id="rId6" w:type="default"/>
          <w:pgSz w:w="11906" w:h="16838"/>
          <w:pgMar w:top="1440" w:right="1797" w:bottom="1440" w:left="1797" w:header="851" w:footer="992" w:gutter="0"/>
          <w:pgNumType w:start="1"/>
          <w:cols w:space="720" w:num="1"/>
          <w:docGrid w:type="linesAndChars" w:linePitch="312" w:charSpace="0"/>
        </w:sectPr>
      </w:pPr>
    </w:p>
    <w:p w14:paraId="3783B04F">
      <w:pPr>
        <w:adjustRightInd w:val="0"/>
        <w:snapToGrid w:val="0"/>
        <w:spacing w:line="500" w:lineRule="exact"/>
        <w:outlineLvl w:val="0"/>
        <w:rPr>
          <w:b/>
          <w:bCs/>
          <w:sz w:val="28"/>
          <w:szCs w:val="28"/>
        </w:rPr>
      </w:pPr>
      <w:r>
        <w:rPr>
          <w:rFonts w:hint="eastAsia" w:ascii="宋体" w:hAnsi="宋体" w:eastAsia="宋体" w:cs="宋体"/>
          <w:b/>
          <w:bCs/>
          <w:sz w:val="28"/>
          <w:szCs w:val="28"/>
        </w:rPr>
        <w:t>表一、</w:t>
      </w:r>
      <w:r>
        <w:rPr>
          <w:rFonts w:ascii="宋体" w:hAnsi="宋体" w:eastAsia="宋体" w:cs="宋体"/>
          <w:b/>
          <w:bCs/>
          <w:sz w:val="28"/>
          <w:szCs w:val="28"/>
        </w:rPr>
        <w:t>项目概况、验收依据及评价标准</w:t>
      </w:r>
    </w:p>
    <w:tbl>
      <w:tblPr>
        <w:tblStyle w:val="29"/>
        <w:tblW w:w="946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75"/>
        <w:gridCol w:w="2645"/>
        <w:gridCol w:w="2160"/>
        <w:gridCol w:w="1155"/>
        <w:gridCol w:w="870"/>
        <w:gridCol w:w="958"/>
      </w:tblGrid>
      <w:tr w14:paraId="6C8B1D0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8" w:space="0"/>
              <w:left w:val="single" w:color="auto" w:sz="8" w:space="0"/>
              <w:bottom w:val="single" w:color="auto" w:sz="4" w:space="0"/>
              <w:right w:val="single" w:color="auto" w:sz="4" w:space="0"/>
            </w:tcBorders>
            <w:vAlign w:val="center"/>
          </w:tcPr>
          <w:p w14:paraId="520F8ABC">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建设项目名称</w:t>
            </w:r>
          </w:p>
        </w:tc>
        <w:tc>
          <w:tcPr>
            <w:tcW w:w="7788" w:type="dxa"/>
            <w:gridSpan w:val="5"/>
            <w:tcBorders>
              <w:top w:val="single" w:color="auto" w:sz="8" w:space="0"/>
              <w:left w:val="single" w:color="auto" w:sz="4" w:space="0"/>
              <w:bottom w:val="single" w:color="auto" w:sz="4" w:space="0"/>
              <w:right w:val="single" w:color="auto" w:sz="8" w:space="0"/>
            </w:tcBorders>
            <w:vAlign w:val="center"/>
          </w:tcPr>
          <w:p w14:paraId="394A2570">
            <w:pPr>
              <w:widowControl/>
              <w:rPr>
                <w:rFonts w:ascii="Times New Roman" w:hAnsi="Times New Roman" w:eastAsia="宋体" w:cs="Times New Roman"/>
                <w:sz w:val="24"/>
              </w:rPr>
            </w:pPr>
            <w:r>
              <w:rPr>
                <w:rFonts w:hint="default" w:ascii="Times New Roman" w:hAnsi="Times New Roman" w:cs="Times New Roman"/>
                <w:sz w:val="24"/>
                <w:szCs w:val="24"/>
              </w:rPr>
              <w:t>年产60000平方米冷库保温板项目</w:t>
            </w:r>
          </w:p>
        </w:tc>
      </w:tr>
      <w:tr w14:paraId="2B49BE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2FE6034B">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建设单位名称</w:t>
            </w:r>
          </w:p>
        </w:tc>
        <w:tc>
          <w:tcPr>
            <w:tcW w:w="7788" w:type="dxa"/>
            <w:gridSpan w:val="5"/>
            <w:tcBorders>
              <w:top w:val="single" w:color="auto" w:sz="4" w:space="0"/>
              <w:left w:val="single" w:color="auto" w:sz="4" w:space="0"/>
              <w:bottom w:val="single" w:color="auto" w:sz="4" w:space="0"/>
              <w:right w:val="single" w:color="auto" w:sz="8" w:space="0"/>
            </w:tcBorders>
            <w:vAlign w:val="center"/>
          </w:tcPr>
          <w:p w14:paraId="26191510">
            <w:pPr>
              <w:widowControl/>
              <w:rPr>
                <w:rFonts w:ascii="Times New Roman" w:hAnsi="Times New Roman" w:eastAsia="宋体" w:cs="Times New Roman"/>
                <w:sz w:val="24"/>
              </w:rPr>
            </w:pPr>
            <w:r>
              <w:rPr>
                <w:rFonts w:hint="default" w:ascii="Times New Roman" w:hAnsi="Times New Roman" w:cs="Times New Roman"/>
                <w:sz w:val="24"/>
                <w:szCs w:val="24"/>
              </w:rPr>
              <w:t>海南良雪制冷设备有限公司</w:t>
            </w:r>
          </w:p>
        </w:tc>
      </w:tr>
      <w:tr w14:paraId="1454CB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472BD2AA">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建设项目性质</w:t>
            </w:r>
          </w:p>
        </w:tc>
        <w:tc>
          <w:tcPr>
            <w:tcW w:w="7788" w:type="dxa"/>
            <w:gridSpan w:val="5"/>
            <w:tcBorders>
              <w:top w:val="single" w:color="auto" w:sz="4" w:space="0"/>
              <w:left w:val="single" w:color="auto" w:sz="4" w:space="0"/>
              <w:bottom w:val="single" w:color="auto" w:sz="4" w:space="0"/>
              <w:right w:val="single" w:color="auto" w:sz="8" w:space="0"/>
            </w:tcBorders>
            <w:vAlign w:val="center"/>
          </w:tcPr>
          <w:p w14:paraId="773DAE4E">
            <w:pPr>
              <w:widowControl/>
              <w:rPr>
                <w:rFonts w:ascii="Times New Roman" w:hAnsi="Times New Roman" w:eastAsia="宋体" w:cs="Times New Roman"/>
                <w:sz w:val="24"/>
              </w:rPr>
            </w:pPr>
            <w:r>
              <w:rPr>
                <w:rFonts w:hint="eastAsia" w:ascii="Times New Roman" w:hAnsi="Times New Roman" w:eastAsia="宋体" w:cs="Times New Roman"/>
                <w:sz w:val="24"/>
              </w:rPr>
              <w:t>新</w:t>
            </w:r>
            <w:r>
              <w:rPr>
                <w:rFonts w:ascii="Times New Roman" w:hAnsi="Times New Roman" w:eastAsia="宋体" w:cs="Times New Roman"/>
                <w:sz w:val="24"/>
              </w:rPr>
              <w:t>建</w:t>
            </w:r>
          </w:p>
        </w:tc>
      </w:tr>
      <w:tr w14:paraId="500C8C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140C7CB3">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建设地点</w:t>
            </w:r>
          </w:p>
        </w:tc>
        <w:tc>
          <w:tcPr>
            <w:tcW w:w="7788" w:type="dxa"/>
            <w:gridSpan w:val="5"/>
            <w:tcBorders>
              <w:top w:val="single" w:color="auto" w:sz="4" w:space="0"/>
              <w:left w:val="single" w:color="auto" w:sz="4" w:space="0"/>
              <w:bottom w:val="single" w:color="auto" w:sz="4" w:space="0"/>
              <w:right w:val="single" w:color="auto" w:sz="8" w:space="0"/>
            </w:tcBorders>
            <w:vAlign w:val="center"/>
          </w:tcPr>
          <w:p w14:paraId="3E1894AD">
            <w:pPr>
              <w:widowControl/>
              <w:rPr>
                <w:rFonts w:ascii="Times New Roman" w:hAnsi="Times New Roman" w:eastAsia="宋体" w:cs="Times New Roman"/>
                <w:sz w:val="24"/>
              </w:rPr>
            </w:pPr>
            <w:r>
              <w:rPr>
                <w:rFonts w:hint="default" w:ascii="Times New Roman" w:hAnsi="Times New Roman" w:eastAsia="宋体" w:cs="Times New Roman"/>
                <w:bCs/>
                <w:sz w:val="24"/>
                <w:szCs w:val="24"/>
                <w:highlight w:val="none"/>
                <w:lang w:val="en-US" w:eastAsia="zh-CN"/>
              </w:rPr>
              <w:t>海南省澄迈县老城</w:t>
            </w:r>
            <w:r>
              <w:rPr>
                <w:rFonts w:hint="eastAsia" w:ascii="Times New Roman" w:hAnsi="Times New Roman" w:eastAsia="宋体" w:cs="Times New Roman"/>
                <w:bCs/>
                <w:sz w:val="24"/>
                <w:szCs w:val="24"/>
                <w:highlight w:val="none"/>
                <w:lang w:val="en-US" w:eastAsia="zh-CN"/>
              </w:rPr>
              <w:t>科技新城南一环路与</w:t>
            </w:r>
            <w:r>
              <w:rPr>
                <w:rFonts w:hint="default" w:ascii="Times New Roman" w:hAnsi="Times New Roman" w:eastAsia="宋体" w:cs="Times New Roman"/>
                <w:bCs/>
                <w:sz w:val="24"/>
                <w:szCs w:val="24"/>
                <w:highlight w:val="none"/>
                <w:lang w:val="en-US" w:eastAsia="zh-CN"/>
              </w:rPr>
              <w:t>美朗</w:t>
            </w:r>
            <w:r>
              <w:rPr>
                <w:rFonts w:hint="eastAsia" w:ascii="Times New Roman" w:hAnsi="Times New Roman" w:eastAsia="宋体" w:cs="Times New Roman"/>
                <w:bCs/>
                <w:sz w:val="24"/>
                <w:szCs w:val="24"/>
                <w:highlight w:val="none"/>
                <w:lang w:val="en-US" w:eastAsia="zh-CN"/>
              </w:rPr>
              <w:t>南</w:t>
            </w:r>
            <w:r>
              <w:rPr>
                <w:rFonts w:hint="default" w:ascii="Times New Roman" w:hAnsi="Times New Roman" w:eastAsia="宋体" w:cs="Times New Roman"/>
                <w:bCs/>
                <w:sz w:val="24"/>
                <w:szCs w:val="24"/>
                <w:highlight w:val="none"/>
                <w:lang w:val="en-US" w:eastAsia="zh-CN"/>
              </w:rPr>
              <w:t>路</w:t>
            </w:r>
            <w:r>
              <w:rPr>
                <w:rFonts w:hint="eastAsia" w:ascii="Times New Roman" w:hAnsi="Times New Roman" w:eastAsia="宋体" w:cs="Times New Roman"/>
                <w:bCs/>
                <w:sz w:val="24"/>
                <w:szCs w:val="24"/>
                <w:highlight w:val="none"/>
                <w:lang w:val="en-US" w:eastAsia="zh-CN"/>
              </w:rPr>
              <w:t>交汇处西北</w:t>
            </w:r>
            <w:r>
              <w:rPr>
                <w:rFonts w:hint="default" w:ascii="Times New Roman" w:hAnsi="Times New Roman" w:eastAsia="宋体" w:cs="Times New Roman"/>
                <w:bCs/>
                <w:sz w:val="24"/>
                <w:szCs w:val="24"/>
                <w:highlight w:val="none"/>
                <w:lang w:val="en-US" w:eastAsia="zh-CN"/>
              </w:rPr>
              <w:t>侧</w:t>
            </w:r>
          </w:p>
        </w:tc>
      </w:tr>
      <w:tr w14:paraId="1E2E36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0C81CFFE">
            <w:pPr>
              <w:widowControl/>
              <w:jc w:val="center"/>
              <w:rPr>
                <w:rFonts w:ascii="Times New Roman" w:hAnsi="Times New Roman" w:eastAsia="宋体" w:cs="Times New Roman"/>
                <w:sz w:val="24"/>
              </w:rPr>
            </w:pPr>
            <w:r>
              <w:rPr>
                <w:rFonts w:ascii="Times New Roman" w:hAnsi="Times New Roman" w:eastAsia="宋体" w:cs="Times New Roman"/>
                <w:sz w:val="24"/>
                <w:lang w:bidi="ar"/>
              </w:rPr>
              <w:t>主要产品名称</w:t>
            </w:r>
          </w:p>
        </w:tc>
        <w:tc>
          <w:tcPr>
            <w:tcW w:w="7788" w:type="dxa"/>
            <w:gridSpan w:val="5"/>
            <w:tcBorders>
              <w:top w:val="single" w:color="auto" w:sz="4" w:space="0"/>
              <w:left w:val="single" w:color="auto" w:sz="4" w:space="0"/>
              <w:bottom w:val="single" w:color="auto" w:sz="4" w:space="0"/>
              <w:right w:val="single" w:color="auto" w:sz="8" w:space="0"/>
            </w:tcBorders>
            <w:vAlign w:val="center"/>
          </w:tcPr>
          <w:p w14:paraId="6B14F5FF">
            <w:pPr>
              <w:adjustRightInd w:val="0"/>
              <w:snapToGrid w:val="0"/>
              <w:rPr>
                <w:rFonts w:ascii="Times New Roman" w:hAnsi="Times New Roman" w:eastAsia="宋体" w:cs="Times New Roman"/>
                <w:sz w:val="24"/>
              </w:rPr>
            </w:pPr>
            <w:r>
              <w:rPr>
                <w:rFonts w:hint="eastAsia" w:ascii="Times New Roman" w:hAnsi="Times New Roman" w:eastAsia="宋体" w:cs="Times New Roman"/>
                <w:color w:val="000000"/>
                <w:kern w:val="0"/>
                <w:sz w:val="24"/>
                <w:szCs w:val="24"/>
                <w:lang w:val="en-US" w:eastAsia="zh-CN" w:bidi="ar"/>
              </w:rPr>
              <w:t>冷库聚氨酯保温板</w:t>
            </w:r>
          </w:p>
        </w:tc>
      </w:tr>
      <w:tr w14:paraId="717097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6DF5E6B7">
            <w:pPr>
              <w:widowControl/>
              <w:jc w:val="center"/>
              <w:rPr>
                <w:rFonts w:ascii="Times New Roman" w:hAnsi="Times New Roman" w:eastAsia="宋体" w:cs="Times New Roman"/>
                <w:sz w:val="24"/>
              </w:rPr>
            </w:pPr>
            <w:r>
              <w:rPr>
                <w:rFonts w:ascii="Times New Roman" w:hAnsi="Times New Roman" w:eastAsia="宋体" w:cs="Times New Roman"/>
                <w:sz w:val="24"/>
                <w:lang w:bidi="ar"/>
              </w:rPr>
              <w:t>设计生产能力</w:t>
            </w:r>
          </w:p>
        </w:tc>
        <w:tc>
          <w:tcPr>
            <w:tcW w:w="7788" w:type="dxa"/>
            <w:gridSpan w:val="5"/>
            <w:tcBorders>
              <w:top w:val="single" w:color="auto" w:sz="4" w:space="0"/>
              <w:left w:val="single" w:color="auto" w:sz="4" w:space="0"/>
              <w:bottom w:val="single" w:color="auto" w:sz="4" w:space="0"/>
              <w:right w:val="single" w:color="auto" w:sz="8" w:space="0"/>
            </w:tcBorders>
            <w:vAlign w:val="center"/>
          </w:tcPr>
          <w:p w14:paraId="0DA0EB53">
            <w:pPr>
              <w:widowControl/>
              <w:rPr>
                <w:rFonts w:ascii="Times New Roman" w:hAnsi="Times New Roman" w:eastAsia="宋体" w:cs="Times New Roman"/>
                <w:sz w:val="24"/>
              </w:rPr>
            </w:pPr>
            <w:r>
              <w:rPr>
                <w:rFonts w:hint="eastAsia" w:ascii="Times New Roman" w:hAnsi="Times New Roman" w:eastAsia="宋体" w:cs="Times New Roman"/>
                <w:color w:val="000000"/>
                <w:kern w:val="0"/>
                <w:sz w:val="24"/>
                <w:szCs w:val="24"/>
                <w:lang w:val="en-US" w:eastAsia="zh-CN" w:bidi="ar"/>
              </w:rPr>
              <w:t>每年6万平方米（约</w:t>
            </w:r>
            <w:r>
              <w:rPr>
                <w:rFonts w:hint="eastAsia" w:ascii="Times New Roman" w:hAnsi="Times New Roman" w:eastAsia="宋体" w:cs="Times New Roman"/>
                <w:color w:val="000000"/>
                <w:kern w:val="0"/>
                <w:sz w:val="24"/>
                <w:szCs w:val="24"/>
                <w:highlight w:val="none"/>
                <w:lang w:val="en-US" w:eastAsia="zh-CN" w:bidi="ar"/>
              </w:rPr>
              <w:t>6050m</w:t>
            </w:r>
            <w:r>
              <w:rPr>
                <w:rFonts w:hint="eastAsia" w:ascii="Times New Roman" w:hAnsi="Times New Roman" w:eastAsia="宋体" w:cs="Times New Roman"/>
                <w:color w:val="000000"/>
                <w:kern w:val="0"/>
                <w:sz w:val="24"/>
                <w:szCs w:val="24"/>
                <w:highlight w:val="none"/>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/a</w:t>
            </w:r>
            <w:r>
              <w:rPr>
                <w:rFonts w:hint="eastAsia" w:ascii="Times New Roman" w:hAnsi="Times New Roman" w:eastAsia="宋体" w:cs="Times New Roman"/>
                <w:color w:val="000000"/>
                <w:kern w:val="0"/>
                <w:sz w:val="24"/>
                <w:szCs w:val="24"/>
                <w:lang w:val="en-US" w:eastAsia="zh-CN" w:bidi="ar"/>
              </w:rPr>
              <w:t>）</w:t>
            </w:r>
          </w:p>
        </w:tc>
      </w:tr>
      <w:tr w14:paraId="52CF4A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0780876F">
            <w:pPr>
              <w:widowControl/>
              <w:jc w:val="center"/>
              <w:rPr>
                <w:rFonts w:ascii="Times New Roman" w:hAnsi="Times New Roman" w:eastAsia="宋体" w:cs="Times New Roman"/>
                <w:sz w:val="24"/>
              </w:rPr>
            </w:pPr>
            <w:r>
              <w:rPr>
                <w:rFonts w:ascii="Times New Roman" w:hAnsi="Times New Roman" w:eastAsia="宋体" w:cs="Times New Roman"/>
                <w:sz w:val="24"/>
                <w:lang w:bidi="ar"/>
              </w:rPr>
              <w:t>实际生产</w:t>
            </w:r>
            <w:r>
              <w:rPr>
                <w:rFonts w:hint="eastAsia" w:ascii="Times New Roman" w:hAnsi="Times New Roman" w:eastAsia="宋体" w:cs="Times New Roman"/>
                <w:sz w:val="24"/>
                <w:lang w:bidi="ar"/>
              </w:rPr>
              <w:t>规模</w:t>
            </w:r>
          </w:p>
        </w:tc>
        <w:tc>
          <w:tcPr>
            <w:tcW w:w="7788" w:type="dxa"/>
            <w:gridSpan w:val="5"/>
            <w:tcBorders>
              <w:top w:val="single" w:color="auto" w:sz="4" w:space="0"/>
              <w:left w:val="single" w:color="auto" w:sz="4" w:space="0"/>
              <w:bottom w:val="single" w:color="auto" w:sz="4" w:space="0"/>
              <w:right w:val="single" w:color="auto" w:sz="8" w:space="0"/>
            </w:tcBorders>
            <w:vAlign w:val="center"/>
          </w:tcPr>
          <w:p w14:paraId="68D87361">
            <w:pPr>
              <w:widowControl/>
              <w:rPr>
                <w:rFonts w:ascii="Times New Roman" w:hAnsi="Times New Roman" w:eastAsia="宋体" w:cs="Times New Roman"/>
                <w:sz w:val="24"/>
              </w:rPr>
            </w:pPr>
            <w:r>
              <w:rPr>
                <w:rFonts w:hint="eastAsia" w:ascii="Times New Roman" w:hAnsi="Times New Roman" w:eastAsia="宋体" w:cs="Times New Roman"/>
                <w:color w:val="000000"/>
                <w:kern w:val="0"/>
                <w:sz w:val="24"/>
                <w:szCs w:val="24"/>
                <w:lang w:val="en-US" w:eastAsia="zh-CN" w:bidi="ar"/>
              </w:rPr>
              <w:t>每年6万平方米（约</w:t>
            </w:r>
            <w:r>
              <w:rPr>
                <w:rFonts w:hint="eastAsia" w:ascii="Times New Roman" w:hAnsi="Times New Roman" w:eastAsia="宋体" w:cs="Times New Roman"/>
                <w:color w:val="000000"/>
                <w:kern w:val="0"/>
                <w:sz w:val="24"/>
                <w:szCs w:val="24"/>
                <w:highlight w:val="none"/>
                <w:lang w:val="en-US" w:eastAsia="zh-CN" w:bidi="ar"/>
              </w:rPr>
              <w:t>6050m</w:t>
            </w:r>
            <w:r>
              <w:rPr>
                <w:rFonts w:hint="eastAsia" w:ascii="Times New Roman" w:hAnsi="Times New Roman" w:eastAsia="宋体" w:cs="Times New Roman"/>
                <w:color w:val="000000"/>
                <w:kern w:val="0"/>
                <w:sz w:val="24"/>
                <w:szCs w:val="24"/>
                <w:highlight w:val="none"/>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/a</w:t>
            </w:r>
            <w:r>
              <w:rPr>
                <w:rFonts w:hint="eastAsia" w:ascii="Times New Roman" w:hAnsi="Times New Roman" w:eastAsia="宋体" w:cs="Times New Roman"/>
                <w:color w:val="000000"/>
                <w:kern w:val="0"/>
                <w:sz w:val="24"/>
                <w:szCs w:val="24"/>
                <w:lang w:val="en-US" w:eastAsia="zh-CN" w:bidi="ar"/>
              </w:rPr>
              <w:t>）</w:t>
            </w:r>
          </w:p>
        </w:tc>
      </w:tr>
      <w:tr w14:paraId="2C44A5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75597BB6">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建设项目</w:t>
            </w:r>
          </w:p>
          <w:p w14:paraId="04EBF9E5">
            <w:pPr>
              <w:widowControl/>
              <w:jc w:val="center"/>
              <w:rPr>
                <w:rFonts w:ascii="Times New Roman" w:hAnsi="Times New Roman" w:eastAsia="宋体" w:cs="Times New Roman"/>
                <w:sz w:val="24"/>
              </w:rPr>
            </w:pPr>
            <w:r>
              <w:rPr>
                <w:rFonts w:ascii="Times New Roman" w:hAnsi="Times New Roman" w:eastAsia="宋体" w:cs="Times New Roman"/>
                <w:sz w:val="24"/>
                <w:lang w:bidi="ar"/>
              </w:rPr>
              <w:t>环评时间</w:t>
            </w:r>
          </w:p>
        </w:tc>
        <w:tc>
          <w:tcPr>
            <w:tcW w:w="2645" w:type="dxa"/>
            <w:tcBorders>
              <w:top w:val="single" w:color="auto" w:sz="4" w:space="0"/>
              <w:left w:val="single" w:color="auto" w:sz="4" w:space="0"/>
              <w:bottom w:val="single" w:color="auto" w:sz="4" w:space="0"/>
              <w:right w:val="single" w:color="auto" w:sz="4" w:space="0"/>
            </w:tcBorders>
            <w:vAlign w:val="center"/>
          </w:tcPr>
          <w:p w14:paraId="6BDE7492">
            <w:pPr>
              <w:widowControl/>
              <w:jc w:val="center"/>
              <w:rPr>
                <w:rFonts w:ascii="Times New Roman" w:hAnsi="Times New Roman" w:eastAsia="宋体" w:cs="Times New Roman"/>
                <w:sz w:val="24"/>
              </w:rPr>
            </w:pPr>
            <w:r>
              <w:rPr>
                <w:rFonts w:ascii="Times New Roman" w:hAnsi="Times New Roman" w:eastAsia="宋体" w:cs="Times New Roman"/>
                <w:sz w:val="24"/>
              </w:rPr>
              <w:t>20</w:t>
            </w:r>
            <w:r>
              <w:rPr>
                <w:rFonts w:hint="eastAsia" w:ascii="Times New Roman" w:hAnsi="Times New Roman" w:eastAsia="宋体" w:cs="Times New Roman"/>
                <w:sz w:val="24"/>
              </w:rPr>
              <w:t>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2</w:t>
            </w:r>
            <w:r>
              <w:rPr>
                <w:rFonts w:ascii="Times New Roman" w:hAnsi="Times New Roman" w:eastAsia="宋体" w:cs="Times New Roman"/>
                <w:sz w:val="24"/>
              </w:rPr>
              <w:t>月</w:t>
            </w:r>
          </w:p>
        </w:tc>
        <w:tc>
          <w:tcPr>
            <w:tcW w:w="2160" w:type="dxa"/>
            <w:tcBorders>
              <w:top w:val="single" w:color="auto" w:sz="4" w:space="0"/>
              <w:left w:val="single" w:color="auto" w:sz="4" w:space="0"/>
              <w:bottom w:val="single" w:color="auto" w:sz="4" w:space="0"/>
              <w:right w:val="single" w:color="auto" w:sz="4" w:space="0"/>
            </w:tcBorders>
            <w:vAlign w:val="center"/>
          </w:tcPr>
          <w:p w14:paraId="502AEF96">
            <w:pPr>
              <w:widowControl/>
              <w:jc w:val="center"/>
              <w:rPr>
                <w:rFonts w:ascii="Times New Roman" w:hAnsi="Times New Roman" w:eastAsia="宋体" w:cs="Times New Roman"/>
                <w:sz w:val="24"/>
                <w:highlight w:val="yellow"/>
              </w:rPr>
            </w:pPr>
            <w:r>
              <w:rPr>
                <w:rFonts w:ascii="Times New Roman" w:hAnsi="Times New Roman" w:eastAsia="宋体" w:cs="Times New Roman"/>
                <w:sz w:val="24"/>
                <w:lang w:bidi="ar"/>
              </w:rPr>
              <w:t>开工建设时间</w:t>
            </w:r>
          </w:p>
        </w:tc>
        <w:tc>
          <w:tcPr>
            <w:tcW w:w="2983" w:type="dxa"/>
            <w:gridSpan w:val="3"/>
            <w:tcBorders>
              <w:top w:val="single" w:color="auto" w:sz="4" w:space="0"/>
              <w:left w:val="single" w:color="auto" w:sz="4" w:space="0"/>
              <w:bottom w:val="single" w:color="auto" w:sz="4" w:space="0"/>
              <w:right w:val="single" w:color="auto" w:sz="8" w:space="0"/>
            </w:tcBorders>
            <w:vAlign w:val="center"/>
          </w:tcPr>
          <w:p w14:paraId="1A3632B9">
            <w:pPr>
              <w:widowControl/>
              <w:jc w:val="center"/>
              <w:rPr>
                <w:rFonts w:ascii="Times New Roman" w:hAnsi="Times New Roman" w:eastAsia="宋体" w:cs="Times New Roman"/>
                <w:sz w:val="24"/>
                <w:lang w:bidi="ar"/>
              </w:rPr>
            </w:pPr>
            <w:r>
              <w:rPr>
                <w:rFonts w:ascii="Times New Roman" w:hAnsi="Times New Roman" w:eastAsia="宋体" w:cs="Times New Roman"/>
                <w:sz w:val="24"/>
              </w:rPr>
              <w:t>20</w:t>
            </w:r>
            <w:r>
              <w:rPr>
                <w:rFonts w:hint="eastAsia" w:ascii="Times New Roman" w:hAnsi="Times New Roman" w:eastAsia="宋体" w:cs="Times New Roman"/>
                <w:sz w:val="24"/>
              </w:rPr>
              <w:t>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2</w:t>
            </w:r>
            <w:r>
              <w:rPr>
                <w:rFonts w:ascii="Times New Roman" w:hAnsi="Times New Roman" w:eastAsia="宋体" w:cs="Times New Roman"/>
                <w:sz w:val="24"/>
              </w:rPr>
              <w:t>月</w:t>
            </w:r>
          </w:p>
        </w:tc>
      </w:tr>
      <w:tr w14:paraId="7A8D07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609D0EFE">
            <w:pPr>
              <w:widowControl/>
              <w:jc w:val="center"/>
              <w:rPr>
                <w:rFonts w:ascii="Times New Roman" w:hAnsi="Times New Roman" w:eastAsia="宋体" w:cs="Times New Roman"/>
                <w:sz w:val="24"/>
              </w:rPr>
            </w:pPr>
            <w:r>
              <w:rPr>
                <w:rFonts w:ascii="Times New Roman" w:hAnsi="Times New Roman" w:eastAsia="宋体" w:cs="Times New Roman"/>
                <w:sz w:val="24"/>
                <w:lang w:bidi="ar"/>
              </w:rPr>
              <w:t>调试时间</w:t>
            </w:r>
          </w:p>
        </w:tc>
        <w:tc>
          <w:tcPr>
            <w:tcW w:w="2645" w:type="dxa"/>
            <w:tcBorders>
              <w:top w:val="single" w:color="auto" w:sz="4" w:space="0"/>
              <w:left w:val="single" w:color="auto" w:sz="4" w:space="0"/>
              <w:bottom w:val="single" w:color="auto" w:sz="4" w:space="0"/>
              <w:right w:val="single" w:color="auto" w:sz="4" w:space="0"/>
            </w:tcBorders>
            <w:vAlign w:val="center"/>
          </w:tcPr>
          <w:p w14:paraId="04550716">
            <w:pPr>
              <w:widowControl/>
              <w:jc w:val="center"/>
              <w:rPr>
                <w:rFonts w:ascii="Times New Roman" w:hAnsi="Times New Roman" w:eastAsia="宋体" w:cs="Times New Roman"/>
                <w:sz w:val="24"/>
              </w:rPr>
            </w:pPr>
            <w:r>
              <w:rPr>
                <w:rFonts w:ascii="Times New Roman" w:hAnsi="Times New Roman" w:eastAsia="宋体" w:cs="Times New Roman"/>
                <w:sz w:val="24"/>
              </w:rPr>
              <w:t>20</w:t>
            </w:r>
            <w:r>
              <w:rPr>
                <w:rFonts w:hint="eastAsia" w:ascii="Times New Roman" w:hAnsi="Times New Roman" w:eastAsia="宋体" w:cs="Times New Roman"/>
                <w:sz w:val="24"/>
              </w:rPr>
              <w:t>2</w:t>
            </w:r>
            <w:r>
              <w:rPr>
                <w:rFonts w:hint="eastAsia" w:ascii="Times New Roman" w:hAnsi="Times New Roman" w:eastAsia="宋体" w:cs="Times New Roman"/>
                <w:sz w:val="24"/>
                <w:lang w:val="en-US" w:eastAsia="zh-CN"/>
              </w:rPr>
              <w:t>5</w:t>
            </w:r>
            <w:r>
              <w:rPr>
                <w:rFonts w:ascii="Times New Roman" w:hAnsi="Times New Roman" w:eastAsia="宋体" w:cs="Times New Roman"/>
                <w:sz w:val="24"/>
              </w:rPr>
              <w:t>年</w:t>
            </w:r>
            <w:r>
              <w:rPr>
                <w:rFonts w:hint="eastAsia" w:ascii="Times New Roman" w:hAnsi="Times New Roman" w:eastAsia="宋体" w:cs="Times New Roman"/>
                <w:sz w:val="24"/>
                <w:lang w:val="en-US" w:eastAsia="zh-CN"/>
              </w:rPr>
              <w:t>2</w:t>
            </w:r>
            <w:r>
              <w:rPr>
                <w:rFonts w:hint="eastAsia" w:ascii="Times New Roman" w:hAnsi="Times New Roman" w:eastAsia="宋体" w:cs="Times New Roman"/>
                <w:sz w:val="24"/>
              </w:rPr>
              <w:t>-</w:t>
            </w:r>
            <w:r>
              <w:rPr>
                <w:rFonts w:hint="eastAsia" w:ascii="Times New Roman" w:hAnsi="Times New Roman" w:eastAsia="宋体" w:cs="Times New Roman"/>
                <w:sz w:val="24"/>
                <w:lang w:val="en-US" w:eastAsia="zh-CN"/>
              </w:rPr>
              <w:t>4</w:t>
            </w:r>
            <w:r>
              <w:rPr>
                <w:rFonts w:ascii="Times New Roman" w:hAnsi="Times New Roman" w:eastAsia="宋体" w:cs="Times New Roman"/>
                <w:sz w:val="24"/>
              </w:rPr>
              <w:t>月</w:t>
            </w:r>
          </w:p>
        </w:tc>
        <w:tc>
          <w:tcPr>
            <w:tcW w:w="2160" w:type="dxa"/>
            <w:tcBorders>
              <w:top w:val="single" w:color="auto" w:sz="4" w:space="0"/>
              <w:left w:val="single" w:color="auto" w:sz="4" w:space="0"/>
              <w:bottom w:val="single" w:color="auto" w:sz="4" w:space="0"/>
              <w:right w:val="single" w:color="auto" w:sz="4" w:space="0"/>
            </w:tcBorders>
            <w:vAlign w:val="center"/>
          </w:tcPr>
          <w:p w14:paraId="4CFD7E2E">
            <w:pPr>
              <w:widowControl/>
              <w:jc w:val="center"/>
              <w:rPr>
                <w:rFonts w:ascii="Times New Roman" w:hAnsi="Times New Roman" w:eastAsia="宋体" w:cs="Times New Roman"/>
                <w:sz w:val="24"/>
                <w:highlight w:val="yellow"/>
              </w:rPr>
            </w:pPr>
            <w:r>
              <w:rPr>
                <w:rFonts w:ascii="Times New Roman" w:hAnsi="Times New Roman" w:eastAsia="宋体" w:cs="Times New Roman"/>
                <w:sz w:val="24"/>
                <w:lang w:bidi="ar"/>
              </w:rPr>
              <w:t>验收现场监测时间</w:t>
            </w:r>
          </w:p>
        </w:tc>
        <w:tc>
          <w:tcPr>
            <w:tcW w:w="2983" w:type="dxa"/>
            <w:gridSpan w:val="3"/>
            <w:tcBorders>
              <w:top w:val="single" w:color="auto" w:sz="4" w:space="0"/>
              <w:left w:val="single" w:color="auto" w:sz="4" w:space="0"/>
              <w:bottom w:val="single" w:color="auto" w:sz="4" w:space="0"/>
              <w:right w:val="single" w:color="auto" w:sz="8" w:space="0"/>
            </w:tcBorders>
            <w:vAlign w:val="center"/>
          </w:tcPr>
          <w:p w14:paraId="33DE847A">
            <w:pPr>
              <w:widowControl/>
              <w:jc w:val="center"/>
              <w:rPr>
                <w:rFonts w:ascii="Times New Roman" w:hAnsi="Times New Roman" w:eastAsia="宋体" w:cs="Times New Roman"/>
                <w:sz w:val="24"/>
                <w:lang w:bidi="ar"/>
              </w:rPr>
            </w:pPr>
            <w:r>
              <w:rPr>
                <w:rFonts w:ascii="Times New Roman" w:hAnsi="Times New Roman" w:eastAsia="宋体" w:cs="Times New Roman"/>
                <w:sz w:val="24"/>
                <w:highlight w:val="none"/>
              </w:rPr>
              <w:t>202</w:t>
            </w:r>
            <w:r>
              <w:rPr>
                <w:rFonts w:hint="eastAsia" w:ascii="Times New Roman" w:hAnsi="Times New Roman" w:eastAsia="宋体" w:cs="Times New Roman"/>
                <w:sz w:val="24"/>
                <w:highlight w:val="none"/>
                <w:lang w:val="en-US" w:eastAsia="zh-CN"/>
              </w:rPr>
              <w:t>5</w:t>
            </w:r>
            <w:r>
              <w:rPr>
                <w:rFonts w:ascii="Times New Roman" w:hAnsi="Times New Roman" w:eastAsia="宋体" w:cs="Times New Roman"/>
                <w:sz w:val="24"/>
                <w:highlight w:val="none"/>
              </w:rPr>
              <w:t>年</w:t>
            </w:r>
            <w:r>
              <w:rPr>
                <w:rFonts w:hint="eastAsia" w:ascii="Times New Roman" w:hAnsi="Times New Roman" w:eastAsia="宋体" w:cs="Times New Roman"/>
                <w:sz w:val="24"/>
                <w:highlight w:val="none"/>
                <w:lang w:val="en-US" w:eastAsia="zh-CN"/>
              </w:rPr>
              <w:t>4</w:t>
            </w:r>
            <w:r>
              <w:rPr>
                <w:rFonts w:ascii="Times New Roman" w:hAnsi="Times New Roman" w:eastAsia="宋体" w:cs="Times New Roman"/>
                <w:sz w:val="24"/>
                <w:highlight w:val="none"/>
              </w:rPr>
              <w:t>月</w:t>
            </w:r>
            <w:r>
              <w:rPr>
                <w:rFonts w:hint="eastAsia" w:ascii="Times New Roman" w:hAnsi="Times New Roman" w:eastAsia="宋体" w:cs="Times New Roman"/>
                <w:sz w:val="24"/>
                <w:highlight w:val="none"/>
              </w:rPr>
              <w:t>1</w:t>
            </w:r>
            <w:r>
              <w:rPr>
                <w:rFonts w:hint="eastAsia" w:ascii="Times New Roman" w:hAnsi="Times New Roman" w:eastAsia="宋体" w:cs="Times New Roman"/>
                <w:sz w:val="24"/>
                <w:highlight w:val="none"/>
                <w:lang w:val="en-US" w:eastAsia="zh-CN"/>
              </w:rPr>
              <w:t>7</w:t>
            </w:r>
            <w:r>
              <w:rPr>
                <w:rFonts w:ascii="Times New Roman" w:hAnsi="Times New Roman" w:eastAsia="宋体" w:cs="Times New Roman"/>
                <w:sz w:val="24"/>
                <w:highlight w:val="none"/>
              </w:rPr>
              <w:t>-</w:t>
            </w:r>
            <w:r>
              <w:rPr>
                <w:rFonts w:hint="eastAsia" w:ascii="Times New Roman" w:hAnsi="Times New Roman" w:eastAsia="宋体" w:cs="Times New Roman"/>
                <w:sz w:val="24"/>
                <w:highlight w:val="none"/>
                <w:lang w:val="en-US" w:eastAsia="zh-CN"/>
              </w:rPr>
              <w:t>18</w:t>
            </w:r>
            <w:r>
              <w:rPr>
                <w:rFonts w:ascii="Times New Roman" w:hAnsi="Times New Roman" w:eastAsia="宋体" w:cs="Times New Roman"/>
                <w:sz w:val="24"/>
                <w:highlight w:val="none"/>
              </w:rPr>
              <w:t>日</w:t>
            </w:r>
          </w:p>
        </w:tc>
      </w:tr>
      <w:tr w14:paraId="7D6BF9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0F534EB2">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环评报告表</w:t>
            </w:r>
          </w:p>
          <w:p w14:paraId="09FEAA28">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审批部门</w:t>
            </w:r>
          </w:p>
        </w:tc>
        <w:tc>
          <w:tcPr>
            <w:tcW w:w="2645" w:type="dxa"/>
            <w:tcBorders>
              <w:top w:val="single" w:color="auto" w:sz="4" w:space="0"/>
              <w:left w:val="single" w:color="auto" w:sz="4" w:space="0"/>
              <w:bottom w:val="single" w:color="auto" w:sz="4" w:space="0"/>
              <w:right w:val="single" w:color="auto" w:sz="4" w:space="0"/>
            </w:tcBorders>
            <w:vAlign w:val="center"/>
          </w:tcPr>
          <w:p w14:paraId="09D26972">
            <w:pPr>
              <w:autoSpaceDE w:val="0"/>
              <w:autoSpaceDN w:val="0"/>
              <w:jc w:val="center"/>
              <w:rPr>
                <w:rFonts w:hint="default" w:ascii="Times New Roman" w:hAnsi="Times New Roman" w:eastAsia="宋体" w:cs="Times New Roman"/>
                <w:sz w:val="24"/>
                <w:lang w:val="en-US" w:eastAsia="zh-CN" w:bidi="ar"/>
              </w:rPr>
            </w:pPr>
            <w:r>
              <w:rPr>
                <w:rFonts w:hint="eastAsia" w:ascii="Times New Roman" w:hAnsi="Times New Roman" w:eastAsia="宋体" w:cs="Times New Roman"/>
                <w:sz w:val="24"/>
                <w:lang w:val="en-US" w:eastAsia="zh-CN" w:bidi="ar"/>
              </w:rPr>
              <w:t>澄迈县行政审批服务局</w:t>
            </w:r>
          </w:p>
        </w:tc>
        <w:tc>
          <w:tcPr>
            <w:tcW w:w="2160" w:type="dxa"/>
            <w:tcBorders>
              <w:top w:val="single" w:color="auto" w:sz="4" w:space="0"/>
              <w:left w:val="single" w:color="auto" w:sz="4" w:space="0"/>
              <w:bottom w:val="single" w:color="auto" w:sz="4" w:space="0"/>
              <w:right w:val="single" w:color="auto" w:sz="4" w:space="0"/>
            </w:tcBorders>
            <w:vAlign w:val="center"/>
          </w:tcPr>
          <w:p w14:paraId="6823F4A2">
            <w:pPr>
              <w:widowControl/>
              <w:jc w:val="center"/>
              <w:rPr>
                <w:rFonts w:ascii="Times New Roman" w:hAnsi="Times New Roman" w:eastAsia="宋体" w:cs="Times New Roman"/>
                <w:sz w:val="24"/>
              </w:rPr>
            </w:pPr>
            <w:r>
              <w:rPr>
                <w:rFonts w:ascii="Times New Roman" w:hAnsi="Times New Roman" w:eastAsia="宋体" w:cs="Times New Roman"/>
                <w:sz w:val="24"/>
                <w:lang w:bidi="ar"/>
              </w:rPr>
              <w:t>环评报告表</w:t>
            </w:r>
          </w:p>
          <w:p w14:paraId="466CC9DC">
            <w:pPr>
              <w:widowControl/>
              <w:jc w:val="center"/>
              <w:rPr>
                <w:rFonts w:ascii="Times New Roman" w:hAnsi="Times New Roman" w:eastAsia="宋体" w:cs="Times New Roman"/>
                <w:sz w:val="24"/>
              </w:rPr>
            </w:pPr>
            <w:r>
              <w:rPr>
                <w:rFonts w:ascii="Times New Roman" w:hAnsi="Times New Roman" w:eastAsia="宋体" w:cs="Times New Roman"/>
                <w:sz w:val="24"/>
                <w:lang w:bidi="ar"/>
              </w:rPr>
              <w:t>编制单位</w:t>
            </w:r>
          </w:p>
        </w:tc>
        <w:tc>
          <w:tcPr>
            <w:tcW w:w="2983" w:type="dxa"/>
            <w:gridSpan w:val="3"/>
            <w:tcBorders>
              <w:top w:val="single" w:color="auto" w:sz="4" w:space="0"/>
              <w:left w:val="single" w:color="auto" w:sz="4" w:space="0"/>
              <w:bottom w:val="single" w:color="auto" w:sz="4" w:space="0"/>
              <w:right w:val="single" w:color="auto" w:sz="8" w:space="0"/>
            </w:tcBorders>
            <w:vAlign w:val="center"/>
          </w:tcPr>
          <w:p w14:paraId="5688E30C">
            <w:pPr>
              <w:widowControl/>
              <w:jc w:val="center"/>
              <w:rPr>
                <w:rFonts w:ascii="Times New Roman" w:hAnsi="Times New Roman" w:eastAsia="宋体" w:cs="Times New Roman"/>
                <w:sz w:val="24"/>
              </w:rPr>
            </w:pPr>
            <w:r>
              <w:rPr>
                <w:rFonts w:hint="eastAsia" w:ascii="Times New Roman" w:hAnsi="Times New Roman" w:eastAsia="宋体" w:cs="Times New Roman"/>
                <w:sz w:val="24"/>
                <w:lang w:val="en-US" w:eastAsia="zh-CN"/>
              </w:rPr>
              <w:t>海南芝南</w:t>
            </w:r>
            <w:r>
              <w:rPr>
                <w:rFonts w:ascii="Times New Roman" w:hAnsi="Times New Roman" w:eastAsia="宋体" w:cs="Times New Roman"/>
                <w:sz w:val="24"/>
              </w:rPr>
              <w:t>环保科技</w:t>
            </w:r>
          </w:p>
          <w:p w14:paraId="5C7B334D">
            <w:pPr>
              <w:widowControl/>
              <w:jc w:val="center"/>
              <w:rPr>
                <w:rFonts w:ascii="Times New Roman" w:hAnsi="Times New Roman" w:eastAsia="宋体" w:cs="Times New Roman"/>
                <w:sz w:val="24"/>
              </w:rPr>
            </w:pPr>
            <w:r>
              <w:rPr>
                <w:rFonts w:ascii="Times New Roman" w:hAnsi="Times New Roman" w:eastAsia="宋体" w:cs="Times New Roman"/>
                <w:sz w:val="24"/>
              </w:rPr>
              <w:t>有限公司</w:t>
            </w:r>
          </w:p>
        </w:tc>
      </w:tr>
      <w:tr w14:paraId="5EE2F7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323E26AA">
            <w:pPr>
              <w:widowControl/>
              <w:jc w:val="center"/>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环保设施</w:t>
            </w:r>
          </w:p>
          <w:p w14:paraId="155E116A">
            <w:pPr>
              <w:widowControl/>
              <w:jc w:val="center"/>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设计单位</w:t>
            </w:r>
          </w:p>
        </w:tc>
        <w:tc>
          <w:tcPr>
            <w:tcW w:w="2645" w:type="dxa"/>
            <w:tcBorders>
              <w:top w:val="single" w:color="auto" w:sz="4" w:space="0"/>
              <w:left w:val="single" w:color="auto" w:sz="4" w:space="0"/>
              <w:bottom w:val="single" w:color="auto" w:sz="4" w:space="0"/>
              <w:right w:val="single" w:color="auto" w:sz="4" w:space="0"/>
            </w:tcBorders>
            <w:vAlign w:val="center"/>
          </w:tcPr>
          <w:p w14:paraId="0A1319A5">
            <w:pPr>
              <w:widowControl/>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海南禾汇环保科技</w:t>
            </w:r>
          </w:p>
          <w:p w14:paraId="54CED830">
            <w:pPr>
              <w:widowControl/>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有限公司</w:t>
            </w:r>
          </w:p>
        </w:tc>
        <w:tc>
          <w:tcPr>
            <w:tcW w:w="2160" w:type="dxa"/>
            <w:tcBorders>
              <w:top w:val="single" w:color="auto" w:sz="4" w:space="0"/>
              <w:left w:val="single" w:color="auto" w:sz="4" w:space="0"/>
              <w:bottom w:val="single" w:color="auto" w:sz="4" w:space="0"/>
              <w:right w:val="single" w:color="auto" w:sz="4" w:space="0"/>
            </w:tcBorders>
            <w:vAlign w:val="center"/>
          </w:tcPr>
          <w:p w14:paraId="1E488A9F">
            <w:pPr>
              <w:widowControl/>
              <w:jc w:val="center"/>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环保设施</w:t>
            </w:r>
          </w:p>
          <w:p w14:paraId="5FFABFCA">
            <w:pPr>
              <w:widowControl/>
              <w:jc w:val="center"/>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施工单位</w:t>
            </w:r>
          </w:p>
        </w:tc>
        <w:tc>
          <w:tcPr>
            <w:tcW w:w="2983" w:type="dxa"/>
            <w:gridSpan w:val="3"/>
            <w:tcBorders>
              <w:top w:val="single" w:color="auto" w:sz="4" w:space="0"/>
              <w:left w:val="single" w:color="auto" w:sz="4" w:space="0"/>
              <w:bottom w:val="single" w:color="auto" w:sz="4" w:space="0"/>
              <w:right w:val="single" w:color="auto" w:sz="8" w:space="0"/>
            </w:tcBorders>
            <w:vAlign w:val="center"/>
          </w:tcPr>
          <w:p w14:paraId="37E6D1B0">
            <w:pPr>
              <w:widowControl/>
              <w:jc w:val="center"/>
              <w:rPr>
                <w:rFonts w:hint="eastAsia" w:ascii="Times New Roman" w:hAnsi="Times New Roman" w:eastAsia="宋体" w:cs="Times New Roman"/>
                <w:sz w:val="24"/>
              </w:rPr>
            </w:pPr>
            <w:r>
              <w:rPr>
                <w:rFonts w:hint="eastAsia" w:ascii="Times New Roman" w:hAnsi="Times New Roman" w:eastAsia="宋体" w:cs="Times New Roman"/>
                <w:sz w:val="24"/>
              </w:rPr>
              <w:t>海南禾汇环保科技</w:t>
            </w:r>
          </w:p>
          <w:p w14:paraId="319C93E8">
            <w:pPr>
              <w:widowControl/>
              <w:jc w:val="center"/>
              <w:rPr>
                <w:rFonts w:ascii="Times New Roman" w:hAnsi="Times New Roman" w:eastAsia="宋体" w:cs="Times New Roman"/>
                <w:sz w:val="24"/>
              </w:rPr>
            </w:pPr>
            <w:r>
              <w:rPr>
                <w:rFonts w:hint="eastAsia" w:ascii="Times New Roman" w:hAnsi="Times New Roman" w:eastAsia="宋体" w:cs="Times New Roman"/>
                <w:sz w:val="24"/>
              </w:rPr>
              <w:t>有限公司</w:t>
            </w:r>
          </w:p>
        </w:tc>
      </w:tr>
      <w:tr w14:paraId="2E5D4E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444B7ED3">
            <w:pPr>
              <w:widowControl/>
              <w:jc w:val="center"/>
              <w:rPr>
                <w:rFonts w:ascii="Times New Roman" w:hAnsi="Times New Roman" w:eastAsia="宋体" w:cs="Times New Roman"/>
                <w:sz w:val="24"/>
              </w:rPr>
            </w:pPr>
            <w:r>
              <w:rPr>
                <w:rFonts w:ascii="Times New Roman" w:hAnsi="Times New Roman" w:eastAsia="宋体" w:cs="Times New Roman"/>
                <w:sz w:val="24"/>
                <w:lang w:bidi="ar"/>
              </w:rPr>
              <w:t>投资总概算</w:t>
            </w:r>
          </w:p>
        </w:tc>
        <w:tc>
          <w:tcPr>
            <w:tcW w:w="2645" w:type="dxa"/>
            <w:tcBorders>
              <w:top w:val="single" w:color="auto" w:sz="4" w:space="0"/>
              <w:left w:val="single" w:color="auto" w:sz="4" w:space="0"/>
              <w:bottom w:val="single" w:color="auto" w:sz="4" w:space="0"/>
              <w:right w:val="single" w:color="auto" w:sz="4" w:space="0"/>
            </w:tcBorders>
            <w:vAlign w:val="center"/>
          </w:tcPr>
          <w:p w14:paraId="1F4D3E92">
            <w:pPr>
              <w:jc w:val="center"/>
              <w:rPr>
                <w:rFonts w:ascii="Times New Roman" w:hAnsi="Times New Roman" w:eastAsia="宋体" w:cs="Times New Roman"/>
                <w:sz w:val="24"/>
              </w:rPr>
            </w:pPr>
            <w:r>
              <w:rPr>
                <w:rFonts w:hint="eastAsia" w:ascii="Times New Roman" w:hAnsi="Times New Roman" w:eastAsia="宋体" w:cs="Times New Roman"/>
                <w:sz w:val="24"/>
                <w:lang w:val="en-US" w:eastAsia="zh-CN"/>
              </w:rPr>
              <w:t>300.00</w:t>
            </w:r>
            <w:r>
              <w:rPr>
                <w:rFonts w:ascii="Times New Roman" w:hAnsi="Times New Roman" w:cs="Times New Roman"/>
                <w:color w:val="000000"/>
                <w:sz w:val="24"/>
              </w:rPr>
              <w:t>万元</w:t>
            </w:r>
          </w:p>
        </w:tc>
        <w:tc>
          <w:tcPr>
            <w:tcW w:w="2160" w:type="dxa"/>
            <w:tcBorders>
              <w:top w:val="single" w:color="auto" w:sz="4" w:space="0"/>
              <w:left w:val="single" w:color="auto" w:sz="4" w:space="0"/>
              <w:bottom w:val="single" w:color="auto" w:sz="4" w:space="0"/>
              <w:right w:val="single" w:color="auto" w:sz="4" w:space="0"/>
            </w:tcBorders>
            <w:vAlign w:val="center"/>
          </w:tcPr>
          <w:p w14:paraId="71661950">
            <w:pPr>
              <w:widowControl/>
              <w:jc w:val="center"/>
              <w:rPr>
                <w:rFonts w:ascii="Times New Roman" w:hAnsi="Times New Roman" w:eastAsia="宋体" w:cs="Times New Roman"/>
                <w:sz w:val="24"/>
              </w:rPr>
            </w:pPr>
            <w:r>
              <w:rPr>
                <w:rFonts w:ascii="Times New Roman" w:hAnsi="Times New Roman" w:eastAsia="宋体" w:cs="Times New Roman"/>
                <w:sz w:val="24"/>
                <w:lang w:bidi="ar"/>
              </w:rPr>
              <w:t>环保投资总概算</w:t>
            </w:r>
          </w:p>
        </w:tc>
        <w:tc>
          <w:tcPr>
            <w:tcW w:w="1155" w:type="dxa"/>
            <w:tcBorders>
              <w:top w:val="single" w:color="auto" w:sz="4" w:space="0"/>
              <w:left w:val="single" w:color="auto" w:sz="4" w:space="0"/>
              <w:bottom w:val="single" w:color="auto" w:sz="4" w:space="0"/>
              <w:right w:val="single" w:color="auto" w:sz="4" w:space="0"/>
            </w:tcBorders>
            <w:vAlign w:val="center"/>
          </w:tcPr>
          <w:p w14:paraId="74E60DB1">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25</w:t>
            </w:r>
            <w:r>
              <w:rPr>
                <w:rFonts w:ascii="Times New Roman" w:hAnsi="Times New Roman" w:cs="Times New Roman"/>
                <w:color w:val="000000"/>
                <w:sz w:val="24"/>
              </w:rPr>
              <w:t>万元</w:t>
            </w:r>
          </w:p>
        </w:tc>
        <w:tc>
          <w:tcPr>
            <w:tcW w:w="870" w:type="dxa"/>
            <w:tcBorders>
              <w:top w:val="single" w:color="auto" w:sz="4" w:space="0"/>
              <w:left w:val="single" w:color="auto" w:sz="4" w:space="0"/>
              <w:bottom w:val="single" w:color="auto" w:sz="4" w:space="0"/>
              <w:right w:val="single" w:color="auto" w:sz="4" w:space="0"/>
            </w:tcBorders>
            <w:vAlign w:val="center"/>
          </w:tcPr>
          <w:p w14:paraId="38A8346A">
            <w:pPr>
              <w:widowControl/>
              <w:jc w:val="center"/>
              <w:rPr>
                <w:rFonts w:ascii="Times New Roman" w:hAnsi="Times New Roman" w:eastAsia="宋体" w:cs="Times New Roman"/>
                <w:sz w:val="24"/>
              </w:rPr>
            </w:pPr>
            <w:r>
              <w:rPr>
                <w:rFonts w:ascii="Times New Roman" w:hAnsi="Times New Roman" w:eastAsia="宋体" w:cs="Times New Roman"/>
                <w:sz w:val="24"/>
                <w:lang w:bidi="ar"/>
              </w:rPr>
              <w:t>比例</w:t>
            </w:r>
          </w:p>
        </w:tc>
        <w:tc>
          <w:tcPr>
            <w:tcW w:w="958" w:type="dxa"/>
            <w:tcBorders>
              <w:top w:val="single" w:color="auto" w:sz="4" w:space="0"/>
              <w:left w:val="single" w:color="auto" w:sz="4" w:space="0"/>
              <w:bottom w:val="single" w:color="auto" w:sz="4" w:space="0"/>
              <w:right w:val="single" w:color="auto" w:sz="8" w:space="0"/>
            </w:tcBorders>
            <w:vAlign w:val="center"/>
          </w:tcPr>
          <w:p w14:paraId="27EF9CC1">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8.3</w:t>
            </w:r>
            <w:r>
              <w:rPr>
                <w:rFonts w:ascii="Times New Roman" w:hAnsi="Times New Roman" w:cs="Times New Roman"/>
                <w:color w:val="000000"/>
                <w:sz w:val="24"/>
              </w:rPr>
              <w:t>%</w:t>
            </w:r>
          </w:p>
        </w:tc>
      </w:tr>
      <w:tr w14:paraId="0C1C72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4C8E4D00">
            <w:pPr>
              <w:widowControl/>
              <w:jc w:val="center"/>
              <w:rPr>
                <w:rFonts w:ascii="Times New Roman" w:hAnsi="Times New Roman" w:eastAsia="宋体" w:cs="Times New Roman"/>
                <w:sz w:val="24"/>
              </w:rPr>
            </w:pPr>
            <w:r>
              <w:rPr>
                <w:rFonts w:ascii="Times New Roman" w:hAnsi="Times New Roman" w:eastAsia="宋体" w:cs="Times New Roman"/>
                <w:sz w:val="24"/>
                <w:lang w:bidi="ar"/>
              </w:rPr>
              <w:t>实际总概算</w:t>
            </w:r>
          </w:p>
        </w:tc>
        <w:tc>
          <w:tcPr>
            <w:tcW w:w="2645" w:type="dxa"/>
            <w:tcBorders>
              <w:top w:val="single" w:color="auto" w:sz="4" w:space="0"/>
              <w:left w:val="single" w:color="auto" w:sz="4" w:space="0"/>
              <w:bottom w:val="single" w:color="auto" w:sz="4" w:space="0"/>
              <w:right w:val="single" w:color="auto" w:sz="4" w:space="0"/>
            </w:tcBorders>
            <w:vAlign w:val="center"/>
          </w:tcPr>
          <w:p w14:paraId="0A2CDB9C">
            <w:pPr>
              <w:jc w:val="center"/>
              <w:rPr>
                <w:rFonts w:ascii="Times New Roman" w:hAnsi="Times New Roman" w:eastAsia="宋体" w:cs="Times New Roman"/>
                <w:sz w:val="24"/>
              </w:rPr>
            </w:pPr>
            <w:r>
              <w:rPr>
                <w:rFonts w:hint="eastAsia" w:ascii="Times New Roman" w:hAnsi="Times New Roman" w:eastAsia="宋体" w:cs="Times New Roman"/>
                <w:sz w:val="24"/>
                <w:lang w:val="en-US" w:eastAsia="zh-CN"/>
              </w:rPr>
              <w:t>350</w:t>
            </w:r>
            <w:r>
              <w:rPr>
                <w:rFonts w:ascii="Times New Roman" w:hAnsi="Times New Roman" w:eastAsia="宋体" w:cs="Times New Roman"/>
                <w:sz w:val="24"/>
              </w:rPr>
              <w:t>.00</w:t>
            </w:r>
            <w:r>
              <w:rPr>
                <w:rFonts w:ascii="Times New Roman" w:hAnsi="Times New Roman" w:cs="Times New Roman"/>
                <w:sz w:val="24"/>
              </w:rPr>
              <w:t>万元</w:t>
            </w:r>
          </w:p>
        </w:tc>
        <w:tc>
          <w:tcPr>
            <w:tcW w:w="2160" w:type="dxa"/>
            <w:tcBorders>
              <w:top w:val="single" w:color="auto" w:sz="4" w:space="0"/>
              <w:left w:val="single" w:color="auto" w:sz="4" w:space="0"/>
              <w:bottom w:val="single" w:color="auto" w:sz="4" w:space="0"/>
              <w:right w:val="single" w:color="auto" w:sz="4" w:space="0"/>
            </w:tcBorders>
            <w:vAlign w:val="center"/>
          </w:tcPr>
          <w:p w14:paraId="75F1A4A5">
            <w:pPr>
              <w:widowControl/>
              <w:jc w:val="center"/>
              <w:rPr>
                <w:rFonts w:ascii="Times New Roman" w:hAnsi="Times New Roman" w:eastAsia="宋体" w:cs="Times New Roman"/>
                <w:sz w:val="24"/>
              </w:rPr>
            </w:pPr>
            <w:r>
              <w:rPr>
                <w:rFonts w:hint="eastAsia" w:ascii="Times New Roman" w:hAnsi="Times New Roman" w:eastAsia="宋体" w:cs="Times New Roman"/>
                <w:sz w:val="24"/>
                <w:lang w:bidi="ar"/>
              </w:rPr>
              <w:t>实际</w:t>
            </w:r>
            <w:r>
              <w:rPr>
                <w:rFonts w:ascii="Times New Roman" w:hAnsi="Times New Roman" w:eastAsia="宋体" w:cs="Times New Roman"/>
                <w:sz w:val="24"/>
                <w:lang w:bidi="ar"/>
              </w:rPr>
              <w:t>环保投资</w:t>
            </w:r>
          </w:p>
        </w:tc>
        <w:tc>
          <w:tcPr>
            <w:tcW w:w="1155" w:type="dxa"/>
            <w:tcBorders>
              <w:top w:val="single" w:color="auto" w:sz="4" w:space="0"/>
              <w:left w:val="single" w:color="auto" w:sz="4" w:space="0"/>
              <w:bottom w:val="single" w:color="auto" w:sz="4" w:space="0"/>
              <w:right w:val="single" w:color="auto" w:sz="4" w:space="0"/>
            </w:tcBorders>
            <w:vAlign w:val="center"/>
          </w:tcPr>
          <w:p w14:paraId="524637E4">
            <w:pPr>
              <w:jc w:val="center"/>
              <w:rPr>
                <w:rFonts w:ascii="Times New Roman" w:hAnsi="Times New Roman" w:eastAsia="宋体" w:cs="Times New Roman"/>
                <w:sz w:val="24"/>
              </w:rPr>
            </w:pPr>
            <w:r>
              <w:rPr>
                <w:rFonts w:hint="eastAsia" w:ascii="Times New Roman" w:hAnsi="Times New Roman" w:cs="Times New Roman"/>
                <w:sz w:val="24"/>
                <w:lang w:val="en-US" w:eastAsia="zh-CN"/>
              </w:rPr>
              <w:t>32</w:t>
            </w:r>
            <w:r>
              <w:rPr>
                <w:rFonts w:ascii="Times New Roman" w:hAnsi="Times New Roman" w:cs="Times New Roman"/>
                <w:sz w:val="24"/>
              </w:rPr>
              <w:t>万元</w:t>
            </w:r>
          </w:p>
        </w:tc>
        <w:tc>
          <w:tcPr>
            <w:tcW w:w="870" w:type="dxa"/>
            <w:tcBorders>
              <w:top w:val="single" w:color="auto" w:sz="4" w:space="0"/>
              <w:left w:val="single" w:color="auto" w:sz="4" w:space="0"/>
              <w:bottom w:val="single" w:color="auto" w:sz="4" w:space="0"/>
              <w:right w:val="single" w:color="auto" w:sz="4" w:space="0"/>
            </w:tcBorders>
            <w:vAlign w:val="center"/>
          </w:tcPr>
          <w:p w14:paraId="6ADAF9AC">
            <w:pPr>
              <w:widowControl/>
              <w:jc w:val="center"/>
              <w:rPr>
                <w:rFonts w:ascii="Times New Roman" w:hAnsi="Times New Roman" w:eastAsia="宋体" w:cs="Times New Roman"/>
                <w:sz w:val="24"/>
              </w:rPr>
            </w:pPr>
            <w:r>
              <w:rPr>
                <w:rFonts w:ascii="Times New Roman" w:hAnsi="Times New Roman" w:eastAsia="宋体" w:cs="Times New Roman"/>
                <w:sz w:val="24"/>
                <w:lang w:bidi="ar"/>
              </w:rPr>
              <w:t>比例</w:t>
            </w:r>
          </w:p>
        </w:tc>
        <w:tc>
          <w:tcPr>
            <w:tcW w:w="958" w:type="dxa"/>
            <w:tcBorders>
              <w:top w:val="single" w:color="auto" w:sz="4" w:space="0"/>
              <w:left w:val="single" w:color="auto" w:sz="4" w:space="0"/>
              <w:bottom w:val="single" w:color="auto" w:sz="4" w:space="0"/>
              <w:right w:val="single" w:color="auto" w:sz="8" w:space="0"/>
            </w:tcBorders>
            <w:vAlign w:val="center"/>
          </w:tcPr>
          <w:p w14:paraId="6DA91F23">
            <w:pPr>
              <w:jc w:val="center"/>
              <w:rPr>
                <w:rFonts w:ascii="Times New Roman" w:hAnsi="Times New Roman" w:eastAsia="宋体" w:cs="Times New Roman"/>
                <w:sz w:val="24"/>
              </w:rPr>
            </w:pPr>
            <w:r>
              <w:rPr>
                <w:rFonts w:hint="eastAsia" w:ascii="Times New Roman" w:hAnsi="Times New Roman" w:cs="Times New Roman"/>
                <w:sz w:val="24"/>
                <w:lang w:val="en-US" w:eastAsia="zh-CN"/>
              </w:rPr>
              <w:t>9.1</w:t>
            </w:r>
            <w:r>
              <w:rPr>
                <w:rFonts w:ascii="Times New Roman" w:hAnsi="Times New Roman" w:cs="Times New Roman"/>
                <w:sz w:val="24"/>
              </w:rPr>
              <w:t>%</w:t>
            </w:r>
          </w:p>
        </w:tc>
      </w:tr>
      <w:tr w14:paraId="4744AD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3A4F8189">
            <w:pPr>
              <w:widowControl/>
              <w:jc w:val="center"/>
              <w:rPr>
                <w:rFonts w:ascii="Times New Roman" w:hAnsi="Times New Roman" w:eastAsia="宋体" w:cs="Times New Roman"/>
                <w:sz w:val="24"/>
              </w:rPr>
            </w:pPr>
            <w:r>
              <w:rPr>
                <w:rFonts w:ascii="Times New Roman" w:hAnsi="Times New Roman" w:eastAsia="宋体" w:cs="Times New Roman"/>
                <w:sz w:val="24"/>
                <w:lang w:bidi="ar"/>
              </w:rPr>
              <w:t>验收监测依据</w:t>
            </w:r>
          </w:p>
        </w:tc>
        <w:tc>
          <w:tcPr>
            <w:tcW w:w="7788" w:type="dxa"/>
            <w:gridSpan w:val="5"/>
            <w:tcBorders>
              <w:top w:val="single" w:color="auto" w:sz="4" w:space="0"/>
              <w:left w:val="single" w:color="auto" w:sz="4" w:space="0"/>
              <w:bottom w:val="single" w:color="auto" w:sz="4" w:space="0"/>
              <w:right w:val="single" w:color="auto" w:sz="8" w:space="0"/>
            </w:tcBorders>
          </w:tcPr>
          <w:p w14:paraId="17293C70">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（一）验收</w:t>
            </w:r>
            <w:r>
              <w:rPr>
                <w:rFonts w:hint="eastAsia" w:ascii="Times New Roman" w:hAnsi="Times New Roman" w:cs="Times New Roman"/>
                <w:b/>
                <w:bCs/>
                <w:sz w:val="24"/>
              </w:rPr>
              <w:t>监测</w:t>
            </w:r>
            <w:r>
              <w:rPr>
                <w:rFonts w:ascii="Times New Roman" w:hAnsi="Times New Roman" w:cs="Times New Roman"/>
                <w:b/>
                <w:bCs/>
                <w:sz w:val="24"/>
              </w:rPr>
              <w:t>依据</w:t>
            </w:r>
          </w:p>
          <w:p w14:paraId="24005C19">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建设项目环境保护相关法律、法规、规章和规范</w:t>
            </w:r>
          </w:p>
          <w:p w14:paraId="3CD9E288">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（1）《中华人民共和国环境保护法》2015.1.1；</w:t>
            </w:r>
          </w:p>
          <w:p w14:paraId="0DD43EC5">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（2）《中华人民共和国大气污染防治法》2018修订；</w:t>
            </w:r>
          </w:p>
          <w:p w14:paraId="2278CA5C">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（3）《中华人民共和国水污染防治法》2018.1.1；</w:t>
            </w:r>
          </w:p>
          <w:p w14:paraId="0EF7E725">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（4）《中华人民共和国噪声污染防治法》20</w:t>
            </w:r>
            <w:r>
              <w:rPr>
                <w:rFonts w:hint="eastAsia" w:ascii="Times New Roman" w:hAnsi="Times New Roman" w:cs="Times New Roman"/>
                <w:sz w:val="24"/>
              </w:rPr>
              <w:t>22</w:t>
            </w:r>
            <w:r>
              <w:rPr>
                <w:rFonts w:ascii="Times New Roman" w:hAnsi="Times New Roman" w:cs="Times New Roman"/>
                <w:sz w:val="24"/>
              </w:rPr>
              <w:t>.</w:t>
            </w:r>
            <w:r>
              <w:rPr>
                <w:rFonts w:hint="eastAsia" w:ascii="Times New Roman" w:hAnsi="Times New Roman" w:cs="Times New Roman"/>
                <w:sz w:val="24"/>
              </w:rPr>
              <w:t>6</w:t>
            </w:r>
            <w:r>
              <w:rPr>
                <w:rFonts w:ascii="Times New Roman" w:hAnsi="Times New Roman" w:cs="Times New Roman"/>
                <w:sz w:val="24"/>
              </w:rPr>
              <w:t>.</w:t>
            </w:r>
            <w:r>
              <w:rPr>
                <w:rFonts w:hint="eastAsia" w:ascii="Times New Roman" w:hAnsi="Times New Roman" w:cs="Times New Roman"/>
                <w:sz w:val="24"/>
              </w:rPr>
              <w:t>5</w:t>
            </w:r>
            <w:r>
              <w:rPr>
                <w:rFonts w:ascii="Times New Roman" w:hAnsi="Times New Roman" w:cs="Times New Roman"/>
                <w:sz w:val="24"/>
              </w:rPr>
              <w:t>；</w:t>
            </w:r>
          </w:p>
          <w:p w14:paraId="576B2100">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（5）《中华人民共和国固体废物污染环境防治法》2020修订；</w:t>
            </w:r>
          </w:p>
          <w:p w14:paraId="43DDDD6F">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（6）《建设项目环境保护管理条例》（中华人民共和国国务院令第253号 2017年7月16日修订）；</w:t>
            </w:r>
          </w:p>
          <w:p w14:paraId="4C3C5D0F">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w:t>
            </w:r>
            <w:r>
              <w:rPr>
                <w:rFonts w:hint="eastAsia" w:ascii="Times New Roman" w:hAnsi="Times New Roman" w:cs="Times New Roman"/>
                <w:sz w:val="24"/>
                <w:lang w:val="en-US" w:eastAsia="zh-CN"/>
              </w:rPr>
              <w:t>7</w:t>
            </w:r>
            <w:r>
              <w:rPr>
                <w:rFonts w:ascii="Times New Roman" w:hAnsi="Times New Roman" w:cs="Times New Roman"/>
                <w:sz w:val="24"/>
              </w:rPr>
              <w:t>）《建设项目竣工环境保护验收暂行办法》（国环规环评〔2017〕4 号）；</w:t>
            </w:r>
          </w:p>
          <w:p w14:paraId="42CAF7A5">
            <w:pPr>
              <w:pStyle w:val="36"/>
              <w:keepNext w:val="0"/>
              <w:keepLines w:val="0"/>
              <w:pageBreakBefore w:val="0"/>
              <w:kinsoku/>
              <w:wordWrap/>
              <w:overflowPunct/>
              <w:topLinePunct w:val="0"/>
              <w:bidi w:val="0"/>
              <w:adjustRightInd w:val="0"/>
              <w:snapToGrid w:val="0"/>
              <w:spacing w:line="500" w:lineRule="exact"/>
              <w:textAlignment w:val="auto"/>
              <w:rPr>
                <w:rFonts w:ascii="Times New Roman"/>
                <w:szCs w:val="24"/>
              </w:rPr>
            </w:pPr>
            <w:r>
              <w:rPr>
                <w:rFonts w:ascii="Times New Roman"/>
                <w:szCs w:val="24"/>
              </w:rPr>
              <w:t>（</w:t>
            </w:r>
            <w:r>
              <w:rPr>
                <w:rFonts w:hint="eastAsia" w:ascii="Times New Roman"/>
                <w:szCs w:val="24"/>
                <w:lang w:val="en-US" w:eastAsia="zh-CN"/>
              </w:rPr>
              <w:t>8</w:t>
            </w:r>
            <w:r>
              <w:rPr>
                <w:rFonts w:ascii="Times New Roman"/>
                <w:szCs w:val="24"/>
              </w:rPr>
              <w:t>）《环境保护部建设项目“三同时”监督检查和竣工环保验收管理规程（试行）》（环保部环发〔2009〕150号 2009年12月17日）；</w:t>
            </w:r>
          </w:p>
          <w:p w14:paraId="7F8B3DB1">
            <w:pPr>
              <w:pStyle w:val="36"/>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eastAsia="宋体" w:cs="Times New Roman"/>
                <w:szCs w:val="24"/>
              </w:rPr>
            </w:pPr>
            <w:r>
              <w:rPr>
                <w:rFonts w:hint="default" w:ascii="Times New Roman" w:hAnsi="Times New Roman" w:eastAsia="宋体" w:cs="Times New Roman"/>
                <w:szCs w:val="24"/>
              </w:rPr>
              <w:t>（</w:t>
            </w:r>
            <w:r>
              <w:rPr>
                <w:rFonts w:hint="default" w:ascii="Times New Roman" w:hAnsi="Times New Roman" w:eastAsia="宋体" w:cs="Times New Roman"/>
                <w:szCs w:val="24"/>
                <w:lang w:val="en-US" w:eastAsia="zh-CN"/>
              </w:rPr>
              <w:t>9</w:t>
            </w:r>
            <w:r>
              <w:rPr>
                <w:rFonts w:hint="default" w:ascii="Times New Roman" w:hAnsi="Times New Roman" w:eastAsia="宋体" w:cs="Times New Roman"/>
                <w:szCs w:val="24"/>
              </w:rPr>
              <w:t>）《海南省生态环境保护厅关于加强建设项目环境保护设施竣工验收工作的通知》（琼环评字〔2018〕3号）。</w:t>
            </w:r>
          </w:p>
          <w:p w14:paraId="1BCABDD1">
            <w:pPr>
              <w:keepNext w:val="0"/>
              <w:keepLines w:val="0"/>
              <w:pageBreakBefore w:val="0"/>
              <w:kinsoku/>
              <w:wordWrap/>
              <w:overflowPunct/>
              <w:topLinePunct w:val="0"/>
              <w:autoSpaceDE w:val="0"/>
              <w:autoSpaceDN w:val="0"/>
              <w:bidi w:val="0"/>
              <w:adjustRightInd w:val="0"/>
              <w:snapToGrid w:val="0"/>
              <w:spacing w:line="500" w:lineRule="exact"/>
              <w:textAlignment w:val="auto"/>
              <w:rPr>
                <w:rFonts w:hint="default" w:ascii="Times New Roman" w:hAnsi="Times New Roman" w:eastAsia="宋体" w:cs="Times New Roman"/>
                <w:b/>
                <w:bCs/>
                <w:sz w:val="24"/>
              </w:rPr>
            </w:pPr>
            <w:r>
              <w:rPr>
                <w:rFonts w:hint="default" w:ascii="Times New Roman" w:hAnsi="Times New Roman" w:eastAsia="宋体" w:cs="Times New Roman"/>
                <w:b/>
                <w:bCs/>
                <w:sz w:val="24"/>
              </w:rPr>
              <w:t>相关导则及规范</w:t>
            </w:r>
          </w:p>
          <w:p w14:paraId="4BE0C0FC">
            <w:pPr>
              <w:keepNext w:val="0"/>
              <w:keepLines w:val="0"/>
              <w:pageBreakBefore w:val="0"/>
              <w:widowControl/>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rPr>
            </w:pPr>
            <w:r>
              <w:rPr>
                <w:rFonts w:hint="default" w:ascii="Times New Roman" w:hAnsi="Times New Roman" w:eastAsia="宋体" w:cs="Times New Roman"/>
                <w:sz w:val="24"/>
              </w:rPr>
              <w:t>（1）《建设项目竣工环境保护验收技术指南 污染影响类》（中华人民共和国生态环保部，2018年 第9号）。</w:t>
            </w:r>
          </w:p>
          <w:p w14:paraId="400F1BA1">
            <w:pPr>
              <w:keepNext w:val="0"/>
              <w:keepLines w:val="0"/>
              <w:pageBreakBefore w:val="0"/>
              <w:widowControl/>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rPr>
            </w:pPr>
            <w:r>
              <w:rPr>
                <w:rFonts w:hint="default" w:ascii="Times New Roman" w:hAnsi="Times New Roman" w:eastAsia="宋体" w:cs="Times New Roman"/>
                <w:sz w:val="24"/>
              </w:rPr>
              <w:t>（2）</w:t>
            </w:r>
            <w:r>
              <w:rPr>
                <w:rFonts w:hint="default" w:ascii="Times New Roman" w:hAnsi="Times New Roman" w:eastAsia="宋体" w:cs="Times New Roman"/>
                <w:sz w:val="24"/>
                <w:szCs w:val="24"/>
              </w:rPr>
              <w:t>海南良雪制冷设备有限公司</w:t>
            </w:r>
            <w:r>
              <w:rPr>
                <w:rFonts w:hint="default" w:ascii="Times New Roman" w:hAnsi="Times New Roman" w:eastAsia="宋体" w:cs="Times New Roman"/>
                <w:sz w:val="24"/>
              </w:rPr>
              <w:t>《</w:t>
            </w:r>
            <w:r>
              <w:rPr>
                <w:rFonts w:hint="default" w:ascii="Times New Roman" w:hAnsi="Times New Roman" w:eastAsia="宋体" w:cs="Times New Roman"/>
                <w:sz w:val="24"/>
                <w:szCs w:val="24"/>
              </w:rPr>
              <w:t>年产60000平方米冷库保温板项目</w:t>
            </w:r>
            <w:r>
              <w:rPr>
                <w:rFonts w:hint="default" w:ascii="Times New Roman" w:hAnsi="Times New Roman" w:eastAsia="宋体" w:cs="Times New Roman"/>
                <w:sz w:val="24"/>
              </w:rPr>
              <w:t>环境影响报告表》（</w:t>
            </w:r>
            <w:r>
              <w:rPr>
                <w:rFonts w:hint="default" w:ascii="Times New Roman" w:hAnsi="Times New Roman" w:eastAsia="宋体" w:cs="Times New Roman"/>
                <w:sz w:val="24"/>
                <w:lang w:val="en-US" w:eastAsia="zh-CN"/>
              </w:rPr>
              <w:t>海南芝南</w:t>
            </w:r>
            <w:r>
              <w:rPr>
                <w:rFonts w:hint="default" w:ascii="Times New Roman" w:hAnsi="Times New Roman" w:eastAsia="宋体" w:cs="Times New Roman"/>
                <w:sz w:val="24"/>
              </w:rPr>
              <w:t>环保科技有限公司，202</w:t>
            </w:r>
            <w:r>
              <w:rPr>
                <w:rFonts w:hint="default" w:ascii="Times New Roman" w:hAnsi="Times New Roman" w:eastAsia="宋体" w:cs="Times New Roman"/>
                <w:sz w:val="24"/>
                <w:lang w:val="en-US" w:eastAsia="zh-CN"/>
              </w:rPr>
              <w:t>5</w:t>
            </w:r>
            <w:r>
              <w:rPr>
                <w:rFonts w:hint="default" w:ascii="Times New Roman" w:hAnsi="Times New Roman" w:eastAsia="宋体" w:cs="Times New Roman"/>
                <w:sz w:val="24"/>
              </w:rPr>
              <w:t>年</w:t>
            </w:r>
            <w:r>
              <w:rPr>
                <w:rFonts w:hint="default" w:ascii="Times New Roman" w:hAnsi="Times New Roman" w:eastAsia="宋体" w:cs="Times New Roman"/>
                <w:sz w:val="24"/>
                <w:lang w:val="en-US" w:eastAsia="zh-CN"/>
              </w:rPr>
              <w:t>2</w:t>
            </w:r>
            <w:r>
              <w:rPr>
                <w:rFonts w:hint="default" w:ascii="Times New Roman" w:hAnsi="Times New Roman" w:eastAsia="宋体" w:cs="Times New Roman"/>
                <w:sz w:val="24"/>
              </w:rPr>
              <w:t>月）。</w:t>
            </w:r>
          </w:p>
          <w:p w14:paraId="1EA3CDE6">
            <w:pPr>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rPr>
              <w:t>（3）</w:t>
            </w:r>
            <w:r>
              <w:rPr>
                <w:rFonts w:hint="default" w:ascii="Times New Roman" w:hAnsi="Times New Roman" w:eastAsia="宋体" w:cs="Times New Roman"/>
                <w:sz w:val="24"/>
                <w:lang w:val="en-US" w:eastAsia="zh-CN"/>
              </w:rPr>
              <w:t>澄迈县行政审批服务局</w:t>
            </w:r>
            <w:r>
              <w:rPr>
                <w:rFonts w:hint="default" w:ascii="Times New Roman" w:hAnsi="Times New Roman" w:eastAsia="宋体" w:cs="Times New Roman"/>
                <w:sz w:val="24"/>
              </w:rPr>
              <w:t>《关于批复</w:t>
            </w:r>
            <w:r>
              <w:rPr>
                <w:rFonts w:hint="default" w:ascii="Times New Roman" w:hAnsi="Times New Roman" w:eastAsia="宋体" w:cs="Times New Roman"/>
                <w:sz w:val="24"/>
                <w:szCs w:val="24"/>
              </w:rPr>
              <w:t>年产60000平方米冷库保温板项目</w:t>
            </w:r>
            <w:r>
              <w:rPr>
                <w:rFonts w:hint="default" w:ascii="Times New Roman" w:hAnsi="Times New Roman" w:eastAsia="宋体" w:cs="Times New Roman"/>
                <w:sz w:val="24"/>
              </w:rPr>
              <w:t>环境影响报告表的函》（</w:t>
            </w:r>
            <w:r>
              <w:rPr>
                <w:rFonts w:hint="default" w:ascii="Times New Roman" w:hAnsi="Times New Roman" w:eastAsia="宋体" w:cs="Times New Roman"/>
                <w:sz w:val="24"/>
                <w:lang w:val="en-US" w:eastAsia="zh-CN"/>
              </w:rPr>
              <w:t>澄行审批</w:t>
            </w:r>
            <w:r>
              <w:rPr>
                <w:rFonts w:hint="default" w:ascii="Times New Roman" w:hAnsi="Times New Roman" w:eastAsia="宋体" w:cs="Times New Roman"/>
                <w:sz w:val="24"/>
              </w:rPr>
              <w:t>〔202</w:t>
            </w:r>
            <w:r>
              <w:rPr>
                <w:rFonts w:hint="default" w:ascii="Times New Roman" w:hAnsi="Times New Roman" w:eastAsia="宋体" w:cs="Times New Roman"/>
                <w:sz w:val="24"/>
                <w:lang w:val="en-US" w:eastAsia="zh-CN"/>
              </w:rPr>
              <w:t>5</w:t>
            </w:r>
            <w:r>
              <w:rPr>
                <w:rFonts w:hint="default" w:ascii="Times New Roman" w:hAnsi="Times New Roman" w:eastAsia="宋体" w:cs="Times New Roman"/>
                <w:sz w:val="24"/>
              </w:rPr>
              <w:t>〕第</w:t>
            </w:r>
            <w:r>
              <w:rPr>
                <w:rFonts w:hint="default" w:ascii="Times New Roman" w:hAnsi="Times New Roman" w:eastAsia="宋体" w:cs="Times New Roman"/>
                <w:sz w:val="24"/>
                <w:lang w:val="en-US" w:eastAsia="zh-CN"/>
              </w:rPr>
              <w:t>84</w:t>
            </w:r>
            <w:r>
              <w:rPr>
                <w:rFonts w:hint="default" w:ascii="Times New Roman" w:hAnsi="Times New Roman" w:eastAsia="宋体" w:cs="Times New Roman"/>
                <w:sz w:val="24"/>
              </w:rPr>
              <w:t>号），202</w:t>
            </w:r>
            <w:r>
              <w:rPr>
                <w:rFonts w:hint="default" w:ascii="Times New Roman" w:hAnsi="Times New Roman" w:eastAsia="宋体" w:cs="Times New Roman"/>
                <w:sz w:val="24"/>
                <w:lang w:val="en-US" w:eastAsia="zh-CN"/>
              </w:rPr>
              <w:t>5</w:t>
            </w:r>
            <w:r>
              <w:rPr>
                <w:rFonts w:hint="default" w:ascii="Times New Roman" w:hAnsi="Times New Roman" w:eastAsia="宋体" w:cs="Times New Roman"/>
                <w:sz w:val="24"/>
              </w:rPr>
              <w:t>年</w:t>
            </w:r>
            <w:r>
              <w:rPr>
                <w:rFonts w:hint="default" w:ascii="Times New Roman" w:hAnsi="Times New Roman" w:eastAsia="宋体" w:cs="Times New Roman"/>
                <w:sz w:val="24"/>
                <w:lang w:val="en-US" w:eastAsia="zh-CN"/>
              </w:rPr>
              <w:t>2</w:t>
            </w:r>
            <w:r>
              <w:rPr>
                <w:rFonts w:hint="default" w:ascii="Times New Roman" w:hAnsi="Times New Roman" w:eastAsia="宋体" w:cs="Times New Roman"/>
                <w:sz w:val="24"/>
              </w:rPr>
              <w:t>月</w:t>
            </w:r>
            <w:r>
              <w:rPr>
                <w:rFonts w:hint="default" w:ascii="Times New Roman" w:hAnsi="Times New Roman" w:eastAsia="宋体" w:cs="Times New Roman"/>
                <w:sz w:val="24"/>
                <w:lang w:val="en-US" w:eastAsia="zh-CN"/>
              </w:rPr>
              <w:t>19</w:t>
            </w:r>
            <w:r>
              <w:rPr>
                <w:rFonts w:hint="default" w:ascii="Times New Roman" w:hAnsi="Times New Roman" w:eastAsia="宋体" w:cs="Times New Roman"/>
                <w:sz w:val="24"/>
              </w:rPr>
              <w:t>日</w:t>
            </w:r>
            <w:r>
              <w:rPr>
                <w:rFonts w:hint="default" w:ascii="Times New Roman" w:hAnsi="Times New Roman" w:eastAsia="宋体" w:cs="Times New Roman"/>
                <w:sz w:val="24"/>
                <w:szCs w:val="24"/>
              </w:rPr>
              <w:t>。</w:t>
            </w:r>
          </w:p>
          <w:p w14:paraId="5F0168C1">
            <w:pPr>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）海南良雪制冷设备有限公司</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固定污染源排污登记表</w:t>
            </w:r>
            <w:r>
              <w:rPr>
                <w:rFonts w:hint="default" w:ascii="Times New Roman" w:hAnsi="Times New Roman" w:eastAsia="宋体" w:cs="Times New Roman"/>
                <w:sz w:val="24"/>
                <w:szCs w:val="24"/>
                <w:lang w:eastAsia="zh-CN"/>
              </w:rPr>
              <w:t>》</w:t>
            </w:r>
          </w:p>
          <w:p w14:paraId="4A8973ED">
            <w:pPr>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海南良雪制冷设备有限公司</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 xml:space="preserve">固定污染源排污登记回执 </w:t>
            </w:r>
          </w:p>
          <w:p w14:paraId="645D0401">
            <w:pPr>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登记编号：91460000MAA92BXL6A001X</w:t>
            </w:r>
          </w:p>
          <w:p w14:paraId="7083DF28">
            <w:pPr>
              <w:keepNext w:val="0"/>
              <w:keepLines w:val="0"/>
              <w:pageBreakBefore w:val="0"/>
              <w:kinsoku/>
              <w:wordWrap/>
              <w:overflowPunct/>
              <w:topLinePunct w:val="0"/>
              <w:bidi w:val="0"/>
              <w:adjustRightInd w:val="0"/>
              <w:snapToGrid w:val="0"/>
              <w:spacing w:line="500" w:lineRule="exact"/>
              <w:textAlignment w:val="auto"/>
              <w:rPr>
                <w:rFonts w:hint="default" w:ascii="Times New Roman" w:hAnsi="Times New Roman" w:eastAsia="宋体" w:cs="Times New Roman"/>
                <w:sz w:val="24"/>
              </w:rPr>
            </w:pPr>
            <w:r>
              <w:rPr>
                <w:rFonts w:hint="default" w:ascii="Times New Roman" w:hAnsi="Times New Roman" w:eastAsia="宋体" w:cs="Times New Roman"/>
                <w:sz w:val="24"/>
                <w:lang w:eastAsia="zh-CN"/>
              </w:rPr>
              <w:t>（</w:t>
            </w:r>
            <w:r>
              <w:rPr>
                <w:rFonts w:hint="default" w:ascii="Times New Roman" w:hAnsi="Times New Roman" w:eastAsia="宋体" w:cs="Times New Roman"/>
                <w:sz w:val="24"/>
                <w:lang w:val="en-US" w:eastAsia="zh-CN"/>
              </w:rPr>
              <w:t>6</w:t>
            </w:r>
            <w:r>
              <w:rPr>
                <w:rFonts w:hint="default" w:ascii="Times New Roman" w:hAnsi="Times New Roman" w:eastAsia="宋体" w:cs="Times New Roman"/>
                <w:sz w:val="24"/>
                <w:lang w:eastAsia="zh-CN"/>
              </w:rPr>
              <w:t>）</w:t>
            </w:r>
            <w:r>
              <w:rPr>
                <w:rFonts w:hint="default" w:ascii="Times New Roman" w:hAnsi="Times New Roman" w:eastAsia="宋体" w:cs="Times New Roman"/>
                <w:sz w:val="24"/>
              </w:rPr>
              <w:t>以及</w:t>
            </w:r>
            <w:r>
              <w:rPr>
                <w:rFonts w:hint="default" w:ascii="Times New Roman" w:hAnsi="Times New Roman" w:eastAsia="宋体" w:cs="Times New Roman"/>
                <w:sz w:val="24"/>
                <w:szCs w:val="24"/>
              </w:rPr>
              <w:t>海南良雪制冷设备有限公司</w:t>
            </w:r>
            <w:r>
              <w:rPr>
                <w:rFonts w:hint="default" w:ascii="Times New Roman" w:hAnsi="Times New Roman" w:eastAsia="宋体" w:cs="Times New Roman"/>
                <w:sz w:val="24"/>
              </w:rPr>
              <w:t>提供的其他文件资料</w:t>
            </w:r>
          </w:p>
          <w:p w14:paraId="0E14E69D"/>
          <w:p w14:paraId="52DFC9DC">
            <w:pPr>
              <w:pStyle w:val="36"/>
            </w:pPr>
          </w:p>
          <w:p w14:paraId="6E4FD8EE">
            <w:pPr>
              <w:pStyle w:val="38"/>
            </w:pPr>
          </w:p>
          <w:p w14:paraId="084224C4"/>
          <w:p w14:paraId="6C8921E2">
            <w:pPr>
              <w:pStyle w:val="36"/>
            </w:pPr>
          </w:p>
          <w:p w14:paraId="63E5BB28"/>
          <w:p w14:paraId="7F49E8A3">
            <w:pPr>
              <w:pStyle w:val="36"/>
            </w:pPr>
          </w:p>
          <w:p w14:paraId="516E9FC3">
            <w:pPr>
              <w:pStyle w:val="38"/>
            </w:pPr>
          </w:p>
          <w:p w14:paraId="1BF3E112">
            <w:pPr>
              <w:pStyle w:val="36"/>
            </w:pPr>
          </w:p>
          <w:p w14:paraId="760E3239">
            <w:pPr>
              <w:pStyle w:val="38"/>
            </w:pPr>
          </w:p>
          <w:p w14:paraId="19A9A7E0"/>
          <w:p w14:paraId="67DFA7AE"/>
          <w:p w14:paraId="418BCD19"/>
          <w:p w14:paraId="3DAF369E"/>
          <w:p w14:paraId="0374F760"/>
          <w:p w14:paraId="5F063851"/>
          <w:p w14:paraId="1C99F6E6">
            <w:pPr>
              <w:pStyle w:val="28"/>
            </w:pPr>
          </w:p>
          <w:p w14:paraId="2446B2C3">
            <w:pPr>
              <w:pStyle w:val="36"/>
            </w:pPr>
          </w:p>
        </w:tc>
      </w:tr>
      <w:tr w14:paraId="3FCB14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5" w:type="dxa"/>
            <w:tcBorders>
              <w:top w:val="single" w:color="auto" w:sz="4" w:space="0"/>
              <w:left w:val="single" w:color="auto" w:sz="8" w:space="0"/>
              <w:bottom w:val="single" w:color="auto" w:sz="4" w:space="0"/>
              <w:right w:val="single" w:color="auto" w:sz="4" w:space="0"/>
            </w:tcBorders>
            <w:vAlign w:val="center"/>
          </w:tcPr>
          <w:p w14:paraId="30D0EA5C">
            <w:pPr>
              <w:widowControl/>
              <w:jc w:val="center"/>
              <w:rPr>
                <w:rFonts w:ascii="Times New Roman" w:hAnsi="Times New Roman" w:eastAsia="宋体" w:cs="Times New Roman"/>
                <w:sz w:val="24"/>
                <w:lang w:bidi="ar"/>
              </w:rPr>
            </w:pPr>
            <w:r>
              <w:rPr>
                <w:rFonts w:ascii="Times New Roman" w:hAnsi="Times New Roman" w:cs="Times New Roman"/>
                <w:sz w:val="24"/>
              </w:rPr>
              <w:t>验收监测评价标准、标号、级别、限值</w:t>
            </w:r>
          </w:p>
        </w:tc>
        <w:tc>
          <w:tcPr>
            <w:tcW w:w="7788" w:type="dxa"/>
            <w:gridSpan w:val="5"/>
            <w:tcBorders>
              <w:top w:val="single" w:color="auto" w:sz="4" w:space="0"/>
              <w:left w:val="single" w:color="auto" w:sz="4" w:space="0"/>
              <w:bottom w:val="single" w:color="auto" w:sz="4" w:space="0"/>
              <w:right w:val="single" w:color="auto" w:sz="8" w:space="0"/>
            </w:tcBorders>
          </w:tcPr>
          <w:p w14:paraId="59BBAB07">
            <w:pPr>
              <w:pStyle w:val="36"/>
              <w:snapToGrid w:val="0"/>
              <w:spacing w:line="500" w:lineRule="exact"/>
              <w:rPr>
                <w:rFonts w:hint="default" w:ascii="Times New Roman" w:hAnsi="Times New Roman" w:cs="Times New Roman"/>
                <w:b/>
                <w:bCs/>
                <w:szCs w:val="24"/>
              </w:rPr>
            </w:pPr>
            <w:r>
              <w:rPr>
                <w:rFonts w:hint="default" w:ascii="Times New Roman" w:hAnsi="Times New Roman" w:cs="Times New Roman"/>
                <w:b/>
                <w:bCs/>
                <w:szCs w:val="24"/>
              </w:rPr>
              <w:t>（二）验收评价标准</w:t>
            </w:r>
          </w:p>
          <w:p w14:paraId="0F9D230F">
            <w:pPr>
              <w:pStyle w:val="28"/>
              <w:widowControl/>
              <w:adjustRightInd w:val="0"/>
              <w:snapToGrid w:val="0"/>
              <w:spacing w:after="0" w:line="500" w:lineRule="exact"/>
              <w:ind w:left="0" w:leftChars="0" w:firstLine="482" w:firstLineChars="200"/>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1、废水评价标准</w:t>
            </w:r>
          </w:p>
          <w:p w14:paraId="05110164">
            <w:pPr>
              <w:pStyle w:val="28"/>
              <w:widowControl/>
              <w:adjustRightInd w:val="0"/>
              <w:snapToGrid w:val="0"/>
              <w:spacing w:after="0" w:line="500" w:lineRule="exact"/>
              <w:ind w:left="0" w:leftChars="0" w:firstLine="480" w:firstLineChars="20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000000" w:themeColor="text1"/>
                <w:kern w:val="2"/>
                <w:sz w:val="24"/>
                <w:szCs w:val="24"/>
                <w:lang w:val="en-US" w:eastAsia="zh-CN" w:bidi="ar-SA"/>
                <w14:textFill>
                  <w14:solidFill>
                    <w14:schemeClr w14:val="tx1"/>
                  </w14:solidFill>
                </w14:textFill>
              </w:rPr>
              <w:t>根据项目环评及批复文件的要求，项目运营期工作人员办公依托厂区现有综合办公楼，员工生活污水依托综合办公楼三级化粪池收集，接入市政污水管网，排至老城污水处理厂（西区）深度处理。</w:t>
            </w:r>
          </w:p>
          <w:p w14:paraId="6EA0BE34">
            <w:pPr>
              <w:pStyle w:val="28"/>
              <w:widowControl/>
              <w:adjustRightInd w:val="0"/>
              <w:snapToGrid w:val="0"/>
              <w:spacing w:after="0" w:line="500" w:lineRule="exact"/>
              <w:ind w:left="0" w:leftChars="0" w:firstLine="482" w:firstLineChars="200"/>
              <w:rPr>
                <w:rFonts w:hint="default" w:ascii="Times New Roman" w:hAnsi="Times New Roman" w:cs="Times New Roman"/>
                <w:b/>
                <w:color w:val="auto"/>
                <w:sz w:val="24"/>
              </w:rPr>
            </w:pPr>
            <w:r>
              <w:rPr>
                <w:rFonts w:hint="default" w:ascii="Times New Roman" w:hAnsi="Times New Roman" w:cs="Times New Roman"/>
                <w:b/>
                <w:bCs/>
                <w:color w:val="auto"/>
                <w:sz w:val="24"/>
              </w:rPr>
              <w:t>2、</w:t>
            </w:r>
            <w:r>
              <w:rPr>
                <w:rFonts w:hint="default" w:ascii="Times New Roman" w:hAnsi="Times New Roman" w:cs="Times New Roman"/>
                <w:b/>
                <w:color w:val="auto"/>
                <w:sz w:val="24"/>
              </w:rPr>
              <w:t>废气评价标准</w:t>
            </w:r>
          </w:p>
          <w:p w14:paraId="1254CEE4">
            <w:pPr>
              <w:adjustRightInd w:val="0"/>
              <w:snapToGrid w:val="0"/>
              <w:spacing w:line="500" w:lineRule="exact"/>
              <w:ind w:firstLine="480"/>
              <w:rPr>
                <w:rFonts w:hint="default" w:ascii="Times New Roman" w:hAnsi="Times New Roman" w:cs="Times New Roman"/>
                <w:sz w:val="24"/>
                <w:szCs w:val="24"/>
                <w:lang w:val="en-US"/>
              </w:rPr>
            </w:pPr>
            <w:r>
              <w:rPr>
                <w:rFonts w:hint="default" w:ascii="Times New Roman" w:hAnsi="Times New Roman" w:eastAsia="宋体" w:cs="Times New Roman"/>
                <w:color w:val="000000" w:themeColor="text1"/>
                <w:sz w:val="24"/>
                <w14:textFill>
                  <w14:solidFill>
                    <w14:schemeClr w14:val="tx1"/>
                  </w14:solidFill>
                </w14:textFill>
              </w:rPr>
              <w:t>根据项目环评及批复文件的要求，项目营运期</w:t>
            </w:r>
            <w:r>
              <w:rPr>
                <w:rFonts w:hint="default" w:ascii="Times New Roman" w:hAnsi="Times New Roman" w:cs="Times New Roman"/>
                <w:sz w:val="24"/>
                <w:szCs w:val="24"/>
                <w:lang w:val="en-US" w:eastAsia="zh-CN"/>
              </w:rPr>
              <w:t>发泡废气有组织排放执行</w:t>
            </w:r>
            <w:r>
              <w:rPr>
                <w:rFonts w:hint="default" w:ascii="Times New Roman" w:hAnsi="Times New Roman" w:eastAsia="宋体" w:cs="Times New Roman"/>
                <w:color w:val="000000"/>
                <w:kern w:val="0"/>
                <w:sz w:val="24"/>
                <w:szCs w:val="24"/>
                <w:lang w:val="en-US" w:eastAsia="zh-CN" w:bidi="ar"/>
              </w:rPr>
              <w:t>《合成树脂工业污染物排放标准》（GB31572-2015）（含2024年修改单）中表4大气污染物排放限值；塑料异味有组织排放执行</w:t>
            </w:r>
            <w:r>
              <w:rPr>
                <w:rFonts w:hint="default" w:ascii="Times New Roman" w:hAnsi="Times New Roman" w:cs="Times New Roman"/>
                <w:sz w:val="24"/>
                <w:szCs w:val="24"/>
                <w:lang w:val="en-US" w:eastAsia="zh-CN"/>
              </w:rPr>
              <w:t>《恶臭污染物排放标准》（GB14554-93）中表2排放标准。</w:t>
            </w:r>
            <w:r>
              <w:rPr>
                <w:rFonts w:hint="default" w:ascii="Times New Roman" w:hAnsi="Times New Roman" w:eastAsia="宋体" w:cs="Times New Roman"/>
                <w:color w:val="000000"/>
                <w:kern w:val="0"/>
                <w:sz w:val="24"/>
                <w:szCs w:val="24"/>
                <w:lang w:val="en-US" w:eastAsia="zh-CN" w:bidi="ar"/>
              </w:rPr>
              <w:t>具体标准限值见下表。</w:t>
            </w:r>
          </w:p>
          <w:p w14:paraId="7DB75277">
            <w:pPr>
              <w:adjustRightInd w:val="0"/>
              <w:snapToGrid w:val="0"/>
              <w:spacing w:line="500" w:lineRule="exact"/>
              <w:jc w:val="center"/>
              <w:rPr>
                <w:rFonts w:hint="default" w:ascii="Times New Roman" w:hAnsi="Times New Roman" w:cs="Times New Roman"/>
                <w:b/>
                <w:bCs/>
                <w:sz w:val="24"/>
              </w:rPr>
            </w:pPr>
            <w:r>
              <w:rPr>
                <w:rFonts w:hint="default" w:ascii="Times New Roman" w:hAnsi="Times New Roman" w:cs="Times New Roman"/>
                <w:b/>
                <w:bCs/>
                <w:sz w:val="24"/>
              </w:rPr>
              <w:t>表3-</w:t>
            </w:r>
            <w:r>
              <w:rPr>
                <w:rFonts w:hint="default" w:ascii="Times New Roman" w:hAnsi="Times New Roman" w:cs="Times New Roman"/>
                <w:b/>
                <w:bCs/>
                <w:sz w:val="24"/>
                <w:lang w:val="en-US" w:eastAsia="zh-CN"/>
              </w:rPr>
              <w:t>3</w:t>
            </w:r>
            <w:r>
              <w:rPr>
                <w:rFonts w:hint="default" w:ascii="Times New Roman" w:hAnsi="Times New Roman" w:cs="Times New Roman"/>
                <w:b/>
                <w:bCs/>
                <w:sz w:val="24"/>
              </w:rPr>
              <w:t>大气污染物排放限值（摘录）单位：mg/m</w:t>
            </w:r>
            <w:r>
              <w:rPr>
                <w:rFonts w:hint="default" w:ascii="Times New Roman" w:hAnsi="Times New Roman" w:cs="Times New Roman"/>
                <w:b/>
                <w:bCs/>
                <w:sz w:val="24"/>
                <w:vertAlign w:val="superscript"/>
              </w:rPr>
              <w:t>3</w:t>
            </w:r>
          </w:p>
          <w:tbl>
            <w:tblPr>
              <w:tblStyle w:val="30"/>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875"/>
              <w:gridCol w:w="1170"/>
              <w:gridCol w:w="2124"/>
              <w:gridCol w:w="1475"/>
            </w:tblGrid>
            <w:tr w14:paraId="4961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6" w:type="dxa"/>
                  <w:noWrap w:val="0"/>
                  <w:vAlign w:val="center"/>
                </w:tcPr>
                <w:p w14:paraId="5FAA3467">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序号</w:t>
                  </w:r>
                </w:p>
              </w:tc>
              <w:tc>
                <w:tcPr>
                  <w:tcW w:w="1875" w:type="dxa"/>
                  <w:noWrap w:val="0"/>
                  <w:vAlign w:val="center"/>
                </w:tcPr>
                <w:p w14:paraId="12DE1E33">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污染物项目</w:t>
                  </w:r>
                </w:p>
              </w:tc>
              <w:tc>
                <w:tcPr>
                  <w:tcW w:w="1170" w:type="dxa"/>
                  <w:noWrap w:val="0"/>
                  <w:vAlign w:val="center"/>
                </w:tcPr>
                <w:p w14:paraId="073E2D1D">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排放限值</w:t>
                  </w:r>
                </w:p>
              </w:tc>
              <w:tc>
                <w:tcPr>
                  <w:tcW w:w="2124" w:type="dxa"/>
                  <w:noWrap w:val="0"/>
                  <w:vAlign w:val="center"/>
                </w:tcPr>
                <w:p w14:paraId="7B4D35C4">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适用的合成树脂类型</w:t>
                  </w:r>
                </w:p>
              </w:tc>
              <w:tc>
                <w:tcPr>
                  <w:tcW w:w="1475" w:type="dxa"/>
                  <w:noWrap w:val="0"/>
                  <w:vAlign w:val="center"/>
                </w:tcPr>
                <w:p w14:paraId="4D6B150D">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污染物排放监控位置</w:t>
                  </w:r>
                </w:p>
              </w:tc>
            </w:tr>
            <w:tr w14:paraId="12BF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6" w:type="dxa"/>
                  <w:noWrap w:val="0"/>
                  <w:vAlign w:val="center"/>
                </w:tcPr>
                <w:p w14:paraId="452510C7">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1</w:t>
                  </w:r>
                </w:p>
              </w:tc>
              <w:tc>
                <w:tcPr>
                  <w:tcW w:w="1875" w:type="dxa"/>
                  <w:noWrap w:val="0"/>
                  <w:vAlign w:val="center"/>
                </w:tcPr>
                <w:p w14:paraId="46BE2629">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非甲烷总烃</w:t>
                  </w:r>
                </w:p>
              </w:tc>
              <w:tc>
                <w:tcPr>
                  <w:tcW w:w="1170" w:type="dxa"/>
                  <w:noWrap w:val="0"/>
                  <w:vAlign w:val="center"/>
                </w:tcPr>
                <w:p w14:paraId="57D6C9C9">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100</w:t>
                  </w:r>
                </w:p>
              </w:tc>
              <w:tc>
                <w:tcPr>
                  <w:tcW w:w="2124" w:type="dxa"/>
                  <w:noWrap w:val="0"/>
                  <w:vAlign w:val="center"/>
                </w:tcPr>
                <w:p w14:paraId="759C9C86">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所有合成树脂</w:t>
                  </w:r>
                </w:p>
              </w:tc>
              <w:tc>
                <w:tcPr>
                  <w:tcW w:w="1475" w:type="dxa"/>
                  <w:noWrap w:val="0"/>
                  <w:vAlign w:val="center"/>
                </w:tcPr>
                <w:p w14:paraId="1CB3ED2C">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车间或生产设施排气筒</w:t>
                  </w:r>
                </w:p>
              </w:tc>
            </w:tr>
          </w:tbl>
          <w:p w14:paraId="4ED8E4F2">
            <w:pPr>
              <w:pStyle w:val="84"/>
              <w:keepNext w:val="0"/>
              <w:keepLines w:val="0"/>
              <w:pageBreakBefore w:val="0"/>
              <w:widowControl w:val="0"/>
              <w:kinsoku/>
              <w:wordWrap/>
              <w:overflowPunct/>
              <w:topLinePunct w:val="0"/>
              <w:autoSpaceDE/>
              <w:autoSpaceDN/>
              <w:bidi w:val="0"/>
              <w:adjustRightInd w:val="0"/>
              <w:snapToGrid w:val="0"/>
              <w:spacing w:before="0" w:after="0" w:line="500" w:lineRule="exact"/>
              <w:ind w:left="0" w:right="0" w:firstLine="0"/>
              <w:jc w:val="center"/>
              <w:textAlignment w:val="baseline"/>
              <w:rPr>
                <w:rFonts w:hint="default" w:ascii="Times New Roman" w:hAnsi="Times New Roman" w:eastAsia="宋体" w:cs="Times New Roman"/>
                <w:b/>
                <w:snapToGrid w:val="0"/>
                <w:color w:val="auto"/>
                <w:kern w:val="0"/>
                <w:sz w:val="24"/>
                <w:szCs w:val="24"/>
              </w:rPr>
            </w:pPr>
            <w:r>
              <w:rPr>
                <w:rFonts w:hint="default" w:ascii="Times New Roman" w:hAnsi="Times New Roman" w:eastAsia="宋体" w:cs="Times New Roman"/>
                <w:b/>
                <w:snapToGrid w:val="0"/>
                <w:color w:val="auto"/>
                <w:kern w:val="0"/>
                <w:sz w:val="24"/>
                <w:szCs w:val="24"/>
              </w:rPr>
              <w:t>表</w:t>
            </w:r>
            <w:r>
              <w:rPr>
                <w:rFonts w:hint="eastAsia" w:ascii="Times New Roman" w:hAnsi="Times New Roman" w:eastAsia="宋体" w:cs="Times New Roman"/>
                <w:b/>
                <w:snapToGrid w:val="0"/>
                <w:color w:val="auto"/>
                <w:kern w:val="0"/>
                <w:sz w:val="24"/>
                <w:szCs w:val="24"/>
                <w:lang w:val="en-US" w:eastAsia="zh-CN"/>
              </w:rPr>
              <w:t>3-4恶臭污染物</w:t>
            </w:r>
            <w:r>
              <w:rPr>
                <w:rFonts w:hint="default" w:ascii="Times New Roman" w:hAnsi="Times New Roman" w:eastAsia="宋体" w:cs="Times New Roman"/>
                <w:b/>
                <w:snapToGrid w:val="0"/>
                <w:color w:val="auto"/>
                <w:kern w:val="0"/>
                <w:sz w:val="24"/>
                <w:szCs w:val="24"/>
              </w:rPr>
              <w:t>排放标准（摘录）</w:t>
            </w:r>
          </w:p>
          <w:tbl>
            <w:tblPr>
              <w:tblStyle w:val="30"/>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1"/>
              <w:gridCol w:w="1843"/>
              <w:gridCol w:w="1843"/>
              <w:gridCol w:w="1843"/>
            </w:tblGrid>
            <w:tr w14:paraId="277AF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68" w:type="dxa"/>
                  <w:noWrap w:val="0"/>
                  <w:vAlign w:val="center"/>
                </w:tcPr>
                <w:p w14:paraId="07D1A2F4">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序号</w:t>
                  </w:r>
                </w:p>
              </w:tc>
              <w:tc>
                <w:tcPr>
                  <w:tcW w:w="2169" w:type="dxa"/>
                  <w:noWrap w:val="0"/>
                  <w:vAlign w:val="center"/>
                </w:tcPr>
                <w:p w14:paraId="74C8A293">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控制项目</w:t>
                  </w:r>
                </w:p>
              </w:tc>
              <w:tc>
                <w:tcPr>
                  <w:tcW w:w="2169" w:type="dxa"/>
                  <w:noWrap w:val="0"/>
                  <w:vAlign w:val="center"/>
                </w:tcPr>
                <w:p w14:paraId="0226ECB0">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排气筒高度，m</w:t>
                  </w:r>
                </w:p>
              </w:tc>
              <w:tc>
                <w:tcPr>
                  <w:tcW w:w="2169" w:type="dxa"/>
                  <w:noWrap w:val="0"/>
                  <w:vAlign w:val="center"/>
                </w:tcPr>
                <w:p w14:paraId="69D4A195">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标准值（无量纲）</w:t>
                  </w:r>
                </w:p>
              </w:tc>
            </w:tr>
            <w:tr w14:paraId="391EA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68" w:type="dxa"/>
                  <w:noWrap w:val="0"/>
                  <w:vAlign w:val="center"/>
                </w:tcPr>
                <w:p w14:paraId="402B5098">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1</w:t>
                  </w:r>
                </w:p>
              </w:tc>
              <w:tc>
                <w:tcPr>
                  <w:tcW w:w="2169" w:type="dxa"/>
                  <w:noWrap w:val="0"/>
                  <w:vAlign w:val="center"/>
                </w:tcPr>
                <w:p w14:paraId="075E8422">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臭气浓度</w:t>
                  </w:r>
                </w:p>
              </w:tc>
              <w:tc>
                <w:tcPr>
                  <w:tcW w:w="2169" w:type="dxa"/>
                  <w:noWrap w:val="0"/>
                  <w:vAlign w:val="center"/>
                </w:tcPr>
                <w:p w14:paraId="6FC7509A">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15</w:t>
                  </w:r>
                </w:p>
              </w:tc>
              <w:tc>
                <w:tcPr>
                  <w:tcW w:w="2169" w:type="dxa"/>
                  <w:noWrap w:val="0"/>
                  <w:vAlign w:val="center"/>
                </w:tcPr>
                <w:p w14:paraId="5FCA46D1">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2000</w:t>
                  </w:r>
                </w:p>
              </w:tc>
            </w:tr>
          </w:tbl>
          <w:p w14:paraId="5A54AAF7">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厂界废气污染物排放执行《合成树脂工业污染物排放标准》（GB31572-2015）（含2024年修改单）中表9企业边界大气污染物浓度限值；厂界臭气异味排放执行《恶臭污染物排放标准》（GB14554-93）中“表1二级新扩改建”排放标准。具体标准限值见下表。</w:t>
            </w:r>
          </w:p>
          <w:p w14:paraId="04C3E580">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表3-5企业边界大气污染物浓度限值（摘录）</w:t>
            </w:r>
            <w:r>
              <w:rPr>
                <w:rFonts w:hint="default" w:ascii="Times New Roman" w:hAnsi="Times New Roman" w:eastAsia="宋体" w:cs="Times New Roman"/>
                <w:b/>
                <w:bCs/>
                <w:color w:val="auto"/>
                <w:sz w:val="24"/>
                <w:szCs w:val="24"/>
                <w:highlight w:val="none"/>
                <w:lang w:val="en-US" w:eastAsia="zh-CN"/>
              </w:rPr>
              <w:t>单位</w:t>
            </w:r>
            <w:r>
              <w:rPr>
                <w:rFonts w:hint="default" w:ascii="Times New Roman" w:hAnsi="Times New Roman" w:eastAsia="宋体" w:cs="Times New Roman"/>
                <w:b/>
                <w:bCs/>
                <w:sz w:val="24"/>
                <w:szCs w:val="24"/>
                <w:vertAlign w:val="baseline"/>
                <w:lang w:val="en-US" w:eastAsia="zh-CN"/>
              </w:rPr>
              <w:t>mg/m</w:t>
            </w:r>
            <w:r>
              <w:rPr>
                <w:rFonts w:hint="default" w:ascii="Times New Roman" w:hAnsi="Times New Roman" w:eastAsia="宋体" w:cs="Times New Roman"/>
                <w:b/>
                <w:bCs/>
                <w:sz w:val="24"/>
                <w:szCs w:val="24"/>
                <w:vertAlign w:val="superscript"/>
                <w:lang w:val="en-US" w:eastAsia="zh-CN"/>
              </w:rPr>
              <w:t>3</w:t>
            </w:r>
          </w:p>
          <w:tbl>
            <w:tblPr>
              <w:tblStyle w:val="30"/>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6"/>
              <w:gridCol w:w="2457"/>
              <w:gridCol w:w="2457"/>
            </w:tblGrid>
            <w:tr w14:paraId="3DE12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34" w:type="dxa"/>
                  <w:noWrap w:val="0"/>
                  <w:vAlign w:val="center"/>
                </w:tcPr>
                <w:p w14:paraId="602ED51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序号</w:t>
                  </w:r>
                </w:p>
              </w:tc>
              <w:tc>
                <w:tcPr>
                  <w:tcW w:w="2835" w:type="dxa"/>
                  <w:noWrap w:val="0"/>
                  <w:vAlign w:val="center"/>
                </w:tcPr>
                <w:p w14:paraId="218899B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污染物项目</w:t>
                  </w:r>
                </w:p>
              </w:tc>
              <w:tc>
                <w:tcPr>
                  <w:tcW w:w="2835" w:type="dxa"/>
                  <w:noWrap w:val="0"/>
                  <w:vAlign w:val="center"/>
                </w:tcPr>
                <w:p w14:paraId="40F895C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限值</w:t>
                  </w:r>
                </w:p>
              </w:tc>
            </w:tr>
            <w:tr w14:paraId="23FAA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34" w:type="dxa"/>
                  <w:noWrap w:val="0"/>
                  <w:vAlign w:val="center"/>
                </w:tcPr>
                <w:p w14:paraId="3165331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1</w:t>
                  </w:r>
                </w:p>
              </w:tc>
              <w:tc>
                <w:tcPr>
                  <w:tcW w:w="2835" w:type="dxa"/>
                  <w:noWrap w:val="0"/>
                  <w:vAlign w:val="center"/>
                </w:tcPr>
                <w:p w14:paraId="47FAF8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非甲烷总烃</w:t>
                  </w:r>
                </w:p>
              </w:tc>
              <w:tc>
                <w:tcPr>
                  <w:tcW w:w="2835" w:type="dxa"/>
                  <w:noWrap w:val="0"/>
                  <w:vAlign w:val="center"/>
                </w:tcPr>
                <w:p w14:paraId="44F9A1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4.0</w:t>
                  </w:r>
                </w:p>
              </w:tc>
            </w:tr>
          </w:tbl>
          <w:p w14:paraId="6D004190">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b/>
                <w:bCs/>
                <w:sz w:val="24"/>
                <w:szCs w:val="24"/>
                <w:lang w:val="en-US"/>
              </w:rPr>
            </w:pPr>
            <w:r>
              <w:rPr>
                <w:rFonts w:hint="default" w:ascii="Times New Roman" w:hAnsi="Times New Roman" w:cs="Times New Roman"/>
                <w:b/>
                <w:bCs/>
                <w:sz w:val="24"/>
                <w:szCs w:val="24"/>
                <w:lang w:val="en-US" w:eastAsia="zh-CN"/>
              </w:rPr>
              <w:t>表3-6恶臭污染物厂界标准值（摘录）</w:t>
            </w:r>
          </w:p>
          <w:tbl>
            <w:tblPr>
              <w:tblStyle w:val="30"/>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1842"/>
              <w:gridCol w:w="1843"/>
              <w:gridCol w:w="1843"/>
            </w:tblGrid>
            <w:tr w14:paraId="697CE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restart"/>
                  <w:noWrap w:val="0"/>
                  <w:vAlign w:val="center"/>
                </w:tcPr>
                <w:p w14:paraId="3F994B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序号</w:t>
                  </w:r>
                </w:p>
              </w:tc>
              <w:tc>
                <w:tcPr>
                  <w:tcW w:w="2126" w:type="dxa"/>
                  <w:vMerge w:val="restart"/>
                  <w:noWrap w:val="0"/>
                  <w:vAlign w:val="center"/>
                </w:tcPr>
                <w:p w14:paraId="5BB2968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控制项目</w:t>
                  </w:r>
                </w:p>
              </w:tc>
              <w:tc>
                <w:tcPr>
                  <w:tcW w:w="2126" w:type="dxa"/>
                  <w:vMerge w:val="restart"/>
                  <w:noWrap w:val="0"/>
                  <w:vAlign w:val="center"/>
                </w:tcPr>
                <w:p w14:paraId="626FA1F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单位</w:t>
                  </w:r>
                </w:p>
              </w:tc>
              <w:tc>
                <w:tcPr>
                  <w:tcW w:w="2126" w:type="dxa"/>
                  <w:noWrap w:val="0"/>
                  <w:vAlign w:val="center"/>
                </w:tcPr>
                <w:p w14:paraId="1E42E5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二级</w:t>
                  </w:r>
                </w:p>
              </w:tc>
            </w:tr>
            <w:tr w14:paraId="7F24D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vMerge w:val="continue"/>
                  <w:noWrap w:val="0"/>
                  <w:vAlign w:val="center"/>
                </w:tcPr>
                <w:p w14:paraId="440D074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p>
              </w:tc>
              <w:tc>
                <w:tcPr>
                  <w:tcW w:w="2126" w:type="dxa"/>
                  <w:vMerge w:val="continue"/>
                  <w:noWrap w:val="0"/>
                  <w:vAlign w:val="center"/>
                </w:tcPr>
                <w:p w14:paraId="2191E42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p>
              </w:tc>
              <w:tc>
                <w:tcPr>
                  <w:tcW w:w="2126" w:type="dxa"/>
                  <w:vMerge w:val="continue"/>
                  <w:noWrap w:val="0"/>
                  <w:vAlign w:val="center"/>
                </w:tcPr>
                <w:p w14:paraId="2E3FE5C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p>
              </w:tc>
              <w:tc>
                <w:tcPr>
                  <w:tcW w:w="2126" w:type="dxa"/>
                  <w:noWrap w:val="0"/>
                  <w:vAlign w:val="center"/>
                </w:tcPr>
                <w:p w14:paraId="6CD89A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新改扩建</w:t>
                  </w:r>
                </w:p>
              </w:tc>
            </w:tr>
            <w:tr w14:paraId="3FB4D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26" w:type="dxa"/>
                  <w:noWrap w:val="0"/>
                  <w:vAlign w:val="center"/>
                </w:tcPr>
                <w:p w14:paraId="55A5421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1</w:t>
                  </w:r>
                </w:p>
              </w:tc>
              <w:tc>
                <w:tcPr>
                  <w:tcW w:w="2126" w:type="dxa"/>
                  <w:noWrap w:val="0"/>
                  <w:vAlign w:val="center"/>
                </w:tcPr>
                <w:p w14:paraId="336C49F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臭气浓度</w:t>
                  </w:r>
                </w:p>
              </w:tc>
              <w:tc>
                <w:tcPr>
                  <w:tcW w:w="2126" w:type="dxa"/>
                  <w:noWrap w:val="0"/>
                  <w:vAlign w:val="center"/>
                </w:tcPr>
                <w:p w14:paraId="629785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sz w:val="21"/>
                      <w:szCs w:val="21"/>
                      <w:vertAlign w:val="baseline"/>
                      <w:lang w:val="en-US" w:eastAsia="zh-CN"/>
                    </w:rPr>
                    <w:t>mg/m</w:t>
                  </w:r>
                  <w:r>
                    <w:rPr>
                      <w:rFonts w:hint="default" w:ascii="Times New Roman" w:hAnsi="Times New Roman" w:eastAsia="宋体" w:cs="Times New Roman"/>
                      <w:b w:val="0"/>
                      <w:bCs w:val="0"/>
                      <w:sz w:val="21"/>
                      <w:szCs w:val="21"/>
                      <w:vertAlign w:val="superscript"/>
                      <w:lang w:val="en-US" w:eastAsia="zh-CN"/>
                    </w:rPr>
                    <w:t>3</w:t>
                  </w:r>
                </w:p>
              </w:tc>
              <w:tc>
                <w:tcPr>
                  <w:tcW w:w="2126" w:type="dxa"/>
                  <w:noWrap w:val="0"/>
                  <w:vAlign w:val="center"/>
                </w:tcPr>
                <w:p w14:paraId="0F71892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20</w:t>
                  </w:r>
                </w:p>
              </w:tc>
            </w:tr>
          </w:tbl>
          <w:p w14:paraId="4D931FC3">
            <w:pPr>
              <w:pStyle w:val="38"/>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3、噪声评价标准</w:t>
            </w:r>
          </w:p>
          <w:p w14:paraId="20366411">
            <w:pPr>
              <w:pStyle w:val="38"/>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根据项目环评及批复文件的要求，项目营运期噪声排放执行《工业企业厂界环境噪声排放标准》（GB 12348-2008）中的3类标准，具体标准限值见下表。</w:t>
            </w:r>
          </w:p>
          <w:p w14:paraId="61A9AD0D">
            <w:pPr>
              <w:pStyle w:val="49"/>
              <w:keepNext w:val="0"/>
              <w:keepLines w:val="0"/>
              <w:pageBreakBefore w:val="0"/>
              <w:widowControl w:val="0"/>
              <w:kinsoku/>
              <w:wordWrap/>
              <w:overflowPunct/>
              <w:topLinePunct w:val="0"/>
              <w:autoSpaceDE/>
              <w:autoSpaceDN/>
              <w:bidi w:val="0"/>
              <w:adjustRightInd w:val="0"/>
              <w:snapToGrid w:val="0"/>
              <w:spacing w:line="500" w:lineRule="exact"/>
              <w:ind w:firstLine="482"/>
              <w:jc w:val="center"/>
              <w:textAlignment w:val="auto"/>
              <w:rPr>
                <w:rFonts w:hint="default" w:ascii="Times New Roman" w:hAnsi="Times New Roman" w:cs="Times New Roman"/>
                <w:b/>
                <w:bCs/>
              </w:rPr>
            </w:pPr>
            <w:r>
              <w:rPr>
                <w:rFonts w:hint="default" w:ascii="Times New Roman" w:hAnsi="Times New Roman" w:cs="Times New Roman"/>
                <w:b/>
                <w:bCs/>
              </w:rPr>
              <w:t>表1-5营运期界噪声排放限值 单位：dB（A）</w:t>
            </w:r>
          </w:p>
          <w:tbl>
            <w:tblPr>
              <w:tblStyle w:val="29"/>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85"/>
              <w:gridCol w:w="2781"/>
              <w:gridCol w:w="3004"/>
            </w:tblGrid>
            <w:tr w14:paraId="1E8A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vMerge w:val="restart"/>
                  <w:tcBorders>
                    <w:left w:val="single" w:color="auto" w:sz="4" w:space="0"/>
                    <w:right w:val="single" w:color="auto" w:sz="4" w:space="0"/>
                  </w:tcBorders>
                  <w:vAlign w:val="center"/>
                </w:tcPr>
                <w:p w14:paraId="4560B380">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类别</w:t>
                  </w:r>
                </w:p>
              </w:tc>
              <w:tc>
                <w:tcPr>
                  <w:tcW w:w="6855" w:type="dxa"/>
                  <w:gridSpan w:val="2"/>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29D2FEEE">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标准值</w:t>
                  </w:r>
                </w:p>
              </w:tc>
            </w:tr>
            <w:tr w14:paraId="29ABD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vMerge w:val="continue"/>
                  <w:tcBorders>
                    <w:left w:val="single" w:color="auto" w:sz="4" w:space="0"/>
                    <w:bottom w:val="single" w:color="auto" w:sz="4" w:space="0"/>
                    <w:right w:val="single" w:color="auto" w:sz="4" w:space="0"/>
                  </w:tcBorders>
                  <w:vAlign w:val="center"/>
                </w:tcPr>
                <w:p w14:paraId="4D8B3D20">
                  <w:pPr>
                    <w:adjustRightInd w:val="0"/>
                    <w:snapToGrid w:val="0"/>
                    <w:jc w:val="center"/>
                    <w:rPr>
                      <w:rFonts w:ascii="Times New Roman" w:hAnsi="Times New Roman" w:eastAsia="宋体" w:cs="Times New Roman"/>
                      <w:szCs w:val="21"/>
                    </w:rPr>
                  </w:pPr>
                </w:p>
              </w:tc>
              <w:tc>
                <w:tcPr>
                  <w:tcW w:w="3295"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71B4E3E4">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昼间</w:t>
                  </w:r>
                </w:p>
              </w:tc>
              <w:tc>
                <w:tcPr>
                  <w:tcW w:w="3560"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439797EA">
                  <w:pPr>
                    <w:adjustRightInd w:val="0"/>
                    <w:snapToGrid w:val="0"/>
                    <w:jc w:val="center"/>
                    <w:rPr>
                      <w:rFonts w:ascii="Times New Roman" w:hAnsi="Times New Roman" w:eastAsia="宋体" w:cs="Times New Roman"/>
                      <w:szCs w:val="21"/>
                    </w:rPr>
                  </w:pPr>
                  <w:r>
                    <w:rPr>
                      <w:rFonts w:ascii="Times New Roman" w:hAnsi="Times New Roman" w:eastAsia="宋体" w:cs="Times New Roman"/>
                      <w:szCs w:val="21"/>
                    </w:rPr>
                    <w:t>夜间</w:t>
                  </w:r>
                </w:p>
              </w:tc>
            </w:tr>
            <w:tr w14:paraId="473D8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877" w:type="dxa"/>
                  <w:tcBorders>
                    <w:top w:val="single" w:color="auto" w:sz="4" w:space="0"/>
                    <w:left w:val="single" w:color="auto" w:sz="4" w:space="0"/>
                    <w:bottom w:val="single" w:color="auto" w:sz="4" w:space="0"/>
                    <w:right w:val="single" w:color="auto" w:sz="4" w:space="0"/>
                  </w:tcBorders>
                  <w:vAlign w:val="center"/>
                </w:tcPr>
                <w:p w14:paraId="3F58D5EA">
                  <w:pPr>
                    <w:pStyle w:val="43"/>
                    <w:adjustRightInd w:val="0"/>
                    <w:snapToGrid w:val="0"/>
                    <w:ind w:left="0" w:leftChars="0" w:firstLine="0" w:firstLineChars="0"/>
                    <w:jc w:val="center"/>
                    <w:rPr>
                      <w:rFonts w:ascii="Times New Roman" w:hAnsi="Times New Roman" w:eastAsia="宋体" w:cs="Times New Roman"/>
                    </w:rPr>
                  </w:pPr>
                  <w:r>
                    <w:rPr>
                      <w:rFonts w:ascii="Times New Roman" w:hAnsi="Times New Roman" w:eastAsia="宋体" w:cs="Times New Roman"/>
                    </w:rPr>
                    <w:t>3类</w:t>
                  </w:r>
                </w:p>
              </w:tc>
              <w:tc>
                <w:tcPr>
                  <w:tcW w:w="3295"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4E135A62">
                  <w:pPr>
                    <w:pStyle w:val="43"/>
                    <w:adjustRightInd w:val="0"/>
                    <w:snapToGrid w:val="0"/>
                    <w:ind w:left="0" w:leftChars="0" w:firstLine="0" w:firstLineChars="0"/>
                    <w:jc w:val="center"/>
                    <w:rPr>
                      <w:rFonts w:ascii="Times New Roman" w:hAnsi="Times New Roman" w:eastAsia="宋体" w:cs="Times New Roman"/>
                    </w:rPr>
                  </w:pPr>
                  <w:r>
                    <w:rPr>
                      <w:rFonts w:ascii="Times New Roman" w:hAnsi="Times New Roman" w:eastAsia="宋体" w:cs="Times New Roman"/>
                    </w:rPr>
                    <w:t>65</w:t>
                  </w:r>
                </w:p>
              </w:tc>
              <w:tc>
                <w:tcPr>
                  <w:tcW w:w="3560" w:type="dxa"/>
                  <w:tcBorders>
                    <w:top w:val="single" w:color="auto" w:sz="4" w:space="0"/>
                    <w:left w:val="single" w:color="auto" w:sz="4" w:space="0"/>
                    <w:bottom w:val="single" w:color="auto" w:sz="4" w:space="0"/>
                    <w:right w:val="single" w:color="auto" w:sz="4" w:space="0"/>
                  </w:tcBorders>
                  <w:tcMar>
                    <w:top w:w="17" w:type="dxa"/>
                    <w:left w:w="17" w:type="dxa"/>
                    <w:bottom w:w="0" w:type="dxa"/>
                    <w:right w:w="17" w:type="dxa"/>
                  </w:tcMar>
                  <w:vAlign w:val="center"/>
                </w:tcPr>
                <w:p w14:paraId="577F3C6A">
                  <w:pPr>
                    <w:pStyle w:val="43"/>
                    <w:adjustRightInd w:val="0"/>
                    <w:snapToGrid w:val="0"/>
                    <w:ind w:left="0" w:leftChars="0" w:firstLine="0" w:firstLineChars="0"/>
                    <w:jc w:val="center"/>
                    <w:rPr>
                      <w:rFonts w:ascii="Times New Roman" w:hAnsi="Times New Roman" w:eastAsia="宋体" w:cs="Times New Roman"/>
                    </w:rPr>
                  </w:pPr>
                  <w:r>
                    <w:rPr>
                      <w:rFonts w:ascii="Times New Roman" w:hAnsi="Times New Roman" w:eastAsia="宋体" w:cs="Times New Roman"/>
                    </w:rPr>
                    <w:t>55</w:t>
                  </w:r>
                </w:p>
              </w:tc>
            </w:tr>
          </w:tbl>
          <w:p w14:paraId="1F7F062D">
            <w:pPr>
              <w:pStyle w:val="38"/>
              <w:adjustRightInd w:val="0"/>
              <w:snapToGrid w:val="0"/>
              <w:spacing w:line="500" w:lineRule="exact"/>
              <w:ind w:firstLine="482"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4、固废评价标准</w:t>
            </w:r>
          </w:p>
          <w:p w14:paraId="671CBF71">
            <w:pPr>
              <w:pStyle w:val="36"/>
              <w:snapToGrid w:val="0"/>
              <w:spacing w:line="500" w:lineRule="exact"/>
              <w:ind w:firstLine="480" w:firstLineChars="200"/>
              <w:rPr>
                <w:rFonts w:hint="default" w:ascii="Times New Roman" w:hAnsi="Times New Roman" w:cs="Times New Roman"/>
                <w:color w:val="auto"/>
                <w:kern w:val="0"/>
                <w:szCs w:val="24"/>
              </w:rPr>
            </w:pPr>
            <w:r>
              <w:rPr>
                <w:rFonts w:hint="default" w:ascii="Times New Roman" w:hAnsi="Times New Roman" w:cs="Times New Roman"/>
                <w:szCs w:val="24"/>
              </w:rPr>
              <w:t>根据</w:t>
            </w:r>
            <w:r>
              <w:rPr>
                <w:rFonts w:hint="default" w:ascii="Times New Roman" w:hAnsi="Times New Roman" w:cs="Times New Roman"/>
                <w:color w:val="auto"/>
                <w:szCs w:val="24"/>
              </w:rPr>
              <w:t>项目环评及批复文件的要求</w:t>
            </w:r>
            <w:r>
              <w:rPr>
                <w:rFonts w:hint="default" w:ascii="Times New Roman" w:hAnsi="Times New Roman" w:cs="Times New Roman"/>
                <w:szCs w:val="24"/>
              </w:rPr>
              <w:t>，</w:t>
            </w:r>
            <w:r>
              <w:rPr>
                <w:rFonts w:hint="default" w:ascii="Times New Roman" w:hAnsi="Times New Roman" w:eastAsia="宋体" w:cs="Times New Roman"/>
                <w:b w:val="0"/>
                <w:bCs w:val="0"/>
                <w:sz w:val="24"/>
                <w:szCs w:val="24"/>
              </w:rPr>
              <w:t>项目营运期</w:t>
            </w:r>
            <w:r>
              <w:rPr>
                <w:rFonts w:hint="default" w:ascii="Times New Roman" w:hAnsi="Times New Roman" w:cs="Times New Roman"/>
                <w:color w:val="auto"/>
                <w:kern w:val="0"/>
                <w:szCs w:val="24"/>
              </w:rPr>
              <w:t>一般固废执行《一般工业固体废物贮存和填埋污染控制标准》（GB18599-2020）的标准要求；危险废物执行《危险废物贮存污染控制标准》（GB18597-2023）。</w:t>
            </w:r>
          </w:p>
          <w:p w14:paraId="54E93CBF">
            <w:pPr>
              <w:adjustRightInd w:val="0"/>
              <w:snapToGrid w:val="0"/>
              <w:spacing w:line="500" w:lineRule="exact"/>
              <w:ind w:firstLine="482" w:firstLineChars="200"/>
              <w:rPr>
                <w:rFonts w:hint="default" w:ascii="Times New Roman" w:hAnsi="Times New Roman" w:eastAsia="宋体" w:cs="Times New Roman"/>
                <w:b/>
                <w:bCs/>
                <w:sz w:val="24"/>
              </w:rPr>
            </w:pPr>
            <w:r>
              <w:rPr>
                <w:rFonts w:hint="default" w:ascii="Times New Roman" w:hAnsi="Times New Roman" w:eastAsia="宋体" w:cs="Times New Roman"/>
                <w:b/>
                <w:bCs/>
                <w:sz w:val="24"/>
              </w:rPr>
              <w:t>5、总量控制指标</w:t>
            </w:r>
          </w:p>
          <w:p w14:paraId="12CC5E68">
            <w:pPr>
              <w:widowControl/>
              <w:adjustRightInd w:val="0"/>
              <w:snapToGrid w:val="0"/>
              <w:spacing w:line="500" w:lineRule="exact"/>
              <w:ind w:firstLine="480"/>
              <w:jc w:val="left"/>
              <w:rPr>
                <w:rFonts w:hint="default" w:ascii="Times New Roman" w:hAnsi="Times New Roman" w:eastAsia="宋体" w:cs="Times New Roman"/>
                <w:sz w:val="24"/>
              </w:rPr>
            </w:pPr>
            <w:r>
              <w:rPr>
                <w:rFonts w:hint="default" w:ascii="Times New Roman" w:hAnsi="Times New Roman" w:eastAsia="宋体" w:cs="Times New Roman"/>
                <w:sz w:val="24"/>
              </w:rPr>
              <w:t>根据项目环评及批复文件的要求，设置总量控制指标，有机废气污染物总量控制为：</w:t>
            </w:r>
            <w:r>
              <w:rPr>
                <w:rFonts w:hint="default" w:ascii="Times New Roman" w:hAnsi="Times New Roman" w:eastAsia="宋体" w:cs="Times New Roman"/>
                <w:color w:val="000000"/>
                <w:kern w:val="0"/>
                <w:sz w:val="24"/>
                <w:szCs w:val="24"/>
                <w:lang w:val="en-US" w:eastAsia="zh-CN" w:bidi="ar"/>
              </w:rPr>
              <w:t>非甲烷总烃</w:t>
            </w:r>
            <w:r>
              <w:rPr>
                <w:rFonts w:hint="default" w:ascii="Times New Roman" w:hAnsi="Times New Roman" w:eastAsia="宋体" w:cs="Times New Roman"/>
                <w:color w:val="000000"/>
                <w:kern w:val="0"/>
                <w:sz w:val="24"/>
                <w:szCs w:val="24"/>
                <w:vertAlign w:val="baseline"/>
                <w:lang w:val="en-US" w:eastAsia="zh-CN" w:bidi="ar"/>
              </w:rPr>
              <w:t>0.117</w:t>
            </w:r>
            <w:r>
              <w:rPr>
                <w:rFonts w:hint="default" w:ascii="Times New Roman" w:hAnsi="Times New Roman" w:eastAsia="宋体" w:cs="Times New Roman"/>
                <w:color w:val="000000"/>
                <w:kern w:val="0"/>
                <w:sz w:val="24"/>
                <w:szCs w:val="24"/>
                <w:highlight w:val="none"/>
                <w:lang w:val="en-US" w:eastAsia="zh-CN" w:bidi="ar"/>
              </w:rPr>
              <w:t>t/a</w:t>
            </w:r>
            <w:r>
              <w:rPr>
                <w:rFonts w:hint="default" w:ascii="Times New Roman" w:hAnsi="Times New Roman" w:eastAsia="宋体" w:cs="Times New Roman"/>
                <w:sz w:val="24"/>
              </w:rPr>
              <w:t>。</w:t>
            </w:r>
          </w:p>
          <w:p w14:paraId="454E684A">
            <w:pPr>
              <w:widowControl/>
              <w:adjustRightInd w:val="0"/>
              <w:snapToGrid w:val="0"/>
              <w:spacing w:line="480" w:lineRule="exact"/>
              <w:jc w:val="left"/>
            </w:pPr>
            <w:r>
              <w:rPr>
                <w:rFonts w:hint="eastAsia"/>
              </w:rPr>
              <w:t xml:space="preserve"> </w:t>
            </w:r>
          </w:p>
          <w:p w14:paraId="6C03B4AC">
            <w:pPr>
              <w:widowControl/>
              <w:adjustRightInd w:val="0"/>
              <w:snapToGrid w:val="0"/>
              <w:spacing w:line="480" w:lineRule="exact"/>
              <w:jc w:val="left"/>
            </w:pPr>
          </w:p>
          <w:p w14:paraId="653729DC">
            <w:pPr>
              <w:widowControl/>
              <w:adjustRightInd w:val="0"/>
              <w:snapToGrid w:val="0"/>
              <w:spacing w:line="480" w:lineRule="exact"/>
              <w:jc w:val="left"/>
            </w:pPr>
          </w:p>
          <w:p w14:paraId="104DD509">
            <w:pPr>
              <w:widowControl/>
              <w:adjustRightInd w:val="0"/>
              <w:snapToGrid w:val="0"/>
              <w:spacing w:line="480" w:lineRule="exact"/>
              <w:jc w:val="left"/>
            </w:pPr>
          </w:p>
          <w:p w14:paraId="14F27444">
            <w:pPr>
              <w:widowControl/>
              <w:adjustRightInd w:val="0"/>
              <w:snapToGrid w:val="0"/>
              <w:spacing w:line="480" w:lineRule="exact"/>
              <w:jc w:val="left"/>
            </w:pPr>
          </w:p>
          <w:p w14:paraId="34631ECF">
            <w:pPr>
              <w:widowControl/>
              <w:adjustRightInd w:val="0"/>
              <w:snapToGrid w:val="0"/>
              <w:spacing w:line="480" w:lineRule="exact"/>
              <w:jc w:val="left"/>
            </w:pPr>
          </w:p>
          <w:p w14:paraId="59A1B753">
            <w:pPr>
              <w:widowControl/>
              <w:adjustRightInd w:val="0"/>
              <w:snapToGrid w:val="0"/>
              <w:spacing w:line="480" w:lineRule="exact"/>
              <w:jc w:val="left"/>
            </w:pPr>
          </w:p>
          <w:p w14:paraId="2C02D9F9">
            <w:pPr>
              <w:widowControl/>
              <w:adjustRightInd w:val="0"/>
              <w:snapToGrid w:val="0"/>
              <w:spacing w:line="480" w:lineRule="exact"/>
              <w:jc w:val="left"/>
            </w:pPr>
          </w:p>
          <w:p w14:paraId="0470F1BD">
            <w:pPr>
              <w:widowControl/>
              <w:adjustRightInd w:val="0"/>
              <w:snapToGrid w:val="0"/>
              <w:spacing w:line="480" w:lineRule="exact"/>
              <w:jc w:val="left"/>
            </w:pPr>
          </w:p>
          <w:p w14:paraId="7BF68FB0">
            <w:pPr>
              <w:widowControl/>
              <w:adjustRightInd w:val="0"/>
              <w:snapToGrid w:val="0"/>
              <w:spacing w:line="480" w:lineRule="exact"/>
              <w:jc w:val="left"/>
            </w:pPr>
          </w:p>
          <w:p w14:paraId="3CF33D56">
            <w:pPr>
              <w:widowControl/>
              <w:adjustRightInd w:val="0"/>
              <w:snapToGrid w:val="0"/>
              <w:spacing w:line="480" w:lineRule="exact"/>
              <w:jc w:val="left"/>
            </w:pPr>
          </w:p>
          <w:p w14:paraId="5A84E362">
            <w:pPr>
              <w:widowControl/>
              <w:adjustRightInd w:val="0"/>
              <w:snapToGrid w:val="0"/>
              <w:spacing w:line="480" w:lineRule="exact"/>
              <w:jc w:val="left"/>
            </w:pPr>
          </w:p>
          <w:p w14:paraId="371409F5">
            <w:pPr>
              <w:widowControl/>
              <w:adjustRightInd w:val="0"/>
              <w:snapToGrid w:val="0"/>
              <w:spacing w:line="480" w:lineRule="exact"/>
              <w:jc w:val="left"/>
            </w:pPr>
          </w:p>
          <w:p w14:paraId="1C7DA7DB">
            <w:pPr>
              <w:widowControl/>
              <w:adjustRightInd w:val="0"/>
              <w:snapToGrid w:val="0"/>
              <w:spacing w:line="480" w:lineRule="exact"/>
              <w:jc w:val="left"/>
            </w:pPr>
          </w:p>
          <w:p w14:paraId="1ABBCEDF">
            <w:pPr>
              <w:widowControl/>
              <w:adjustRightInd w:val="0"/>
              <w:snapToGrid w:val="0"/>
              <w:spacing w:line="480" w:lineRule="exact"/>
              <w:jc w:val="left"/>
            </w:pPr>
          </w:p>
          <w:p w14:paraId="5E5D63D0">
            <w:pPr>
              <w:widowControl/>
              <w:adjustRightInd w:val="0"/>
              <w:snapToGrid w:val="0"/>
              <w:spacing w:line="480" w:lineRule="exact"/>
              <w:jc w:val="left"/>
            </w:pPr>
          </w:p>
        </w:tc>
      </w:tr>
    </w:tbl>
    <w:p w14:paraId="6CD3E3F6">
      <w:pPr>
        <w:adjustRightInd w:val="0"/>
        <w:snapToGrid w:val="0"/>
        <w:spacing w:line="500" w:lineRule="exact"/>
        <w:outlineLvl w:val="0"/>
        <w:rPr>
          <w:rFonts w:ascii="宋体" w:hAnsi="宋体" w:eastAsia="宋体" w:cs="宋体"/>
          <w:b/>
          <w:bCs/>
          <w:sz w:val="28"/>
          <w:szCs w:val="28"/>
        </w:rPr>
      </w:pPr>
      <w:bookmarkStart w:id="4" w:name="_Toc18295"/>
      <w:bookmarkStart w:id="5" w:name="_Toc20837"/>
      <w:bookmarkStart w:id="6" w:name="_Toc15627854"/>
      <w:r>
        <w:rPr>
          <w:rFonts w:ascii="宋体" w:hAnsi="宋体" w:eastAsia="宋体" w:cs="宋体"/>
          <w:b/>
          <w:bCs/>
          <w:sz w:val="28"/>
          <w:szCs w:val="28"/>
        </w:rPr>
        <w:t>表二</w:t>
      </w:r>
      <w:r>
        <w:rPr>
          <w:rFonts w:hint="eastAsia" w:ascii="宋体" w:hAnsi="宋体" w:eastAsia="宋体" w:cs="宋体"/>
          <w:b/>
          <w:bCs/>
          <w:sz w:val="28"/>
          <w:szCs w:val="28"/>
        </w:rPr>
        <w:t>、</w:t>
      </w:r>
      <w:r>
        <w:rPr>
          <w:rFonts w:ascii="宋体" w:hAnsi="宋体" w:eastAsia="宋体" w:cs="宋体"/>
          <w:b/>
          <w:bCs/>
          <w:sz w:val="28"/>
          <w:szCs w:val="28"/>
        </w:rPr>
        <w:t>建设内容、主要生产工艺及污染物产出流程</w:t>
      </w:r>
      <w:bookmarkEnd w:id="4"/>
      <w:bookmarkEnd w:id="5"/>
      <w:bookmarkEnd w:id="6"/>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055D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0" w:hRule="atLeast"/>
          <w:jc w:val="center"/>
        </w:trPr>
        <w:tc>
          <w:tcPr>
            <w:tcW w:w="8522" w:type="dxa"/>
          </w:tcPr>
          <w:p w14:paraId="17DD4DFB">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hAnsi="Times New Roman" w:eastAsia="宋体" w:cs="Times New Roman"/>
                <w:b/>
                <w:bCs/>
                <w:color w:val="000000" w:themeColor="text1"/>
                <w:sz w:val="24"/>
                <w14:textFill>
                  <w14:solidFill>
                    <w14:schemeClr w14:val="tx1"/>
                  </w14:solidFill>
                </w14:textFill>
              </w:rPr>
            </w:pPr>
            <w:r>
              <w:rPr>
                <w:rFonts w:ascii="Times New Roman" w:hAnsi="Times New Roman" w:eastAsia="宋体" w:cs="Times New Roman"/>
                <w:b/>
                <w:bCs/>
                <w:color w:val="000000" w:themeColor="text1"/>
                <w:sz w:val="24"/>
                <w14:textFill>
                  <w14:solidFill>
                    <w14:schemeClr w14:val="tx1"/>
                  </w14:solidFill>
                </w14:textFill>
              </w:rPr>
              <w:t>1、项目地理位置及周边情况</w:t>
            </w:r>
          </w:p>
          <w:p w14:paraId="2005422B">
            <w:pPr>
              <w:pStyle w:val="49"/>
              <w:keepNext w:val="0"/>
              <w:keepLines w:val="0"/>
              <w:pageBreakBefore w:val="0"/>
              <w:widowControl w:val="0"/>
              <w:kinsoku/>
              <w:wordWrap/>
              <w:overflowPunct/>
              <w:topLinePunct w:val="0"/>
              <w:bidi w:val="0"/>
              <w:adjustRightInd w:val="0"/>
              <w:snapToGrid w:val="0"/>
              <w:spacing w:line="500" w:lineRule="exact"/>
              <w:ind w:firstLine="480"/>
              <w:jc w:val="both"/>
              <w:textAlignment w:val="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根据本次验收现场勘察，相较环评期间，周边无新增环境保护目标。</w:t>
            </w:r>
          </w:p>
          <w:p w14:paraId="3B513CEF">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（1）大气环境保护目标</w:t>
            </w:r>
          </w:p>
          <w:p w14:paraId="6FAC4CFB">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项目沿线边界外50</w:t>
            </w:r>
            <w:r>
              <w:rPr>
                <w:rFonts w:hint="eastAsia" w:ascii="Times New Roman" w:hAnsi="Times New Roman" w:eastAsia="宋体" w:cs="Times New Roman"/>
                <w:sz w:val="24"/>
                <w:szCs w:val="24"/>
                <w:lang w:val="en-US" w:eastAsia="zh-CN"/>
              </w:rPr>
              <w:t>0</w:t>
            </w:r>
            <w:r>
              <w:rPr>
                <w:rFonts w:hint="default" w:ascii="Times New Roman" w:hAnsi="Times New Roman" w:eastAsia="宋体" w:cs="Times New Roman"/>
                <w:sz w:val="24"/>
                <w:szCs w:val="24"/>
                <w:lang w:val="en-US" w:eastAsia="zh-CN"/>
              </w:rPr>
              <w:t>m范围内</w:t>
            </w:r>
            <w:r>
              <w:rPr>
                <w:rFonts w:hint="eastAsia" w:ascii="Times New Roman" w:hAnsi="Times New Roman" w:eastAsia="宋体" w:cs="Times New Roman"/>
                <w:sz w:val="24"/>
                <w:szCs w:val="24"/>
                <w:lang w:val="en-US" w:eastAsia="zh-CN"/>
              </w:rPr>
              <w:t>不存在大气</w:t>
            </w:r>
            <w:r>
              <w:rPr>
                <w:rFonts w:hint="default" w:ascii="Times New Roman" w:hAnsi="Times New Roman" w:eastAsia="宋体" w:cs="Times New Roman"/>
                <w:sz w:val="24"/>
                <w:szCs w:val="24"/>
                <w:lang w:val="en-US" w:eastAsia="zh-CN"/>
              </w:rPr>
              <w:t>环境保护目标。</w:t>
            </w:r>
          </w:p>
          <w:p w14:paraId="20ACE381">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声</w:t>
            </w:r>
            <w:r>
              <w:rPr>
                <w:rFonts w:hint="default" w:ascii="Times New Roman" w:hAnsi="Times New Roman" w:eastAsia="宋体" w:cs="Times New Roman"/>
                <w:sz w:val="24"/>
                <w:szCs w:val="24"/>
                <w:lang w:val="en-US" w:eastAsia="zh-CN"/>
              </w:rPr>
              <w:t>环境保护目标</w:t>
            </w:r>
          </w:p>
          <w:p w14:paraId="69E4633E">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项目沿线边界外50m范围内</w:t>
            </w:r>
            <w:r>
              <w:rPr>
                <w:rFonts w:hint="eastAsia" w:ascii="Times New Roman" w:hAnsi="Times New Roman" w:eastAsia="宋体" w:cs="Times New Roman"/>
                <w:sz w:val="24"/>
                <w:szCs w:val="24"/>
                <w:lang w:val="en-US" w:eastAsia="zh-CN"/>
              </w:rPr>
              <w:t>不存在声</w:t>
            </w:r>
            <w:r>
              <w:rPr>
                <w:rFonts w:hint="default" w:ascii="Times New Roman" w:hAnsi="Times New Roman" w:eastAsia="宋体" w:cs="Times New Roman"/>
                <w:sz w:val="24"/>
                <w:szCs w:val="24"/>
                <w:lang w:val="en-US" w:eastAsia="zh-CN"/>
              </w:rPr>
              <w:t>环境保护目标。</w:t>
            </w:r>
          </w:p>
          <w:p w14:paraId="148915A6">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en-US" w:eastAsia="zh-CN"/>
              </w:rPr>
              <w:t>）地下水环境保护目标</w:t>
            </w:r>
          </w:p>
          <w:p w14:paraId="736D23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项目沿线边界外500米范围内无地下水集中式饮用水源和热水、矿泉水、温泉等特殊地下水水资源。</w:t>
            </w:r>
            <w:r>
              <w:rPr>
                <w:rFonts w:hint="eastAsia" w:cs="Times New Roman"/>
                <w:sz w:val="24"/>
                <w:szCs w:val="24"/>
                <w:lang w:val="en-US" w:eastAsia="zh-CN"/>
              </w:rPr>
              <w:t>项目所新鲜水为市政供水，不涉及地下水。</w:t>
            </w:r>
          </w:p>
          <w:p w14:paraId="6737DAAB">
            <w:pPr>
              <w:pStyle w:val="6"/>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val="en-US" w:eastAsia="zh-CN"/>
              </w:rPr>
              <w:t>）生态环境保护目标</w:t>
            </w:r>
          </w:p>
          <w:p w14:paraId="39763EAF">
            <w:pPr>
              <w:pStyle w:val="36"/>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eastAsiaTheme="minorEastAsia"/>
                <w:b/>
                <w:bCs/>
                <w:szCs w:val="24"/>
              </w:rPr>
            </w:pPr>
            <w:r>
              <w:rPr>
                <w:rFonts w:hint="default" w:ascii="Times New Roman" w:hAnsi="Times New Roman" w:eastAsia="宋体" w:cs="Times New Roman"/>
                <w:sz w:val="24"/>
                <w:szCs w:val="24"/>
                <w:lang w:val="en-US" w:eastAsia="zh-CN"/>
              </w:rPr>
              <w:t>评价范围内无任何自然保护区、风景名胜区、森林公园等生态敏感区，无需要特殊保护的生态系统，无古树名木分布。</w:t>
            </w:r>
          </w:p>
          <w:p w14:paraId="576826B1">
            <w:pPr>
              <w:pStyle w:val="36"/>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eastAsiaTheme="minorEastAsia"/>
                <w:b/>
                <w:bCs/>
                <w:szCs w:val="24"/>
                <w:highlight w:val="none"/>
              </w:rPr>
            </w:pPr>
            <w:r>
              <w:rPr>
                <w:rFonts w:ascii="Times New Roman" w:eastAsiaTheme="minorEastAsia"/>
                <w:b/>
                <w:bCs/>
                <w:szCs w:val="24"/>
                <w:highlight w:val="none"/>
              </w:rPr>
              <w:t>2、项目主要建设内容</w:t>
            </w:r>
          </w:p>
          <w:p w14:paraId="3BDE961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hAnsi="Times New Roman" w:eastAsia="宋体" w:cs="Times New Roman"/>
                <w:sz w:val="24"/>
              </w:rPr>
            </w:pPr>
            <w:r>
              <w:rPr>
                <w:rFonts w:ascii="Times New Roman" w:hAnsi="Times New Roman" w:eastAsia="宋体" w:cs="Times New Roman"/>
                <w:color w:val="000000"/>
                <w:kern w:val="0"/>
                <w:sz w:val="24"/>
                <w:lang w:bidi="ar"/>
              </w:rPr>
              <w:t>项目建设于</w:t>
            </w:r>
            <w:r>
              <w:rPr>
                <w:rFonts w:hint="default" w:ascii="Times New Roman" w:hAnsi="Times New Roman" w:eastAsia="宋体" w:cs="Times New Roman"/>
                <w:bCs/>
                <w:sz w:val="24"/>
                <w:szCs w:val="24"/>
                <w:highlight w:val="none"/>
                <w:lang w:val="en-US" w:eastAsia="zh-CN"/>
              </w:rPr>
              <w:t>澄迈县老城</w:t>
            </w:r>
            <w:r>
              <w:rPr>
                <w:rFonts w:hint="eastAsia" w:ascii="Times New Roman" w:hAnsi="Times New Roman" w:eastAsia="宋体" w:cs="Times New Roman"/>
                <w:bCs/>
                <w:sz w:val="24"/>
                <w:szCs w:val="24"/>
                <w:highlight w:val="none"/>
                <w:lang w:val="en-US" w:eastAsia="zh-CN"/>
              </w:rPr>
              <w:t>科技新城</w:t>
            </w:r>
            <w:r>
              <w:rPr>
                <w:rFonts w:hint="default" w:ascii="Times New Roman" w:hAnsi="Times New Roman" w:eastAsia="宋体" w:cs="Times New Roman"/>
                <w:bCs/>
                <w:sz w:val="24"/>
                <w:szCs w:val="24"/>
                <w:highlight w:val="none"/>
                <w:lang w:val="en-US" w:eastAsia="zh-CN"/>
              </w:rPr>
              <w:t>南一环路与美朗南路交汇处西北侧</w:t>
            </w:r>
            <w:r>
              <w:rPr>
                <w:rFonts w:hint="eastAsia" w:ascii="Times New Roman" w:hAnsi="Times New Roman" w:eastAsia="宋体" w:cs="Times New Roman"/>
                <w:bCs/>
                <w:sz w:val="24"/>
                <w:szCs w:val="24"/>
                <w:highlight w:val="none"/>
                <w:lang w:val="en-US" w:eastAsia="zh-CN"/>
              </w:rPr>
              <w:t>，租用“海南百年新乐幕墙门窗系统工程有限公司”厂区内厂房</w:t>
            </w:r>
            <w:r>
              <w:rPr>
                <w:rFonts w:hint="default" w:ascii="Times New Roman" w:hAnsi="Times New Roman" w:eastAsia="宋体" w:cs="Times New Roman"/>
                <w:bCs/>
                <w:sz w:val="24"/>
                <w:szCs w:val="24"/>
              </w:rPr>
              <w:t>，地理坐标为</w:t>
            </w:r>
            <w:r>
              <w:rPr>
                <w:rFonts w:hint="default" w:ascii="Times New Roman" w:hAnsi="Times New Roman" w:eastAsia="宋体" w:cs="Times New Roman"/>
                <w:color w:val="000000"/>
                <w:sz w:val="24"/>
                <w:szCs w:val="24"/>
              </w:rPr>
              <w:t>E：110°4′4</w:t>
            </w:r>
            <w:r>
              <w:rPr>
                <w:rFonts w:hint="eastAsia" w:ascii="Times New Roman" w:hAnsi="Times New Roman" w:eastAsia="宋体" w:cs="Times New Roman"/>
                <w:color w:val="000000"/>
                <w:sz w:val="24"/>
                <w:szCs w:val="24"/>
                <w:lang w:val="en-US" w:eastAsia="zh-CN"/>
              </w:rPr>
              <w:t>3</w:t>
            </w:r>
            <w:r>
              <w:rPr>
                <w:rFonts w:hint="default"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val="en-US" w:eastAsia="zh-CN"/>
              </w:rPr>
              <w:t>456</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color w:val="000000"/>
                <w:sz w:val="24"/>
                <w:szCs w:val="24"/>
              </w:rPr>
              <w:t>、N：</w:t>
            </w:r>
            <w:r>
              <w:rPr>
                <w:rFonts w:hint="default" w:ascii="Times New Roman" w:hAnsi="Times New Roman" w:eastAsia="宋体" w:cs="Times New Roman"/>
                <w:color w:val="000000"/>
                <w:sz w:val="24"/>
                <w:szCs w:val="24"/>
                <w:lang w:val="en-US" w:eastAsia="zh-CN"/>
              </w:rPr>
              <w:t>19°5</w:t>
            </w:r>
            <w:r>
              <w:rPr>
                <w:rFonts w:hint="eastAsia" w:ascii="Times New Roman" w:hAnsi="Times New Roman" w:eastAsia="宋体" w:cs="Times New Roman"/>
                <w:color w:val="000000"/>
                <w:sz w:val="24"/>
                <w:szCs w:val="24"/>
                <w:lang w:val="en-US" w:eastAsia="zh-CN"/>
              </w:rPr>
              <w:t>6</w:t>
            </w:r>
            <w:r>
              <w:rPr>
                <w:rFonts w:hint="default" w:ascii="Times New Roman" w:hAnsi="Times New Roman" w:eastAsia="宋体" w:cs="Times New Roman"/>
                <w:color w:val="000000"/>
                <w:sz w:val="24"/>
                <w:szCs w:val="24"/>
                <w:lang w:val="en-US" w:eastAsia="zh-CN"/>
              </w:rPr>
              <w:t>′</w:t>
            </w:r>
            <w:r>
              <w:rPr>
                <w:rFonts w:hint="eastAsia" w:ascii="Times New Roman" w:hAnsi="Times New Roman" w:eastAsia="宋体" w:cs="Times New Roman"/>
                <w:color w:val="000000"/>
                <w:sz w:val="24"/>
                <w:szCs w:val="24"/>
                <w:lang w:val="en-US" w:eastAsia="zh-CN"/>
              </w:rPr>
              <w:t>39</w:t>
            </w:r>
            <w:r>
              <w:rPr>
                <w:rFonts w:hint="default" w:ascii="Times New Roman" w:hAnsi="Times New Roman" w:eastAsia="宋体" w:cs="Times New Roman"/>
                <w:color w:val="000000"/>
                <w:sz w:val="24"/>
                <w:szCs w:val="24"/>
                <w:lang w:val="en-US" w:eastAsia="zh-CN"/>
              </w:rPr>
              <w:t>.</w:t>
            </w:r>
            <w:r>
              <w:rPr>
                <w:rFonts w:hint="eastAsia" w:ascii="Times New Roman" w:hAnsi="Times New Roman" w:eastAsia="宋体" w:cs="Times New Roman"/>
                <w:color w:val="000000"/>
                <w:sz w:val="24"/>
                <w:szCs w:val="24"/>
                <w:lang w:val="en-US" w:eastAsia="zh-CN"/>
              </w:rPr>
              <w:t>8</w:t>
            </w:r>
            <w:r>
              <w:rPr>
                <w:rFonts w:hint="default" w:ascii="Times New Roman" w:hAnsi="Times New Roman" w:eastAsia="宋体" w:cs="Times New Roman"/>
                <w:color w:val="000000"/>
                <w:sz w:val="24"/>
                <w:szCs w:val="24"/>
                <w:lang w:val="en-US" w:eastAsia="zh-CN"/>
              </w:rPr>
              <w:t>25″</w:t>
            </w:r>
            <w:r>
              <w:rPr>
                <w:rFonts w:hint="default" w:ascii="Times New Roman" w:hAnsi="Times New Roman" w:eastAsia="宋体" w:cs="Times New Roman"/>
                <w:sz w:val="24"/>
                <w:szCs w:val="24"/>
              </w:rPr>
              <w:t>。</w:t>
            </w:r>
            <w:r>
              <w:rPr>
                <w:rFonts w:ascii="Times New Roman" w:hAnsi="Times New Roman" w:eastAsia="宋体" w:cs="Times New Roman"/>
                <w:bCs/>
                <w:sz w:val="24"/>
              </w:rPr>
              <w:t>项目</w:t>
            </w:r>
            <w:r>
              <w:rPr>
                <w:rFonts w:hint="default" w:ascii="Times New Roman" w:hAnsi="Times New Roman" w:eastAsia="宋体" w:cs="Times New Roman"/>
                <w:color w:val="000000"/>
                <w:kern w:val="0"/>
                <w:sz w:val="24"/>
                <w:szCs w:val="24"/>
                <w:lang w:val="en-US" w:eastAsia="zh-CN" w:bidi="ar"/>
              </w:rPr>
              <w:t>总用地面积为</w:t>
            </w:r>
            <w:r>
              <w:rPr>
                <w:rFonts w:hint="eastAsia" w:ascii="Times New Roman" w:hAnsi="Times New Roman" w:eastAsia="宋体" w:cs="Times New Roman"/>
                <w:color w:val="000000"/>
                <w:kern w:val="0"/>
                <w:sz w:val="24"/>
                <w:szCs w:val="24"/>
                <w:lang w:val="en-US" w:eastAsia="zh-CN" w:bidi="ar"/>
              </w:rPr>
              <w:t>3030</w:t>
            </w:r>
            <w:r>
              <w:rPr>
                <w:rFonts w:hint="default" w:ascii="Times New Roman" w:hAnsi="Times New Roman" w:eastAsia="宋体" w:cs="Times New Roman"/>
                <w:color w:val="000000"/>
                <w:kern w:val="0"/>
                <w:sz w:val="24"/>
                <w:szCs w:val="24"/>
                <w:lang w:val="en-US" w:eastAsia="zh-CN" w:bidi="ar"/>
              </w:rPr>
              <w:t>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即</w:t>
            </w:r>
            <w:r>
              <w:rPr>
                <w:rFonts w:ascii="Times New Roman" w:hAnsi="Times New Roman" w:eastAsia="宋体" w:cs="Times New Roman"/>
                <w:bCs/>
                <w:sz w:val="24"/>
              </w:rPr>
              <w:t>租用</w:t>
            </w:r>
            <w:r>
              <w:rPr>
                <w:rFonts w:hint="eastAsia" w:ascii="Times New Roman" w:hAnsi="Times New Roman" w:eastAsia="宋体" w:cs="Times New Roman"/>
                <w:bCs/>
                <w:sz w:val="24"/>
                <w:lang w:val="en-US" w:eastAsia="zh-CN"/>
              </w:rPr>
              <w:t>厂房的</w:t>
            </w:r>
            <w:r>
              <w:rPr>
                <w:rFonts w:hint="default" w:ascii="Times New Roman" w:hAnsi="Times New Roman" w:eastAsia="宋体" w:cs="Times New Roman"/>
                <w:color w:val="000000"/>
                <w:kern w:val="0"/>
                <w:sz w:val="24"/>
                <w:szCs w:val="24"/>
                <w:lang w:val="en-US" w:eastAsia="zh-CN" w:bidi="ar"/>
              </w:rPr>
              <w:t>总建筑面积</w:t>
            </w:r>
            <w:r>
              <w:rPr>
                <w:rFonts w:hint="eastAsia" w:ascii="Times New Roman" w:hAnsi="Times New Roman" w:eastAsia="宋体" w:cs="Times New Roman"/>
                <w:color w:val="000000"/>
                <w:kern w:val="0"/>
                <w:sz w:val="24"/>
                <w:szCs w:val="24"/>
                <w:highlight w:val="none"/>
                <w:lang w:val="en-US" w:eastAsia="zh-CN" w:bidi="ar"/>
              </w:rPr>
              <w:t>3030</w:t>
            </w:r>
            <w:r>
              <w:rPr>
                <w:rFonts w:hint="default" w:ascii="Times New Roman" w:hAnsi="Times New Roman" w:eastAsia="宋体" w:cs="Times New Roman"/>
                <w:color w:val="000000"/>
                <w:kern w:val="0"/>
                <w:sz w:val="24"/>
                <w:szCs w:val="24"/>
                <w:lang w:val="en-US" w:eastAsia="zh-CN" w:bidi="ar"/>
              </w:rPr>
              <w:t>m</w:t>
            </w:r>
            <w:r>
              <w:rPr>
                <w:rFonts w:hint="default" w:ascii="Times New Roman" w:hAnsi="Times New Roman" w:eastAsia="宋体" w:cs="Times New Roman"/>
                <w:color w:val="000000"/>
                <w:kern w:val="0"/>
                <w:sz w:val="24"/>
                <w:szCs w:val="24"/>
                <w:vertAlign w:val="superscript"/>
                <w:lang w:val="en-US" w:eastAsia="zh-CN" w:bidi="ar"/>
              </w:rPr>
              <w:t>2</w:t>
            </w:r>
            <w:r>
              <w:rPr>
                <w:rFonts w:hint="eastAsia" w:ascii="Times New Roman" w:hAnsi="Times New Roman" w:eastAsia="宋体" w:cs="Times New Roman"/>
                <w:color w:val="000000"/>
                <w:kern w:val="0"/>
                <w:sz w:val="24"/>
                <w:szCs w:val="24"/>
                <w:vertAlign w:val="baseline"/>
                <w:lang w:val="en-US" w:eastAsia="zh-CN" w:bidi="ar"/>
              </w:rPr>
              <w:t>，已完成</w:t>
            </w:r>
            <w:r>
              <w:rPr>
                <w:rFonts w:hint="default" w:ascii="Times New Roman" w:hAnsi="Times New Roman" w:eastAsia="宋体" w:cs="Times New Roman"/>
                <w:color w:val="000000"/>
                <w:kern w:val="0"/>
                <w:sz w:val="24"/>
                <w:szCs w:val="24"/>
                <w:lang w:val="en-US" w:eastAsia="zh-CN" w:bidi="ar"/>
              </w:rPr>
              <w:t>主要建设内容：</w:t>
            </w:r>
            <w:r>
              <w:rPr>
                <w:rFonts w:hint="eastAsia" w:ascii="Times New Roman" w:hAnsi="Times New Roman" w:eastAsia="宋体" w:cs="Times New Roman"/>
                <w:color w:val="000000"/>
                <w:kern w:val="0"/>
                <w:sz w:val="24"/>
                <w:szCs w:val="24"/>
                <w:lang w:val="en-US" w:eastAsia="zh-CN" w:bidi="ar"/>
              </w:rPr>
              <w:t>保温板生产加工车间</w:t>
            </w:r>
            <w:r>
              <w:rPr>
                <w:rFonts w:hint="default" w:ascii="Times New Roman" w:hAnsi="Times New Roman" w:eastAsia="宋体" w:cs="Times New Roman"/>
                <w:color w:val="000000"/>
                <w:kern w:val="0"/>
                <w:sz w:val="24"/>
                <w:szCs w:val="24"/>
                <w:lang w:val="en-US" w:eastAsia="zh-CN" w:bidi="ar"/>
              </w:rPr>
              <w:t>以及相关配套设施</w:t>
            </w:r>
            <w:r>
              <w:rPr>
                <w:rFonts w:hint="eastAsia" w:ascii="Times New Roman" w:hAnsi="Times New Roman" w:eastAsia="宋体" w:cs="Times New Roman"/>
                <w:color w:val="000000"/>
                <w:kern w:val="0"/>
                <w:sz w:val="24"/>
                <w:szCs w:val="24"/>
                <w:lang w:val="en-US" w:eastAsia="zh-CN" w:bidi="ar"/>
              </w:rPr>
              <w:t>，车间内建设1条保温板生产线。保温板生产加工车间内部按实际使用功能进行划分：物料存放区、钢板加工区、模具成型区、发泡区、板材存放区等</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项目厂房内隔断出一间单独值班室（不产生生活污水），员工日常办公依托厂内综合办公楼。</w:t>
            </w:r>
            <w:r>
              <w:rPr>
                <w:rFonts w:hint="default" w:ascii="Times New Roman" w:hAnsi="Times New Roman" w:eastAsia="宋体" w:cs="Times New Roman"/>
                <w:color w:val="000000"/>
                <w:kern w:val="0"/>
                <w:sz w:val="24"/>
                <w:szCs w:val="24"/>
                <w:lang w:val="en-US" w:eastAsia="zh-CN" w:bidi="ar"/>
              </w:rPr>
              <w:t>项目主要产品为：</w:t>
            </w:r>
            <w:r>
              <w:rPr>
                <w:rFonts w:hint="eastAsia" w:ascii="Times New Roman" w:hAnsi="Times New Roman" w:eastAsia="宋体" w:cs="Times New Roman"/>
                <w:color w:val="000000"/>
                <w:kern w:val="0"/>
                <w:sz w:val="24"/>
                <w:szCs w:val="24"/>
                <w:lang w:val="en-US" w:eastAsia="zh-CN" w:bidi="ar"/>
              </w:rPr>
              <w:t>冷库聚氨酯保温板</w:t>
            </w:r>
            <w:r>
              <w:rPr>
                <w:rFonts w:hint="default" w:ascii="Times New Roman" w:hAnsi="Times New Roman" w:eastAsia="宋体" w:cs="Times New Roman"/>
                <w:color w:val="000000"/>
                <w:kern w:val="0"/>
                <w:sz w:val="24"/>
                <w:szCs w:val="24"/>
                <w:lang w:val="en-US" w:eastAsia="zh-CN" w:bidi="ar"/>
              </w:rPr>
              <w:t>，设计最大生产规模为</w:t>
            </w:r>
            <w:r>
              <w:rPr>
                <w:rFonts w:hint="eastAsia" w:ascii="Times New Roman" w:hAnsi="Times New Roman" w:eastAsia="宋体" w:cs="Times New Roman"/>
                <w:color w:val="000000"/>
                <w:kern w:val="0"/>
                <w:sz w:val="24"/>
                <w:szCs w:val="24"/>
                <w:lang w:val="en-US" w:eastAsia="zh-CN" w:bidi="ar"/>
              </w:rPr>
              <w:t>每年6万平方米（约</w:t>
            </w:r>
            <w:r>
              <w:rPr>
                <w:rFonts w:hint="eastAsia" w:ascii="Times New Roman" w:hAnsi="Times New Roman" w:eastAsia="宋体" w:cs="Times New Roman"/>
                <w:color w:val="000000"/>
                <w:kern w:val="0"/>
                <w:sz w:val="24"/>
                <w:szCs w:val="24"/>
                <w:highlight w:val="none"/>
                <w:lang w:val="en-US" w:eastAsia="zh-CN" w:bidi="ar"/>
              </w:rPr>
              <w:t>6050m</w:t>
            </w:r>
            <w:r>
              <w:rPr>
                <w:rFonts w:hint="eastAsia" w:ascii="Times New Roman" w:hAnsi="Times New Roman" w:eastAsia="宋体" w:cs="Times New Roman"/>
                <w:color w:val="000000"/>
                <w:kern w:val="0"/>
                <w:sz w:val="24"/>
                <w:szCs w:val="24"/>
                <w:highlight w:val="none"/>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/a</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厂内生产加工板材</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厂外现场组装</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实际</w:t>
            </w:r>
            <w:r>
              <w:rPr>
                <w:rFonts w:hint="default" w:ascii="Times New Roman" w:hAnsi="Times New Roman" w:eastAsia="宋体" w:cs="Times New Roman"/>
                <w:color w:val="000000"/>
                <w:kern w:val="0"/>
                <w:sz w:val="24"/>
                <w:szCs w:val="24"/>
                <w:lang w:val="en-US" w:eastAsia="zh-CN" w:bidi="ar"/>
              </w:rPr>
              <w:t>总投资</w:t>
            </w:r>
            <w:r>
              <w:rPr>
                <w:rFonts w:hint="eastAsia" w:ascii="Times New Roman" w:hAnsi="Times New Roman" w:eastAsia="宋体" w:cs="Times New Roman"/>
                <w:color w:val="000000"/>
                <w:kern w:val="0"/>
                <w:sz w:val="24"/>
                <w:szCs w:val="24"/>
                <w:highlight w:val="none"/>
                <w:lang w:val="en-US" w:eastAsia="zh-CN" w:bidi="ar"/>
              </w:rPr>
              <w:t>350</w:t>
            </w:r>
            <w:r>
              <w:rPr>
                <w:rFonts w:hint="default" w:ascii="Times New Roman" w:hAnsi="Times New Roman" w:eastAsia="宋体" w:cs="Times New Roman"/>
                <w:color w:val="000000"/>
                <w:kern w:val="0"/>
                <w:sz w:val="24"/>
                <w:szCs w:val="24"/>
                <w:lang w:val="en-US" w:eastAsia="zh-CN" w:bidi="ar"/>
              </w:rPr>
              <w:t>万元，其中环保投资</w:t>
            </w:r>
            <w:r>
              <w:rPr>
                <w:rFonts w:hint="eastAsia" w:ascii="Times New Roman" w:hAnsi="Times New Roman" w:eastAsia="宋体" w:cs="Times New Roman"/>
                <w:color w:val="000000"/>
                <w:kern w:val="0"/>
                <w:sz w:val="24"/>
                <w:szCs w:val="24"/>
                <w:lang w:val="en-US" w:eastAsia="zh-CN" w:bidi="ar"/>
              </w:rPr>
              <w:t>32</w:t>
            </w:r>
            <w:r>
              <w:rPr>
                <w:rFonts w:hint="default" w:ascii="Times New Roman" w:hAnsi="Times New Roman" w:eastAsia="宋体" w:cs="Times New Roman"/>
                <w:color w:val="000000"/>
                <w:kern w:val="0"/>
                <w:sz w:val="24"/>
                <w:szCs w:val="24"/>
                <w:lang w:val="en-US" w:eastAsia="zh-CN" w:bidi="ar"/>
              </w:rPr>
              <w:t>万元，占比总投资的</w:t>
            </w:r>
            <w:r>
              <w:rPr>
                <w:rFonts w:hint="eastAsia" w:ascii="Times New Roman" w:hAnsi="Times New Roman" w:eastAsia="宋体" w:cs="Times New Roman"/>
                <w:color w:val="000000"/>
                <w:kern w:val="0"/>
                <w:sz w:val="24"/>
                <w:szCs w:val="24"/>
                <w:highlight w:val="none"/>
                <w:lang w:val="en-US" w:eastAsia="zh-CN" w:bidi="ar"/>
              </w:rPr>
              <w:t>9.1</w:t>
            </w:r>
            <w:r>
              <w:rPr>
                <w:rFonts w:hint="default" w:ascii="Times New Roman" w:hAnsi="Times New Roman" w:eastAsia="宋体" w:cs="Times New Roman"/>
                <w:color w:val="000000"/>
                <w:kern w:val="0"/>
                <w:sz w:val="24"/>
                <w:szCs w:val="24"/>
                <w:lang w:val="en-US" w:eastAsia="zh-CN" w:bidi="ar"/>
              </w:rPr>
              <w:t>%。</w:t>
            </w:r>
            <w:r>
              <w:rPr>
                <w:rFonts w:ascii="Times New Roman" w:hAnsi="Times New Roman" w:eastAsia="宋体" w:cs="Times New Roman"/>
                <w:sz w:val="24"/>
              </w:rPr>
              <w:t>项目实际建设情况与环评报告及批复的建设内容基本相符，部分工程设施按照实际情况进行调整，生产规模以及</w:t>
            </w:r>
            <w:r>
              <w:rPr>
                <w:rFonts w:ascii="Times New Roman" w:hAnsi="Times New Roman" w:eastAsia="宋体" w:cs="Times New Roman"/>
                <w:sz w:val="24"/>
                <w:lang w:val="zh-TW" w:eastAsia="zh-TW"/>
              </w:rPr>
              <w:t>配套环保设施符合竣工环境保护验收的条件。</w:t>
            </w:r>
          </w:p>
          <w:p w14:paraId="2F23705F">
            <w:pPr>
              <w:pStyle w:val="28"/>
              <w:keepNext w:val="0"/>
              <w:keepLines w:val="0"/>
              <w:pageBreakBefore w:val="0"/>
              <w:widowControl w:val="0"/>
              <w:kinsoku/>
              <w:wordWrap/>
              <w:overflowPunct/>
              <w:topLinePunct w:val="0"/>
              <w:bidi w:val="0"/>
              <w:adjustRightInd w:val="0"/>
              <w:snapToGrid w:val="0"/>
              <w:spacing w:after="0" w:line="500" w:lineRule="exact"/>
              <w:ind w:left="0" w:leftChars="0" w:firstLine="0"/>
              <w:jc w:val="center"/>
              <w:textAlignment w:val="auto"/>
              <w:outlineLvl w:val="0"/>
              <w:rPr>
                <w:rFonts w:hAnsi="Times New Roman" w:cs="Times New Roman"/>
                <w:color w:val="auto"/>
                <w:sz w:val="24"/>
              </w:rPr>
            </w:pPr>
            <w:r>
              <w:rPr>
                <w:rFonts w:hAnsi="Times New Roman" w:cs="Times New Roman"/>
                <w:b/>
                <w:bCs/>
                <w:color w:val="auto"/>
                <w:sz w:val="24"/>
              </w:rPr>
              <w:t>表2-</w:t>
            </w:r>
            <w:r>
              <w:rPr>
                <w:rFonts w:hint="eastAsia" w:hAnsi="Times New Roman" w:cs="Times New Roman"/>
                <w:b/>
                <w:bCs/>
                <w:color w:val="auto"/>
                <w:sz w:val="24"/>
              </w:rPr>
              <w:t>2</w:t>
            </w:r>
            <w:r>
              <w:rPr>
                <w:rFonts w:hAnsi="Times New Roman" w:cs="Times New Roman"/>
                <w:b/>
                <w:bCs/>
                <w:color w:val="auto"/>
                <w:sz w:val="24"/>
              </w:rPr>
              <w:t>项目主要</w:t>
            </w:r>
            <w:r>
              <w:rPr>
                <w:rFonts w:hint="eastAsia" w:hAnsi="Times New Roman" w:cs="Times New Roman"/>
                <w:b/>
                <w:bCs/>
                <w:color w:val="auto"/>
                <w:sz w:val="24"/>
              </w:rPr>
              <w:t>建设内容一览表</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673"/>
              <w:gridCol w:w="2679"/>
              <w:gridCol w:w="2835"/>
              <w:gridCol w:w="1670"/>
            </w:tblGrid>
            <w:tr w14:paraId="1FB5B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vMerge w:val="restart"/>
                  <w:noWrap w:val="0"/>
                  <w:vAlign w:val="center"/>
                </w:tcPr>
                <w:p w14:paraId="7620F8BF">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工程类别</w:t>
                  </w:r>
                </w:p>
              </w:tc>
              <w:tc>
                <w:tcPr>
                  <w:tcW w:w="673" w:type="dxa"/>
                  <w:vMerge w:val="restart"/>
                  <w:noWrap w:val="0"/>
                  <w:vAlign w:val="center"/>
                </w:tcPr>
                <w:p w14:paraId="314787B7">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kern w:val="0"/>
                      <w:sz w:val="21"/>
                      <w:szCs w:val="21"/>
                    </w:rPr>
                  </w:pPr>
                  <w:r>
                    <w:rPr>
                      <w:rFonts w:hint="default" w:ascii="Times New Roman" w:hAnsi="Times New Roman" w:eastAsia="宋体" w:cs="Times New Roman"/>
                      <w:b/>
                      <w:kern w:val="0"/>
                      <w:sz w:val="21"/>
                      <w:szCs w:val="21"/>
                    </w:rPr>
                    <w:t>工程建筑</w:t>
                  </w:r>
                </w:p>
              </w:tc>
              <w:tc>
                <w:tcPr>
                  <w:tcW w:w="5514" w:type="dxa"/>
                  <w:gridSpan w:val="2"/>
                  <w:noWrap w:val="0"/>
                  <w:vAlign w:val="center"/>
                </w:tcPr>
                <w:p w14:paraId="2DE39851">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kern w:val="0"/>
                      <w:sz w:val="21"/>
                      <w:szCs w:val="21"/>
                    </w:rPr>
                  </w:pPr>
                  <w:r>
                    <w:rPr>
                      <w:rFonts w:hint="default" w:ascii="Times New Roman" w:hAnsi="Times New Roman" w:eastAsia="宋体" w:cs="Times New Roman"/>
                      <w:b/>
                      <w:sz w:val="21"/>
                      <w:szCs w:val="21"/>
                    </w:rPr>
                    <w:t>工程规模和内容建设</w:t>
                  </w:r>
                </w:p>
              </w:tc>
              <w:tc>
                <w:tcPr>
                  <w:tcW w:w="1670" w:type="dxa"/>
                  <w:vMerge w:val="restart"/>
                  <w:noWrap w:val="0"/>
                  <w:vAlign w:val="center"/>
                </w:tcPr>
                <w:p w14:paraId="3B1E4A1E">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eastAsia" w:ascii="Times New Roman" w:hAnsi="Times New Roman" w:eastAsia="宋体" w:cs="Times New Roman"/>
                      <w:b/>
                      <w:kern w:val="0"/>
                      <w:sz w:val="21"/>
                      <w:szCs w:val="21"/>
                      <w:lang w:val="en-US" w:eastAsia="zh-CN"/>
                    </w:rPr>
                  </w:pPr>
                  <w:r>
                    <w:rPr>
                      <w:rFonts w:hint="eastAsia" w:ascii="Times New Roman" w:hAnsi="Times New Roman" w:eastAsia="宋体" w:cs="Times New Roman"/>
                      <w:b/>
                      <w:kern w:val="0"/>
                      <w:sz w:val="21"/>
                      <w:szCs w:val="21"/>
                      <w:lang w:val="en-US" w:eastAsia="zh-CN"/>
                    </w:rPr>
                    <w:t>变动情况</w:t>
                  </w:r>
                </w:p>
              </w:tc>
            </w:tr>
            <w:tr w14:paraId="142D9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vMerge w:val="continue"/>
                  <w:noWrap w:val="0"/>
                  <w:vAlign w:val="center"/>
                </w:tcPr>
                <w:p w14:paraId="7908B656">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kern w:val="0"/>
                      <w:sz w:val="21"/>
                      <w:szCs w:val="21"/>
                    </w:rPr>
                  </w:pPr>
                </w:p>
              </w:tc>
              <w:tc>
                <w:tcPr>
                  <w:tcW w:w="673" w:type="dxa"/>
                  <w:vMerge w:val="continue"/>
                  <w:noWrap w:val="0"/>
                  <w:vAlign w:val="center"/>
                </w:tcPr>
                <w:p w14:paraId="3C4C766F">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kern w:val="0"/>
                      <w:sz w:val="21"/>
                      <w:szCs w:val="21"/>
                    </w:rPr>
                  </w:pPr>
                </w:p>
              </w:tc>
              <w:tc>
                <w:tcPr>
                  <w:tcW w:w="2679" w:type="dxa"/>
                  <w:noWrap w:val="0"/>
                  <w:vAlign w:val="center"/>
                </w:tcPr>
                <w:p w14:paraId="7C8075E0">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sz w:val="21"/>
                      <w:szCs w:val="21"/>
                      <w:lang w:val="en-US" w:eastAsia="zh-CN"/>
                    </w:rPr>
                  </w:pPr>
                  <w:r>
                    <w:rPr>
                      <w:rFonts w:hint="eastAsia" w:ascii="Times New Roman" w:hAnsi="Times New Roman" w:eastAsia="宋体" w:cs="Times New Roman"/>
                      <w:b/>
                      <w:sz w:val="21"/>
                      <w:szCs w:val="21"/>
                      <w:lang w:val="en-US" w:eastAsia="zh-CN"/>
                    </w:rPr>
                    <w:t>环评阶段</w:t>
                  </w:r>
                </w:p>
              </w:tc>
              <w:tc>
                <w:tcPr>
                  <w:tcW w:w="2835" w:type="dxa"/>
                  <w:noWrap w:val="0"/>
                  <w:vAlign w:val="center"/>
                </w:tcPr>
                <w:p w14:paraId="276DFB5A">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sz w:val="21"/>
                      <w:szCs w:val="21"/>
                      <w:lang w:val="en-US" w:eastAsia="zh-CN"/>
                    </w:rPr>
                  </w:pPr>
                  <w:r>
                    <w:rPr>
                      <w:rFonts w:hint="eastAsia" w:ascii="Times New Roman" w:hAnsi="Times New Roman" w:eastAsia="宋体" w:cs="Times New Roman"/>
                      <w:b/>
                      <w:sz w:val="21"/>
                      <w:szCs w:val="21"/>
                      <w:lang w:val="en-US" w:eastAsia="zh-CN"/>
                    </w:rPr>
                    <w:t>验收阶段</w:t>
                  </w:r>
                </w:p>
              </w:tc>
              <w:tc>
                <w:tcPr>
                  <w:tcW w:w="1670" w:type="dxa"/>
                  <w:vMerge w:val="continue"/>
                  <w:noWrap w:val="0"/>
                  <w:vAlign w:val="center"/>
                </w:tcPr>
                <w:p w14:paraId="7F767476">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eastAsia" w:ascii="Times New Roman" w:hAnsi="Times New Roman" w:eastAsia="宋体" w:cs="Times New Roman"/>
                      <w:b/>
                      <w:kern w:val="0"/>
                      <w:sz w:val="21"/>
                      <w:szCs w:val="21"/>
                      <w:lang w:val="en-US" w:eastAsia="zh-CN"/>
                    </w:rPr>
                  </w:pPr>
                </w:p>
              </w:tc>
            </w:tr>
            <w:tr w14:paraId="41EB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noWrap w:val="0"/>
                  <w:vAlign w:val="center"/>
                </w:tcPr>
                <w:p w14:paraId="08AA43A8">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主体工程</w:t>
                  </w:r>
                </w:p>
              </w:tc>
              <w:tc>
                <w:tcPr>
                  <w:tcW w:w="673" w:type="dxa"/>
                  <w:noWrap w:val="0"/>
                  <w:vAlign w:val="center"/>
                </w:tcPr>
                <w:p w14:paraId="48246EF7">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kern w:val="0"/>
                      <w:sz w:val="21"/>
                      <w:szCs w:val="21"/>
                      <w:lang w:val="en-US" w:eastAsia="zh-CN"/>
                    </w:rPr>
                  </w:pPr>
                  <w:r>
                    <w:rPr>
                      <w:rFonts w:hint="default" w:ascii="Times New Roman" w:hAnsi="Times New Roman" w:eastAsia="宋体" w:cs="Times New Roman"/>
                      <w:b w:val="0"/>
                      <w:bCs/>
                      <w:kern w:val="0"/>
                      <w:sz w:val="21"/>
                      <w:szCs w:val="21"/>
                      <w:lang w:val="en-US" w:eastAsia="zh-CN"/>
                    </w:rPr>
                    <w:t>保温板生产加工车间</w:t>
                  </w:r>
                </w:p>
              </w:tc>
              <w:tc>
                <w:tcPr>
                  <w:tcW w:w="2679" w:type="dxa"/>
                  <w:noWrap w:val="0"/>
                  <w:vAlign w:val="center"/>
                </w:tcPr>
                <w:p w14:paraId="3476C31A">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sz w:val="21"/>
                      <w:szCs w:val="21"/>
                      <w:lang w:val="en-US" w:eastAsia="zh-CN"/>
                    </w:rPr>
                  </w:pPr>
                  <w:r>
                    <w:rPr>
                      <w:rFonts w:hint="default" w:ascii="Times New Roman" w:hAnsi="Times New Roman" w:eastAsia="宋体" w:cs="Times New Roman"/>
                      <w:b w:val="0"/>
                      <w:bCs/>
                      <w:kern w:val="0"/>
                      <w:sz w:val="21"/>
                      <w:szCs w:val="21"/>
                      <w:lang w:val="en-US" w:eastAsia="zh-CN"/>
                    </w:rPr>
                    <w:t>保温板生产加工车间</w:t>
                  </w:r>
                  <w:r>
                    <w:rPr>
                      <w:rFonts w:hint="default" w:ascii="Times New Roman" w:hAnsi="Times New Roman" w:eastAsia="宋体" w:cs="Times New Roman"/>
                      <w:kern w:val="0"/>
                      <w:sz w:val="21"/>
                      <w:szCs w:val="21"/>
                    </w:rPr>
                    <w:t>1座，建筑面积</w:t>
                  </w:r>
                  <w:r>
                    <w:rPr>
                      <w:rFonts w:hint="eastAsia" w:ascii="Times New Roman" w:hAnsi="Times New Roman" w:eastAsia="宋体" w:cs="Times New Roman"/>
                      <w:kern w:val="0"/>
                      <w:sz w:val="21"/>
                      <w:szCs w:val="21"/>
                      <w:highlight w:val="none"/>
                      <w:lang w:val="en-US" w:eastAsia="zh-CN"/>
                    </w:rPr>
                    <w:t>3030</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。主要</w:t>
                  </w:r>
                  <w:r>
                    <w:rPr>
                      <w:rFonts w:hint="default" w:ascii="Times New Roman" w:hAnsi="Times New Roman" w:eastAsia="宋体" w:cs="Times New Roman"/>
                      <w:sz w:val="21"/>
                      <w:szCs w:val="21"/>
                      <w:lang w:val="en-US" w:eastAsia="zh-CN"/>
                    </w:rPr>
                    <w:t>用于</w:t>
                  </w:r>
                  <w:r>
                    <w:rPr>
                      <w:rFonts w:hint="default" w:ascii="Times New Roman" w:hAnsi="Times New Roman" w:eastAsia="宋体" w:cs="Times New Roman"/>
                      <w:b w:val="0"/>
                      <w:bCs/>
                      <w:kern w:val="0"/>
                      <w:sz w:val="21"/>
                      <w:szCs w:val="21"/>
                      <w:lang w:val="en-US" w:eastAsia="zh-CN"/>
                    </w:rPr>
                    <w:t>保温板生产</w:t>
                  </w:r>
                  <w:r>
                    <w:rPr>
                      <w:rFonts w:hint="default" w:ascii="Times New Roman" w:hAnsi="Times New Roman" w:eastAsia="宋体" w:cs="Times New Roman"/>
                      <w:sz w:val="21"/>
                      <w:szCs w:val="21"/>
                      <w:lang w:val="en-US" w:eastAsia="zh-CN"/>
                    </w:rPr>
                    <w:t>。车间</w:t>
                  </w:r>
                  <w:r>
                    <w:rPr>
                      <w:rFonts w:hint="default" w:ascii="Times New Roman" w:hAnsi="Times New Roman" w:eastAsia="宋体" w:cs="Times New Roman"/>
                      <w:color w:val="000000"/>
                      <w:kern w:val="0"/>
                      <w:sz w:val="21"/>
                      <w:szCs w:val="21"/>
                      <w:lang w:val="en-US" w:eastAsia="zh-CN" w:bidi="ar"/>
                    </w:rPr>
                    <w:t>内部按使用功能划分为：物料存放区、钢板加工区、模具</w:t>
                  </w:r>
                  <w:r>
                    <w:rPr>
                      <w:rFonts w:hint="eastAsia" w:ascii="Times New Roman" w:hAnsi="Times New Roman" w:eastAsia="宋体" w:cs="Times New Roman"/>
                      <w:color w:val="000000"/>
                      <w:kern w:val="0"/>
                      <w:sz w:val="21"/>
                      <w:szCs w:val="21"/>
                      <w:lang w:val="en-US" w:eastAsia="zh-CN" w:bidi="ar"/>
                    </w:rPr>
                    <w:t>成型</w:t>
                  </w:r>
                  <w:r>
                    <w:rPr>
                      <w:rFonts w:hint="default" w:ascii="Times New Roman" w:hAnsi="Times New Roman" w:eastAsia="宋体" w:cs="Times New Roman"/>
                      <w:color w:val="000000"/>
                      <w:kern w:val="0"/>
                      <w:sz w:val="21"/>
                      <w:szCs w:val="21"/>
                      <w:lang w:val="en-US" w:eastAsia="zh-CN" w:bidi="ar"/>
                    </w:rPr>
                    <w:t>区、发泡区、板材存放区</w:t>
                  </w:r>
                  <w:r>
                    <w:rPr>
                      <w:rFonts w:hint="eastAsia" w:ascii="Times New Roman" w:hAnsi="Times New Roman" w:eastAsia="宋体" w:cs="Times New Roman"/>
                      <w:color w:val="000000"/>
                      <w:kern w:val="0"/>
                      <w:sz w:val="21"/>
                      <w:szCs w:val="21"/>
                      <w:lang w:val="en-US" w:eastAsia="zh-CN" w:bidi="ar"/>
                    </w:rPr>
                    <w:t>等</w:t>
                  </w:r>
                  <w:r>
                    <w:rPr>
                      <w:rFonts w:hint="default" w:ascii="Times New Roman" w:hAnsi="Times New Roman" w:eastAsia="宋体" w:cs="Times New Roman"/>
                      <w:color w:val="000000"/>
                      <w:kern w:val="0"/>
                      <w:sz w:val="21"/>
                      <w:szCs w:val="21"/>
                      <w:lang w:val="en-US" w:eastAsia="zh-CN" w:bidi="ar"/>
                    </w:rPr>
                    <w:t>，按生产工序安装设备，并按产</w:t>
                  </w:r>
                  <w:r>
                    <w:rPr>
                      <w:rFonts w:hint="eastAsia" w:ascii="Times New Roman" w:hAnsi="Times New Roman" w:eastAsia="宋体" w:cs="Times New Roman"/>
                      <w:color w:val="000000"/>
                      <w:kern w:val="0"/>
                      <w:sz w:val="21"/>
                      <w:szCs w:val="21"/>
                      <w:lang w:val="en-US" w:eastAsia="zh-CN" w:bidi="ar"/>
                    </w:rPr>
                    <w:t>污</w:t>
                  </w:r>
                  <w:r>
                    <w:rPr>
                      <w:rFonts w:hint="default" w:ascii="Times New Roman" w:hAnsi="Times New Roman" w:eastAsia="宋体" w:cs="Times New Roman"/>
                      <w:color w:val="000000"/>
                      <w:kern w:val="0"/>
                      <w:sz w:val="21"/>
                      <w:szCs w:val="21"/>
                      <w:lang w:val="en-US" w:eastAsia="zh-CN" w:bidi="ar"/>
                    </w:rPr>
                    <w:t>环节配套环保设施。</w:t>
                  </w:r>
                </w:p>
              </w:tc>
              <w:tc>
                <w:tcPr>
                  <w:tcW w:w="2835" w:type="dxa"/>
                  <w:noWrap w:val="0"/>
                  <w:vAlign w:val="center"/>
                </w:tcPr>
                <w:p w14:paraId="7A77F742">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val="0"/>
                      <w:bCs/>
                      <w:kern w:val="0"/>
                      <w:sz w:val="21"/>
                      <w:szCs w:val="21"/>
                      <w:lang w:val="en-US" w:eastAsia="zh-CN"/>
                    </w:rPr>
                  </w:pPr>
                  <w:r>
                    <w:rPr>
                      <w:rFonts w:hint="default" w:ascii="Times New Roman" w:hAnsi="Times New Roman" w:eastAsia="宋体" w:cs="Times New Roman"/>
                      <w:b w:val="0"/>
                      <w:bCs/>
                      <w:kern w:val="0"/>
                      <w:sz w:val="21"/>
                      <w:szCs w:val="21"/>
                      <w:lang w:val="en-US" w:eastAsia="zh-CN"/>
                    </w:rPr>
                    <w:t>保温板生产加工车间</w:t>
                  </w:r>
                  <w:r>
                    <w:rPr>
                      <w:rFonts w:hint="default" w:ascii="Times New Roman" w:hAnsi="Times New Roman" w:eastAsia="宋体" w:cs="Times New Roman"/>
                      <w:kern w:val="0"/>
                      <w:sz w:val="21"/>
                      <w:szCs w:val="21"/>
                    </w:rPr>
                    <w:t>1座，建筑面积</w:t>
                  </w:r>
                  <w:r>
                    <w:rPr>
                      <w:rFonts w:hint="eastAsia" w:ascii="Times New Roman" w:hAnsi="Times New Roman" w:eastAsia="宋体" w:cs="Times New Roman"/>
                      <w:kern w:val="0"/>
                      <w:sz w:val="21"/>
                      <w:szCs w:val="21"/>
                      <w:highlight w:val="none"/>
                      <w:lang w:val="en-US" w:eastAsia="zh-CN"/>
                    </w:rPr>
                    <w:t>3030</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2</w:t>
                  </w:r>
                  <w:r>
                    <w:rPr>
                      <w:rFonts w:hint="default" w:ascii="Times New Roman" w:hAnsi="Times New Roman" w:eastAsia="宋体" w:cs="Times New Roman"/>
                      <w:sz w:val="21"/>
                      <w:szCs w:val="21"/>
                    </w:rPr>
                    <w:t>。主要</w:t>
                  </w:r>
                  <w:r>
                    <w:rPr>
                      <w:rFonts w:hint="default" w:ascii="Times New Roman" w:hAnsi="Times New Roman" w:eastAsia="宋体" w:cs="Times New Roman"/>
                      <w:sz w:val="21"/>
                      <w:szCs w:val="21"/>
                      <w:lang w:val="en-US" w:eastAsia="zh-CN"/>
                    </w:rPr>
                    <w:t>用于</w:t>
                  </w:r>
                  <w:r>
                    <w:rPr>
                      <w:rFonts w:hint="default" w:ascii="Times New Roman" w:hAnsi="Times New Roman" w:eastAsia="宋体" w:cs="Times New Roman"/>
                      <w:b w:val="0"/>
                      <w:bCs/>
                      <w:kern w:val="0"/>
                      <w:sz w:val="21"/>
                      <w:szCs w:val="21"/>
                      <w:lang w:val="en-US" w:eastAsia="zh-CN"/>
                    </w:rPr>
                    <w:t>保温板生产</w:t>
                  </w:r>
                  <w:r>
                    <w:rPr>
                      <w:rFonts w:hint="default" w:ascii="Times New Roman" w:hAnsi="Times New Roman" w:eastAsia="宋体" w:cs="Times New Roman"/>
                      <w:sz w:val="21"/>
                      <w:szCs w:val="21"/>
                      <w:lang w:val="en-US" w:eastAsia="zh-CN"/>
                    </w:rPr>
                    <w:t>。车间</w:t>
                  </w:r>
                  <w:r>
                    <w:rPr>
                      <w:rFonts w:hint="default" w:ascii="Times New Roman" w:hAnsi="Times New Roman" w:eastAsia="宋体" w:cs="Times New Roman"/>
                      <w:color w:val="000000"/>
                      <w:kern w:val="0"/>
                      <w:sz w:val="21"/>
                      <w:szCs w:val="21"/>
                      <w:lang w:val="en-US" w:eastAsia="zh-CN" w:bidi="ar"/>
                    </w:rPr>
                    <w:t>内部按使用功能划分为：物料存放区、钢板加工区、模具</w:t>
                  </w:r>
                  <w:r>
                    <w:rPr>
                      <w:rFonts w:hint="eastAsia" w:ascii="Times New Roman" w:hAnsi="Times New Roman" w:eastAsia="宋体" w:cs="Times New Roman"/>
                      <w:color w:val="000000"/>
                      <w:kern w:val="0"/>
                      <w:sz w:val="21"/>
                      <w:szCs w:val="21"/>
                      <w:lang w:val="en-US" w:eastAsia="zh-CN" w:bidi="ar"/>
                    </w:rPr>
                    <w:t>成型</w:t>
                  </w:r>
                  <w:r>
                    <w:rPr>
                      <w:rFonts w:hint="default" w:ascii="Times New Roman" w:hAnsi="Times New Roman" w:eastAsia="宋体" w:cs="Times New Roman"/>
                      <w:color w:val="000000"/>
                      <w:kern w:val="0"/>
                      <w:sz w:val="21"/>
                      <w:szCs w:val="21"/>
                      <w:lang w:val="en-US" w:eastAsia="zh-CN" w:bidi="ar"/>
                    </w:rPr>
                    <w:t>区、发泡区、板材存放区</w:t>
                  </w:r>
                  <w:r>
                    <w:rPr>
                      <w:rFonts w:hint="eastAsia" w:ascii="Times New Roman" w:hAnsi="Times New Roman" w:eastAsia="宋体" w:cs="Times New Roman"/>
                      <w:color w:val="000000"/>
                      <w:kern w:val="0"/>
                      <w:sz w:val="21"/>
                      <w:szCs w:val="21"/>
                      <w:lang w:val="en-US" w:eastAsia="zh-CN" w:bidi="ar"/>
                    </w:rPr>
                    <w:t>等</w:t>
                  </w:r>
                  <w:r>
                    <w:rPr>
                      <w:rFonts w:hint="default" w:ascii="Times New Roman" w:hAnsi="Times New Roman" w:eastAsia="宋体" w:cs="Times New Roman"/>
                      <w:color w:val="000000"/>
                      <w:kern w:val="0"/>
                      <w:sz w:val="21"/>
                      <w:szCs w:val="21"/>
                      <w:lang w:val="en-US" w:eastAsia="zh-CN" w:bidi="ar"/>
                    </w:rPr>
                    <w:t>，按生产工序安装设备，并按产</w:t>
                  </w:r>
                  <w:r>
                    <w:rPr>
                      <w:rFonts w:hint="eastAsia" w:ascii="Times New Roman" w:hAnsi="Times New Roman" w:eastAsia="宋体" w:cs="Times New Roman"/>
                      <w:color w:val="000000"/>
                      <w:kern w:val="0"/>
                      <w:sz w:val="21"/>
                      <w:szCs w:val="21"/>
                      <w:lang w:val="en-US" w:eastAsia="zh-CN" w:bidi="ar"/>
                    </w:rPr>
                    <w:t>污</w:t>
                  </w:r>
                  <w:r>
                    <w:rPr>
                      <w:rFonts w:hint="default" w:ascii="Times New Roman" w:hAnsi="Times New Roman" w:eastAsia="宋体" w:cs="Times New Roman"/>
                      <w:color w:val="000000"/>
                      <w:kern w:val="0"/>
                      <w:sz w:val="21"/>
                      <w:szCs w:val="21"/>
                      <w:lang w:val="en-US" w:eastAsia="zh-CN" w:bidi="ar"/>
                    </w:rPr>
                    <w:t>环节配套环保设施。</w:t>
                  </w:r>
                </w:p>
              </w:tc>
              <w:tc>
                <w:tcPr>
                  <w:tcW w:w="1670" w:type="dxa"/>
                  <w:noWrap w:val="0"/>
                  <w:vAlign w:val="center"/>
                </w:tcPr>
                <w:p w14:paraId="065B71B8">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val="0"/>
                      <w:bCs/>
                      <w:sz w:val="21"/>
                      <w:szCs w:val="21"/>
                      <w:highlight w:val="none"/>
                      <w:lang w:val="en-US" w:eastAsia="zh-CN"/>
                    </w:rPr>
                  </w:pPr>
                  <w:r>
                    <w:rPr>
                      <w:rFonts w:hint="eastAsia" w:ascii="Times New Roman" w:hAnsi="Times New Roman" w:eastAsia="宋体" w:cs="Times New Roman"/>
                      <w:b w:val="0"/>
                      <w:bCs/>
                      <w:sz w:val="21"/>
                      <w:szCs w:val="21"/>
                      <w:highlight w:val="none"/>
                      <w:lang w:val="en-US" w:eastAsia="zh-CN"/>
                    </w:rPr>
                    <w:t>建设内容未变动，车间内布置按实际物流动线调整。</w:t>
                  </w:r>
                </w:p>
              </w:tc>
            </w:tr>
            <w:tr w14:paraId="2ACE5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noWrap w:val="0"/>
                  <w:vAlign w:val="center"/>
                </w:tcPr>
                <w:p w14:paraId="710A8A4A">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辅助工程</w:t>
                  </w:r>
                </w:p>
              </w:tc>
              <w:tc>
                <w:tcPr>
                  <w:tcW w:w="673" w:type="dxa"/>
                  <w:noWrap w:val="0"/>
                  <w:vAlign w:val="center"/>
                </w:tcPr>
                <w:p w14:paraId="0994281B">
                  <w:pPr>
                    <w:pStyle w:val="9"/>
                    <w:keepNext w:val="0"/>
                    <w:keepLines w:val="0"/>
                    <w:pageBreakBefore w:val="0"/>
                    <w:kinsoku/>
                    <w:wordWrap/>
                    <w:overflowPunct/>
                    <w:topLinePunct w:val="0"/>
                    <w:autoSpaceDE/>
                    <w:autoSpaceDN/>
                    <w:bidi w:val="0"/>
                    <w:adjustRightInd w:val="0"/>
                    <w:snapToGrid w:val="0"/>
                    <w:spacing w:before="0" w:after="0" w:line="240" w:lineRule="auto"/>
                    <w:ind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办公室</w:t>
                  </w:r>
                </w:p>
              </w:tc>
              <w:tc>
                <w:tcPr>
                  <w:tcW w:w="2679" w:type="dxa"/>
                  <w:noWrap w:val="0"/>
                  <w:vAlign w:val="center"/>
                </w:tcPr>
                <w:p w14:paraId="6ACBFCD8">
                  <w:pPr>
                    <w:keepNext w:val="0"/>
                    <w:keepLines w:val="0"/>
                    <w:pageBreakBefore w:val="0"/>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color w:val="000000"/>
                      <w:kern w:val="0"/>
                      <w:sz w:val="21"/>
                      <w:szCs w:val="21"/>
                      <w:lang w:val="en-US" w:eastAsia="zh-CN" w:bidi="ar-SA"/>
                    </w:rPr>
                  </w:pPr>
                  <w:r>
                    <w:rPr>
                      <w:rFonts w:hint="eastAsia" w:ascii="Times New Roman" w:hAnsi="Times New Roman" w:eastAsia="宋体" w:cs="Times New Roman"/>
                      <w:kern w:val="2"/>
                      <w:sz w:val="21"/>
                      <w:szCs w:val="21"/>
                      <w:lang w:val="en-US" w:eastAsia="zh-CN" w:bidi="ar-SA"/>
                    </w:rPr>
                    <w:t>厂房内不设置办公室，员工办公依托厂区现有办公楼。</w:t>
                  </w:r>
                </w:p>
              </w:tc>
              <w:tc>
                <w:tcPr>
                  <w:tcW w:w="2835" w:type="dxa"/>
                  <w:noWrap w:val="0"/>
                  <w:vAlign w:val="center"/>
                </w:tcPr>
                <w:p w14:paraId="023138A9">
                  <w:pPr>
                    <w:keepNext w:val="0"/>
                    <w:keepLines w:val="0"/>
                    <w:pageBreakBefore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color w:val="000000"/>
                      <w:kern w:val="0"/>
                      <w:sz w:val="21"/>
                      <w:szCs w:val="21"/>
                      <w:lang w:val="en-US" w:eastAsia="zh-CN" w:bidi="ar"/>
                    </w:rPr>
                    <w:t>厂房内隔断出一间单独值班室（不产生生活污水），员工办公依托厂内综合办公楼</w:t>
                  </w:r>
                </w:p>
              </w:tc>
              <w:tc>
                <w:tcPr>
                  <w:tcW w:w="1670" w:type="dxa"/>
                  <w:noWrap w:val="0"/>
                  <w:vAlign w:val="center"/>
                </w:tcPr>
                <w:p w14:paraId="4B88A6AA">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val="0"/>
                      <w:bCs/>
                      <w:sz w:val="21"/>
                      <w:szCs w:val="21"/>
                      <w:highlight w:val="none"/>
                      <w:lang w:val="en-US" w:eastAsia="zh-CN"/>
                    </w:rPr>
                  </w:pPr>
                  <w:r>
                    <w:rPr>
                      <w:rFonts w:hint="eastAsia" w:ascii="Times New Roman" w:hAnsi="Times New Roman" w:eastAsia="宋体" w:cs="Times New Roman"/>
                      <w:b w:val="0"/>
                      <w:bCs/>
                      <w:sz w:val="21"/>
                      <w:szCs w:val="21"/>
                      <w:highlight w:val="none"/>
                      <w:lang w:val="en-US" w:eastAsia="zh-CN"/>
                    </w:rPr>
                    <w:t>车间内增加一间值班室，不涉及产污环节。</w:t>
                  </w:r>
                </w:p>
              </w:tc>
            </w:tr>
            <w:tr w14:paraId="050D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vMerge w:val="restart"/>
                  <w:noWrap w:val="0"/>
                  <w:vAlign w:val="center"/>
                </w:tcPr>
                <w:p w14:paraId="789EFA13">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公用工程</w:t>
                  </w:r>
                </w:p>
              </w:tc>
              <w:tc>
                <w:tcPr>
                  <w:tcW w:w="673" w:type="dxa"/>
                  <w:noWrap w:val="0"/>
                  <w:vAlign w:val="center"/>
                </w:tcPr>
                <w:p w14:paraId="29C7E5C5">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供水</w:t>
                  </w:r>
                </w:p>
              </w:tc>
              <w:tc>
                <w:tcPr>
                  <w:tcW w:w="2679" w:type="dxa"/>
                  <w:noWrap w:val="0"/>
                  <w:vAlign w:val="center"/>
                </w:tcPr>
                <w:p w14:paraId="2E862901">
                  <w:pPr>
                    <w:keepNext w:val="0"/>
                    <w:keepLines w:val="0"/>
                    <w:pageBreakBefore w:val="0"/>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由市政供水供给</w:t>
                  </w:r>
                </w:p>
              </w:tc>
              <w:tc>
                <w:tcPr>
                  <w:tcW w:w="2835" w:type="dxa"/>
                  <w:noWrap w:val="0"/>
                  <w:vAlign w:val="center"/>
                </w:tcPr>
                <w:p w14:paraId="4C0B53DD">
                  <w:pPr>
                    <w:keepNext w:val="0"/>
                    <w:keepLines w:val="0"/>
                    <w:pageBreakBefore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由市政供水供给</w:t>
                  </w:r>
                </w:p>
              </w:tc>
              <w:tc>
                <w:tcPr>
                  <w:tcW w:w="1670" w:type="dxa"/>
                  <w:noWrap w:val="0"/>
                  <w:vAlign w:val="center"/>
                </w:tcPr>
                <w:p w14:paraId="27947C29">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val="0"/>
                      <w:bCs/>
                      <w:sz w:val="21"/>
                      <w:szCs w:val="21"/>
                      <w:highlight w:val="none"/>
                      <w:lang w:val="en-US" w:eastAsia="zh-CN"/>
                    </w:rPr>
                  </w:pPr>
                  <w:r>
                    <w:rPr>
                      <w:rFonts w:hint="eastAsia" w:ascii="Times New Roman" w:hAnsi="Times New Roman" w:eastAsia="宋体" w:cs="Times New Roman"/>
                      <w:b w:val="0"/>
                      <w:bCs/>
                      <w:sz w:val="21"/>
                      <w:szCs w:val="21"/>
                      <w:highlight w:val="none"/>
                      <w:lang w:val="en-US" w:eastAsia="zh-CN"/>
                    </w:rPr>
                    <w:t>未变动。与环评一致。</w:t>
                  </w:r>
                </w:p>
              </w:tc>
            </w:tr>
            <w:tr w14:paraId="1281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vMerge w:val="continue"/>
                  <w:noWrap w:val="0"/>
                  <w:vAlign w:val="center"/>
                </w:tcPr>
                <w:p w14:paraId="1CC4DE67">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p>
              </w:tc>
              <w:tc>
                <w:tcPr>
                  <w:tcW w:w="673" w:type="dxa"/>
                  <w:noWrap w:val="0"/>
                  <w:vAlign w:val="center"/>
                </w:tcPr>
                <w:p w14:paraId="1E545841">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排水</w:t>
                  </w:r>
                </w:p>
              </w:tc>
              <w:tc>
                <w:tcPr>
                  <w:tcW w:w="2679" w:type="dxa"/>
                  <w:noWrap w:val="0"/>
                  <w:vAlign w:val="center"/>
                </w:tcPr>
                <w:p w14:paraId="5CD799B9">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sz w:val="21"/>
                      <w:szCs w:val="21"/>
                      <w:lang w:val="en-US" w:eastAsia="zh-CN"/>
                    </w:rPr>
                    <w:t>雨污分流。厂区雨水排入市政雨水管网流出厂外；</w:t>
                  </w:r>
                  <w:r>
                    <w:rPr>
                      <w:rFonts w:hint="default" w:ascii="Times New Roman" w:hAnsi="Times New Roman" w:eastAsia="宋体" w:cs="Times New Roman"/>
                      <w:color w:val="auto"/>
                      <w:sz w:val="21"/>
                      <w:szCs w:val="21"/>
                      <w:highlight w:val="none"/>
                      <w:lang w:val="en-US" w:eastAsia="zh-CN"/>
                    </w:rPr>
                    <w:t>生活污水收集至厂区三级化粪池，后接入市政污水管网，排至</w:t>
                  </w:r>
                  <w:r>
                    <w:rPr>
                      <w:rFonts w:hint="default" w:ascii="Times New Roman" w:hAnsi="Times New Roman" w:eastAsia="宋体" w:cs="Times New Roman"/>
                      <w:color w:val="auto"/>
                      <w:sz w:val="21"/>
                      <w:szCs w:val="21"/>
                      <w:highlight w:val="none"/>
                      <w:lang w:eastAsia="zh-CN"/>
                    </w:rPr>
                    <w:t>老城污水处理厂（西区）</w:t>
                  </w:r>
                  <w:r>
                    <w:rPr>
                      <w:rFonts w:hint="default" w:ascii="Times New Roman" w:hAnsi="Times New Roman" w:eastAsia="宋体" w:cs="Times New Roman"/>
                      <w:color w:val="auto"/>
                      <w:sz w:val="21"/>
                      <w:szCs w:val="21"/>
                      <w:highlight w:val="none"/>
                      <w:lang w:val="en-US" w:eastAsia="zh-CN"/>
                    </w:rPr>
                    <w:t>深度处理；无生产废水</w:t>
                  </w:r>
                  <w:r>
                    <w:rPr>
                      <w:rFonts w:hint="eastAsia" w:ascii="Times New Roman" w:hAnsi="Times New Roman" w:eastAsia="宋体" w:cs="Times New Roman"/>
                      <w:color w:val="auto"/>
                      <w:sz w:val="21"/>
                      <w:szCs w:val="21"/>
                      <w:highlight w:val="none"/>
                      <w:lang w:val="en-US" w:eastAsia="zh-CN"/>
                    </w:rPr>
                    <w:t>。</w:t>
                  </w:r>
                </w:p>
              </w:tc>
              <w:tc>
                <w:tcPr>
                  <w:tcW w:w="2835" w:type="dxa"/>
                  <w:noWrap w:val="0"/>
                  <w:vAlign w:val="center"/>
                </w:tcPr>
                <w:p w14:paraId="27A052EC">
                  <w:pPr>
                    <w:pStyle w:val="9"/>
                    <w:keepNext w:val="0"/>
                    <w:keepLines w:val="0"/>
                    <w:pageBreakBefore w:val="0"/>
                    <w:kinsoku/>
                    <w:wordWrap/>
                    <w:overflowPunct/>
                    <w:topLinePunct w:val="0"/>
                    <w:autoSpaceDE/>
                    <w:autoSpaceDN/>
                    <w:bidi w:val="0"/>
                    <w:adjustRightInd w:val="0"/>
                    <w:snapToGrid w:val="0"/>
                    <w:spacing w:before="0" w:after="0" w:line="240" w:lineRule="auto"/>
                    <w:ind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雨污分流。厂区雨水排入市政雨水管网流出厂外；</w:t>
                  </w:r>
                  <w:r>
                    <w:rPr>
                      <w:rFonts w:hint="default" w:ascii="Times New Roman" w:hAnsi="Times New Roman" w:eastAsia="宋体" w:cs="Times New Roman"/>
                      <w:color w:val="auto"/>
                      <w:sz w:val="21"/>
                      <w:szCs w:val="21"/>
                      <w:highlight w:val="none"/>
                      <w:lang w:val="en-US" w:eastAsia="zh-CN"/>
                    </w:rPr>
                    <w:t>生活污水收集至厂区三级化粪池，后接入市政污水管网，排至</w:t>
                  </w:r>
                  <w:r>
                    <w:rPr>
                      <w:rFonts w:hint="default" w:ascii="Times New Roman" w:hAnsi="Times New Roman" w:eastAsia="宋体" w:cs="Times New Roman"/>
                      <w:color w:val="auto"/>
                      <w:sz w:val="21"/>
                      <w:szCs w:val="21"/>
                      <w:highlight w:val="none"/>
                      <w:lang w:eastAsia="zh-CN"/>
                    </w:rPr>
                    <w:t>老城污水处理厂（西区）</w:t>
                  </w:r>
                  <w:r>
                    <w:rPr>
                      <w:rFonts w:hint="default" w:ascii="Times New Roman" w:hAnsi="Times New Roman" w:eastAsia="宋体" w:cs="Times New Roman"/>
                      <w:color w:val="auto"/>
                      <w:sz w:val="21"/>
                      <w:szCs w:val="21"/>
                      <w:highlight w:val="none"/>
                      <w:lang w:val="en-US" w:eastAsia="zh-CN"/>
                    </w:rPr>
                    <w:t>深度处理；无生产废水</w:t>
                  </w:r>
                  <w:r>
                    <w:rPr>
                      <w:rFonts w:hint="eastAsia" w:ascii="Times New Roman" w:hAnsi="Times New Roman" w:eastAsia="宋体" w:cs="Times New Roman"/>
                      <w:color w:val="auto"/>
                      <w:sz w:val="21"/>
                      <w:szCs w:val="21"/>
                      <w:highlight w:val="none"/>
                      <w:lang w:val="en-US" w:eastAsia="zh-CN"/>
                    </w:rPr>
                    <w:t>。</w:t>
                  </w:r>
                </w:p>
              </w:tc>
              <w:tc>
                <w:tcPr>
                  <w:tcW w:w="1670" w:type="dxa"/>
                  <w:noWrap w:val="0"/>
                  <w:vAlign w:val="center"/>
                </w:tcPr>
                <w:p w14:paraId="4BB59D75">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b w:val="0"/>
                      <w:bCs/>
                      <w:sz w:val="21"/>
                      <w:szCs w:val="21"/>
                      <w:highlight w:val="none"/>
                      <w:lang w:val="en-US" w:eastAsia="zh-CN"/>
                    </w:rPr>
                  </w:pPr>
                  <w:r>
                    <w:rPr>
                      <w:rFonts w:hint="eastAsia" w:ascii="Times New Roman" w:hAnsi="Times New Roman" w:eastAsia="宋体" w:cs="Times New Roman"/>
                      <w:b w:val="0"/>
                      <w:bCs/>
                      <w:sz w:val="21"/>
                      <w:szCs w:val="21"/>
                      <w:highlight w:val="none"/>
                      <w:lang w:val="en-US" w:eastAsia="zh-CN"/>
                    </w:rPr>
                    <w:t>未变动。与环评一致。</w:t>
                  </w:r>
                </w:p>
              </w:tc>
            </w:tr>
            <w:tr w14:paraId="7E540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vMerge w:val="continue"/>
                  <w:noWrap w:val="0"/>
                  <w:vAlign w:val="center"/>
                </w:tcPr>
                <w:p w14:paraId="2B2C607A">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p>
              </w:tc>
              <w:tc>
                <w:tcPr>
                  <w:tcW w:w="673" w:type="dxa"/>
                  <w:noWrap w:val="0"/>
                  <w:vAlign w:val="center"/>
                </w:tcPr>
                <w:p w14:paraId="76CFD095">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供电</w:t>
                  </w:r>
                </w:p>
              </w:tc>
              <w:tc>
                <w:tcPr>
                  <w:tcW w:w="2679" w:type="dxa"/>
                  <w:noWrap w:val="0"/>
                  <w:vAlign w:val="center"/>
                </w:tcPr>
                <w:p w14:paraId="1959F674">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由市政供电，不设发电机</w:t>
                  </w:r>
                </w:p>
              </w:tc>
              <w:tc>
                <w:tcPr>
                  <w:tcW w:w="2835" w:type="dxa"/>
                  <w:noWrap w:val="0"/>
                  <w:vAlign w:val="center"/>
                </w:tcPr>
                <w:p w14:paraId="6C59F466">
                  <w:pPr>
                    <w:pStyle w:val="9"/>
                    <w:keepNext w:val="0"/>
                    <w:keepLines w:val="0"/>
                    <w:pageBreakBefore w:val="0"/>
                    <w:kinsoku/>
                    <w:wordWrap/>
                    <w:overflowPunct/>
                    <w:topLinePunct w:val="0"/>
                    <w:autoSpaceDE/>
                    <w:autoSpaceDN/>
                    <w:bidi w:val="0"/>
                    <w:adjustRightInd w:val="0"/>
                    <w:snapToGrid w:val="0"/>
                    <w:spacing w:before="0" w:after="0" w:line="240" w:lineRule="auto"/>
                    <w:ind w:right="0" w:rightChars="0" w:firstLine="0" w:firstLineChars="0"/>
                    <w:jc w:val="center"/>
                    <w:textAlignment w:val="auto"/>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由市政供电，不设发电机</w:t>
                  </w:r>
                </w:p>
              </w:tc>
              <w:tc>
                <w:tcPr>
                  <w:tcW w:w="1670" w:type="dxa"/>
                  <w:noWrap w:val="0"/>
                  <w:vAlign w:val="center"/>
                </w:tcPr>
                <w:p w14:paraId="49153A3A">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未变动。与环评一致。</w:t>
                  </w:r>
                </w:p>
              </w:tc>
            </w:tr>
            <w:tr w14:paraId="2D6E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vMerge w:val="restart"/>
                  <w:noWrap w:val="0"/>
                  <w:vAlign w:val="center"/>
                </w:tcPr>
                <w:p w14:paraId="276A3516">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环保工程</w:t>
                  </w:r>
                </w:p>
              </w:tc>
              <w:tc>
                <w:tcPr>
                  <w:tcW w:w="673" w:type="dxa"/>
                  <w:noWrap w:val="0"/>
                  <w:vAlign w:val="center"/>
                </w:tcPr>
                <w:p w14:paraId="5B17115E">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废水治理</w:t>
                  </w:r>
                </w:p>
              </w:tc>
              <w:tc>
                <w:tcPr>
                  <w:tcW w:w="2679" w:type="dxa"/>
                  <w:noWrap w:val="0"/>
                  <w:vAlign w:val="center"/>
                </w:tcPr>
                <w:p w14:paraId="2AF34732">
                  <w:pPr>
                    <w:keepNext w:val="0"/>
                    <w:keepLines w:val="0"/>
                    <w:pageBreakBefore w:val="0"/>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kern w:val="0"/>
                      <w:sz w:val="21"/>
                      <w:szCs w:val="21"/>
                      <w:lang w:val="en-US"/>
                    </w:rPr>
                  </w:pPr>
                  <w:r>
                    <w:rPr>
                      <w:rFonts w:hint="default" w:ascii="Times New Roman" w:hAnsi="Times New Roman" w:eastAsia="宋体" w:cs="Times New Roman"/>
                      <w:color w:val="auto"/>
                      <w:sz w:val="21"/>
                      <w:szCs w:val="21"/>
                      <w:highlight w:val="none"/>
                      <w:lang w:val="en-US" w:eastAsia="zh-CN"/>
                    </w:rPr>
                    <w:t>无生产废水，生活污水收集至厂区三级化粪池，后接入市政污水管网，排至</w:t>
                  </w:r>
                  <w:r>
                    <w:rPr>
                      <w:rFonts w:hint="default" w:ascii="Times New Roman" w:hAnsi="Times New Roman" w:eastAsia="宋体" w:cs="Times New Roman"/>
                      <w:color w:val="auto"/>
                      <w:sz w:val="21"/>
                      <w:szCs w:val="21"/>
                      <w:highlight w:val="none"/>
                      <w:lang w:eastAsia="zh-CN"/>
                    </w:rPr>
                    <w:t>老城污水处理厂（西区）</w:t>
                  </w:r>
                  <w:r>
                    <w:rPr>
                      <w:rFonts w:hint="default" w:ascii="Times New Roman" w:hAnsi="Times New Roman" w:eastAsia="宋体" w:cs="Times New Roman"/>
                      <w:color w:val="auto"/>
                      <w:sz w:val="21"/>
                      <w:szCs w:val="21"/>
                      <w:highlight w:val="none"/>
                      <w:lang w:val="en-US" w:eastAsia="zh-CN"/>
                    </w:rPr>
                    <w:t>深度处理。</w:t>
                  </w:r>
                </w:p>
              </w:tc>
              <w:tc>
                <w:tcPr>
                  <w:tcW w:w="2835" w:type="dxa"/>
                  <w:noWrap w:val="0"/>
                  <w:vAlign w:val="center"/>
                </w:tcPr>
                <w:p w14:paraId="29F94974">
                  <w:pPr>
                    <w:keepNext w:val="0"/>
                    <w:keepLines w:val="0"/>
                    <w:pageBreakBefore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无生产废水，生活污水收集至厂区三级化粪池，后接入市政污水管网，排至</w:t>
                  </w:r>
                  <w:r>
                    <w:rPr>
                      <w:rFonts w:hint="default" w:ascii="Times New Roman" w:hAnsi="Times New Roman" w:eastAsia="宋体" w:cs="Times New Roman"/>
                      <w:color w:val="auto"/>
                      <w:sz w:val="21"/>
                      <w:szCs w:val="21"/>
                      <w:highlight w:val="none"/>
                      <w:lang w:eastAsia="zh-CN"/>
                    </w:rPr>
                    <w:t>老城污水处理厂（西区）</w:t>
                  </w:r>
                  <w:r>
                    <w:rPr>
                      <w:rFonts w:hint="default" w:ascii="Times New Roman" w:hAnsi="Times New Roman" w:eastAsia="宋体" w:cs="Times New Roman"/>
                      <w:color w:val="auto"/>
                      <w:sz w:val="21"/>
                      <w:szCs w:val="21"/>
                      <w:highlight w:val="none"/>
                      <w:lang w:val="en-US" w:eastAsia="zh-CN"/>
                    </w:rPr>
                    <w:t>深度处理。</w:t>
                  </w:r>
                </w:p>
              </w:tc>
              <w:tc>
                <w:tcPr>
                  <w:tcW w:w="1670" w:type="dxa"/>
                  <w:noWrap w:val="0"/>
                  <w:vAlign w:val="center"/>
                </w:tcPr>
                <w:p w14:paraId="698AE68B">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未变动。与环评一致。</w:t>
                  </w:r>
                </w:p>
              </w:tc>
            </w:tr>
            <w:tr w14:paraId="0402C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vMerge w:val="continue"/>
                  <w:noWrap w:val="0"/>
                  <w:vAlign w:val="center"/>
                </w:tcPr>
                <w:p w14:paraId="0577F302">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p>
              </w:tc>
              <w:tc>
                <w:tcPr>
                  <w:tcW w:w="673" w:type="dxa"/>
                  <w:noWrap w:val="0"/>
                  <w:vAlign w:val="center"/>
                </w:tcPr>
                <w:p w14:paraId="3984D2B0">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废气治理</w:t>
                  </w:r>
                </w:p>
              </w:tc>
              <w:tc>
                <w:tcPr>
                  <w:tcW w:w="2679" w:type="dxa"/>
                  <w:noWrap w:val="0"/>
                  <w:vAlign w:val="center"/>
                </w:tcPr>
                <w:p w14:paraId="6054E939">
                  <w:pPr>
                    <w:keepNext w:val="0"/>
                    <w:keepLines w:val="0"/>
                    <w:pageBreakBefore w:val="0"/>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kern w:val="0"/>
                      <w:sz w:val="21"/>
                      <w:szCs w:val="21"/>
                    </w:rPr>
                  </w:pPr>
                  <w:r>
                    <w:rPr>
                      <w:rFonts w:hint="eastAsia" w:ascii="Times New Roman" w:hAnsi="Times New Roman" w:eastAsia="宋体" w:cs="Times New Roman"/>
                      <w:b w:val="0"/>
                      <w:bCs w:val="0"/>
                      <w:color w:val="000000"/>
                      <w:kern w:val="0"/>
                      <w:sz w:val="21"/>
                      <w:szCs w:val="21"/>
                      <w:lang w:val="en-US" w:eastAsia="zh-CN" w:bidi="ar"/>
                    </w:rPr>
                    <w:t>采用密闭发泡设备、密闭集气罩，</w:t>
                  </w:r>
                  <w:r>
                    <w:rPr>
                      <w:rFonts w:hint="default" w:ascii="Times New Roman" w:hAnsi="Times New Roman" w:eastAsia="宋体" w:cs="Times New Roman"/>
                      <w:b w:val="0"/>
                      <w:bCs w:val="0"/>
                      <w:color w:val="000000"/>
                      <w:kern w:val="0"/>
                      <w:sz w:val="21"/>
                      <w:szCs w:val="21"/>
                      <w:lang w:val="en-US" w:eastAsia="zh-CN" w:bidi="ar"/>
                    </w:rPr>
                    <w:t>发泡废气由</w:t>
                  </w:r>
                  <w:r>
                    <w:rPr>
                      <w:rFonts w:hint="eastAsia" w:ascii="Times New Roman" w:hAnsi="Times New Roman" w:eastAsia="宋体" w:cs="Times New Roman"/>
                      <w:b w:val="0"/>
                      <w:bCs w:val="0"/>
                      <w:color w:val="000000"/>
                      <w:kern w:val="0"/>
                      <w:sz w:val="21"/>
                      <w:szCs w:val="21"/>
                      <w:lang w:val="en-US" w:eastAsia="zh-CN" w:bidi="ar"/>
                    </w:rPr>
                    <w:t>密闭</w:t>
                  </w:r>
                  <w:r>
                    <w:rPr>
                      <w:rFonts w:hint="default" w:ascii="Times New Roman" w:hAnsi="Times New Roman" w:eastAsia="宋体" w:cs="Times New Roman"/>
                      <w:b w:val="0"/>
                      <w:bCs w:val="0"/>
                      <w:color w:val="000000"/>
                      <w:kern w:val="0"/>
                      <w:sz w:val="21"/>
                      <w:szCs w:val="21"/>
                      <w:lang w:val="en-US" w:eastAsia="zh-CN" w:bidi="ar"/>
                    </w:rPr>
                    <w:t>集气罩收集，经</w:t>
                  </w:r>
                  <w:r>
                    <w:rPr>
                      <w:rFonts w:hint="eastAsia" w:ascii="Times New Roman" w:hAnsi="Times New Roman" w:eastAsia="宋体" w:cs="Times New Roman"/>
                      <w:b w:val="0"/>
                      <w:bCs w:val="0"/>
                      <w:color w:val="000000"/>
                      <w:kern w:val="0"/>
                      <w:sz w:val="21"/>
                      <w:szCs w:val="21"/>
                      <w:lang w:val="en-US" w:eastAsia="zh-CN" w:bidi="ar"/>
                    </w:rPr>
                    <w:t>“二级</w:t>
                  </w:r>
                  <w:r>
                    <w:rPr>
                      <w:rFonts w:hint="default" w:ascii="Times New Roman" w:hAnsi="Times New Roman" w:eastAsia="宋体" w:cs="Times New Roman"/>
                      <w:b w:val="0"/>
                      <w:bCs w:val="0"/>
                      <w:color w:val="000000"/>
                      <w:kern w:val="0"/>
                      <w:sz w:val="21"/>
                      <w:szCs w:val="21"/>
                      <w:lang w:val="en-US" w:eastAsia="zh-CN" w:bidi="ar"/>
                    </w:rPr>
                    <w:t>活性炭吸附</w:t>
                  </w:r>
                  <w:r>
                    <w:rPr>
                      <w:rFonts w:hint="eastAsia" w:ascii="Times New Roman" w:hAnsi="Times New Roman" w:eastAsia="宋体" w:cs="Times New Roman"/>
                      <w:b w:val="0"/>
                      <w:bCs w:val="0"/>
                      <w:color w:val="000000"/>
                      <w:kern w:val="0"/>
                      <w:sz w:val="21"/>
                      <w:szCs w:val="21"/>
                      <w:lang w:val="en-US" w:eastAsia="zh-CN" w:bidi="ar"/>
                    </w:rPr>
                    <w:t>”</w:t>
                  </w:r>
                  <w:r>
                    <w:rPr>
                      <w:rFonts w:hint="default" w:ascii="Times New Roman" w:hAnsi="Times New Roman" w:eastAsia="宋体" w:cs="Times New Roman"/>
                      <w:b w:val="0"/>
                      <w:bCs w:val="0"/>
                      <w:color w:val="000000"/>
                      <w:kern w:val="0"/>
                      <w:sz w:val="21"/>
                      <w:szCs w:val="21"/>
                      <w:lang w:val="en-US" w:eastAsia="zh-CN" w:bidi="ar"/>
                    </w:rPr>
                    <w:t>后通过15m高（DA001）排气筒达标排放。</w:t>
                  </w:r>
                </w:p>
              </w:tc>
              <w:tc>
                <w:tcPr>
                  <w:tcW w:w="2835" w:type="dxa"/>
                  <w:noWrap w:val="0"/>
                  <w:vAlign w:val="center"/>
                </w:tcPr>
                <w:p w14:paraId="5F209F3A">
                  <w:pPr>
                    <w:keepNext w:val="0"/>
                    <w:keepLines w:val="0"/>
                    <w:pageBreakBefore w:val="0"/>
                    <w:kinsoku/>
                    <w:wordWrap/>
                    <w:overflowPunct/>
                    <w:topLinePunct w:val="0"/>
                    <w:autoSpaceDE/>
                    <w:autoSpaceDN/>
                    <w:bidi w:val="0"/>
                    <w:adjustRightInd w:val="0"/>
                    <w:snapToGrid w:val="0"/>
                    <w:spacing w:line="240" w:lineRule="auto"/>
                    <w:ind w:right="0" w:firstLine="0" w:firstLineChars="0"/>
                    <w:jc w:val="center"/>
                    <w:textAlignment w:val="auto"/>
                    <w:rPr>
                      <w:rFonts w:hint="eastAsia" w:ascii="Times New Roman" w:hAnsi="Times New Roman" w:eastAsia="宋体" w:cs="Times New Roman"/>
                      <w:b w:val="0"/>
                      <w:bCs w:val="0"/>
                      <w:color w:val="000000"/>
                      <w:kern w:val="0"/>
                      <w:sz w:val="21"/>
                      <w:szCs w:val="21"/>
                      <w:lang w:val="en-US" w:eastAsia="zh-CN" w:bidi="ar"/>
                    </w:rPr>
                  </w:pPr>
                  <w:r>
                    <w:rPr>
                      <w:rFonts w:hint="eastAsia" w:ascii="Times New Roman" w:hAnsi="Times New Roman" w:eastAsia="宋体" w:cs="Times New Roman"/>
                      <w:b w:val="0"/>
                      <w:bCs w:val="0"/>
                      <w:color w:val="000000"/>
                      <w:kern w:val="0"/>
                      <w:sz w:val="21"/>
                      <w:szCs w:val="21"/>
                      <w:lang w:val="en-US" w:eastAsia="zh-CN" w:bidi="ar"/>
                    </w:rPr>
                    <w:t>采用密闭发泡设备、密闭集气罩，</w:t>
                  </w:r>
                  <w:r>
                    <w:rPr>
                      <w:rFonts w:hint="default" w:ascii="Times New Roman" w:hAnsi="Times New Roman" w:eastAsia="宋体" w:cs="Times New Roman"/>
                      <w:b w:val="0"/>
                      <w:bCs w:val="0"/>
                      <w:color w:val="000000"/>
                      <w:kern w:val="0"/>
                      <w:sz w:val="21"/>
                      <w:szCs w:val="21"/>
                      <w:lang w:val="en-US" w:eastAsia="zh-CN" w:bidi="ar"/>
                    </w:rPr>
                    <w:t>发泡废气由</w:t>
                  </w:r>
                  <w:r>
                    <w:rPr>
                      <w:rFonts w:hint="eastAsia" w:ascii="Times New Roman" w:hAnsi="Times New Roman" w:eastAsia="宋体" w:cs="Times New Roman"/>
                      <w:b w:val="0"/>
                      <w:bCs w:val="0"/>
                      <w:color w:val="000000"/>
                      <w:kern w:val="0"/>
                      <w:sz w:val="21"/>
                      <w:szCs w:val="21"/>
                      <w:lang w:val="en-US" w:eastAsia="zh-CN" w:bidi="ar"/>
                    </w:rPr>
                    <w:t>密闭</w:t>
                  </w:r>
                  <w:r>
                    <w:rPr>
                      <w:rFonts w:hint="default" w:ascii="Times New Roman" w:hAnsi="Times New Roman" w:eastAsia="宋体" w:cs="Times New Roman"/>
                      <w:b w:val="0"/>
                      <w:bCs w:val="0"/>
                      <w:color w:val="000000"/>
                      <w:kern w:val="0"/>
                      <w:sz w:val="21"/>
                      <w:szCs w:val="21"/>
                      <w:lang w:val="en-US" w:eastAsia="zh-CN" w:bidi="ar"/>
                    </w:rPr>
                    <w:t>集气罩收集，经</w:t>
                  </w:r>
                  <w:r>
                    <w:rPr>
                      <w:rFonts w:hint="eastAsia" w:ascii="Times New Roman" w:hAnsi="Times New Roman" w:eastAsia="宋体" w:cs="Times New Roman"/>
                      <w:b w:val="0"/>
                      <w:bCs w:val="0"/>
                      <w:color w:val="000000"/>
                      <w:kern w:val="0"/>
                      <w:sz w:val="21"/>
                      <w:szCs w:val="21"/>
                      <w:lang w:val="en-US" w:eastAsia="zh-CN" w:bidi="ar"/>
                    </w:rPr>
                    <w:t>“UV光解+二级</w:t>
                  </w:r>
                  <w:r>
                    <w:rPr>
                      <w:rFonts w:hint="default" w:ascii="Times New Roman" w:hAnsi="Times New Roman" w:eastAsia="宋体" w:cs="Times New Roman"/>
                      <w:b w:val="0"/>
                      <w:bCs w:val="0"/>
                      <w:color w:val="000000"/>
                      <w:kern w:val="0"/>
                      <w:sz w:val="21"/>
                      <w:szCs w:val="21"/>
                      <w:lang w:val="en-US" w:eastAsia="zh-CN" w:bidi="ar"/>
                    </w:rPr>
                    <w:t>活性炭吸附</w:t>
                  </w:r>
                  <w:r>
                    <w:rPr>
                      <w:rFonts w:hint="eastAsia" w:ascii="Times New Roman" w:hAnsi="Times New Roman" w:eastAsia="宋体" w:cs="Times New Roman"/>
                      <w:b w:val="0"/>
                      <w:bCs w:val="0"/>
                      <w:color w:val="000000"/>
                      <w:kern w:val="0"/>
                      <w:sz w:val="21"/>
                      <w:szCs w:val="21"/>
                      <w:lang w:val="en-US" w:eastAsia="zh-CN" w:bidi="ar"/>
                    </w:rPr>
                    <w:t>”</w:t>
                  </w:r>
                  <w:r>
                    <w:rPr>
                      <w:rFonts w:hint="default" w:ascii="Times New Roman" w:hAnsi="Times New Roman" w:eastAsia="宋体" w:cs="Times New Roman"/>
                      <w:b w:val="0"/>
                      <w:bCs w:val="0"/>
                      <w:color w:val="000000"/>
                      <w:kern w:val="0"/>
                      <w:sz w:val="21"/>
                      <w:szCs w:val="21"/>
                      <w:lang w:val="en-US" w:eastAsia="zh-CN" w:bidi="ar"/>
                    </w:rPr>
                    <w:t>后通过15</w:t>
                  </w:r>
                  <w:r>
                    <w:rPr>
                      <w:rFonts w:hint="eastAsia" w:ascii="Times New Roman" w:hAnsi="Times New Roman" w:eastAsia="宋体" w:cs="Times New Roman"/>
                      <w:b w:val="0"/>
                      <w:bCs w:val="0"/>
                      <w:color w:val="000000"/>
                      <w:kern w:val="0"/>
                      <w:sz w:val="21"/>
                      <w:szCs w:val="21"/>
                      <w:lang w:val="en-US" w:eastAsia="zh-CN" w:bidi="ar"/>
                    </w:rPr>
                    <w:t>.5</w:t>
                  </w:r>
                  <w:r>
                    <w:rPr>
                      <w:rFonts w:hint="default" w:ascii="Times New Roman" w:hAnsi="Times New Roman" w:eastAsia="宋体" w:cs="Times New Roman"/>
                      <w:b w:val="0"/>
                      <w:bCs w:val="0"/>
                      <w:color w:val="000000"/>
                      <w:kern w:val="0"/>
                      <w:sz w:val="21"/>
                      <w:szCs w:val="21"/>
                      <w:lang w:val="en-US" w:eastAsia="zh-CN" w:bidi="ar"/>
                    </w:rPr>
                    <w:t>m高（DA001）排气筒达标排放。</w:t>
                  </w:r>
                </w:p>
              </w:tc>
              <w:tc>
                <w:tcPr>
                  <w:tcW w:w="1670" w:type="dxa"/>
                  <w:noWrap w:val="0"/>
                  <w:vAlign w:val="center"/>
                </w:tcPr>
                <w:p w14:paraId="707F5B76">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废气处理措施增加UV光解环节，处理效果增加并符合环保要求，污染物可达标排放。</w:t>
                  </w:r>
                </w:p>
              </w:tc>
            </w:tr>
            <w:tr w14:paraId="47432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vMerge w:val="continue"/>
                  <w:noWrap w:val="0"/>
                  <w:vAlign w:val="center"/>
                </w:tcPr>
                <w:p w14:paraId="7B3B6679">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p>
              </w:tc>
              <w:tc>
                <w:tcPr>
                  <w:tcW w:w="673" w:type="dxa"/>
                  <w:noWrap w:val="0"/>
                  <w:vAlign w:val="center"/>
                </w:tcPr>
                <w:p w14:paraId="5D5D2DE9">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噪声治理</w:t>
                  </w:r>
                </w:p>
              </w:tc>
              <w:tc>
                <w:tcPr>
                  <w:tcW w:w="2679" w:type="dxa"/>
                  <w:noWrap w:val="0"/>
                  <w:vAlign w:val="center"/>
                </w:tcPr>
                <w:p w14:paraId="43BC87CB">
                  <w:pPr>
                    <w:keepNext w:val="0"/>
                    <w:keepLines w:val="0"/>
                    <w:pageBreakBefore w:val="0"/>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color w:val="000000"/>
                      <w:kern w:val="0"/>
                      <w:sz w:val="21"/>
                      <w:szCs w:val="21"/>
                      <w:lang w:val="en-US" w:eastAsia="zh-CN" w:bidi="ar"/>
                    </w:rPr>
                    <w:t>设备噪声和生产噪声，通过建设厂房车间隔音；采用低噪声的设备；设备基底座采用减振垫片；在设备连接口处采用软连接等措施，降低噪声产生及排放</w:t>
                  </w:r>
                </w:p>
              </w:tc>
              <w:tc>
                <w:tcPr>
                  <w:tcW w:w="2835" w:type="dxa"/>
                  <w:noWrap w:val="0"/>
                  <w:vAlign w:val="center"/>
                </w:tcPr>
                <w:p w14:paraId="2D9B4F3C">
                  <w:pPr>
                    <w:keepNext w:val="0"/>
                    <w:keepLines w:val="0"/>
                    <w:pageBreakBefore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设备噪声和生产噪声，通过建设厂房车间隔音；采用低噪声的设备；设备基底座采用减振垫片；在设备连接口处采用软连接等措施，降低噪声产生及排放</w:t>
                  </w:r>
                </w:p>
              </w:tc>
              <w:tc>
                <w:tcPr>
                  <w:tcW w:w="1670" w:type="dxa"/>
                  <w:noWrap w:val="0"/>
                  <w:vAlign w:val="center"/>
                </w:tcPr>
                <w:p w14:paraId="6D3D5F28">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eastAsia" w:ascii="Times New Roman" w:hAnsi="Times New Roman" w:eastAsia="宋体" w:cs="Times New Roman"/>
                      <w:kern w:val="0"/>
                      <w:sz w:val="21"/>
                      <w:szCs w:val="21"/>
                      <w:lang w:val="en-US" w:eastAsia="zh-CN"/>
                    </w:rPr>
                    <w:t>未变动。与环评一致。</w:t>
                  </w:r>
                </w:p>
              </w:tc>
            </w:tr>
            <w:tr w14:paraId="494B5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vMerge w:val="continue"/>
                  <w:noWrap w:val="0"/>
                  <w:vAlign w:val="center"/>
                </w:tcPr>
                <w:p w14:paraId="220A86C6">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p>
              </w:tc>
              <w:tc>
                <w:tcPr>
                  <w:tcW w:w="673" w:type="dxa"/>
                  <w:noWrap w:val="0"/>
                  <w:vAlign w:val="center"/>
                </w:tcPr>
                <w:p w14:paraId="5089F6F3">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highlight w:val="none"/>
                    </w:rPr>
                    <w:t>固废治理</w:t>
                  </w:r>
                </w:p>
              </w:tc>
              <w:tc>
                <w:tcPr>
                  <w:tcW w:w="2679" w:type="dxa"/>
                  <w:noWrap w:val="0"/>
                  <w:vAlign w:val="center"/>
                </w:tcPr>
                <w:p w14:paraId="073BA5FE">
                  <w:pPr>
                    <w:keepNext w:val="0"/>
                    <w:keepLines w:val="0"/>
                    <w:pageBreakBefore w:val="0"/>
                    <w:widowControl/>
                    <w:suppressLineNumbers w:val="0"/>
                    <w:kinsoku/>
                    <w:wordWrap/>
                    <w:overflowPunct/>
                    <w:topLinePunct w:val="0"/>
                    <w:autoSpaceDE/>
                    <w:autoSpaceDN/>
                    <w:bidi w:val="0"/>
                    <w:adjustRightInd w:val="0"/>
                    <w:snapToGrid w:val="0"/>
                    <w:ind w:right="0"/>
                    <w:jc w:val="center"/>
                    <w:textAlignment w:val="auto"/>
                    <w:rPr>
                      <w:rFonts w:hint="default" w:ascii="Times New Roman" w:hAnsi="Times New Roman" w:eastAsia="宋体" w:cs="Times New Roman"/>
                      <w:kern w:val="0"/>
                      <w:sz w:val="21"/>
                      <w:szCs w:val="21"/>
                      <w:lang w:val="en-US"/>
                    </w:rPr>
                  </w:pPr>
                  <w:r>
                    <w:rPr>
                      <w:rFonts w:hint="default" w:ascii="Times New Roman" w:hAnsi="Times New Roman" w:eastAsia="宋体" w:cs="Times New Roman"/>
                      <w:color w:val="000000"/>
                      <w:kern w:val="0"/>
                      <w:sz w:val="21"/>
                      <w:szCs w:val="21"/>
                      <w:lang w:val="en-US" w:eastAsia="zh-CN" w:bidi="ar"/>
                    </w:rPr>
                    <w:t>员工生活垃圾自行收集</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交由当地环卫部门清运；</w:t>
                  </w:r>
                  <w:r>
                    <w:rPr>
                      <w:rFonts w:hint="eastAsia" w:ascii="Times New Roman" w:hAnsi="Times New Roman" w:eastAsia="宋体" w:cs="Times New Roman"/>
                      <w:color w:val="000000"/>
                      <w:kern w:val="0"/>
                      <w:sz w:val="21"/>
                      <w:szCs w:val="21"/>
                      <w:lang w:val="en-US" w:eastAsia="zh-CN" w:bidi="ar"/>
                    </w:rPr>
                    <w:t>废</w:t>
                  </w:r>
                  <w:r>
                    <w:rPr>
                      <w:rFonts w:hint="eastAsia" w:ascii="宋体" w:hAnsi="宋体" w:eastAsia="宋体" w:cs="宋体"/>
                      <w:color w:val="000000"/>
                      <w:kern w:val="0"/>
                      <w:sz w:val="21"/>
                      <w:szCs w:val="21"/>
                      <w:lang w:val="en-US" w:eastAsia="zh-CN" w:bidi="ar"/>
                    </w:rPr>
                    <w:t>发泡料和</w:t>
                  </w:r>
                  <w:r>
                    <w:rPr>
                      <w:rFonts w:hint="eastAsia" w:ascii="Times New Roman" w:hAnsi="Times New Roman" w:eastAsia="宋体" w:cs="Times New Roman"/>
                      <w:color w:val="000000"/>
                      <w:sz w:val="21"/>
                      <w:szCs w:val="21"/>
                      <w:lang w:val="en-US" w:eastAsia="zh-CN"/>
                    </w:rPr>
                    <w:t>废边角料分类收集至一般固废暂存间，外售废品回收公司；危险废物（废机油、废活性炭）等分类收集暂存于危废间，交由资质单位处置。</w:t>
                  </w:r>
                </w:p>
              </w:tc>
              <w:tc>
                <w:tcPr>
                  <w:tcW w:w="2835" w:type="dxa"/>
                  <w:noWrap w:val="0"/>
                  <w:vAlign w:val="center"/>
                </w:tcPr>
                <w:p w14:paraId="7EF1313D">
                  <w:pPr>
                    <w:keepNext w:val="0"/>
                    <w:keepLines w:val="0"/>
                    <w:pageBreakBefore w:val="0"/>
                    <w:widowControl/>
                    <w:suppressLineNumbers w:val="0"/>
                    <w:kinsoku/>
                    <w:wordWrap/>
                    <w:overflowPunct/>
                    <w:topLinePunct w:val="0"/>
                    <w:autoSpaceDE/>
                    <w:autoSpaceDN/>
                    <w:bidi w:val="0"/>
                    <w:adjustRightInd w:val="0"/>
                    <w:snapToGrid w:val="0"/>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员工生活垃圾自行收集</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交由当地环卫部门清运；</w:t>
                  </w:r>
                  <w:r>
                    <w:rPr>
                      <w:rFonts w:hint="eastAsia" w:ascii="Times New Roman" w:hAnsi="Times New Roman" w:eastAsia="宋体" w:cs="Times New Roman"/>
                      <w:color w:val="000000"/>
                      <w:kern w:val="0"/>
                      <w:sz w:val="21"/>
                      <w:szCs w:val="21"/>
                      <w:lang w:val="en-US" w:eastAsia="zh-CN" w:bidi="ar"/>
                    </w:rPr>
                    <w:t>废</w:t>
                  </w:r>
                  <w:r>
                    <w:rPr>
                      <w:rFonts w:hint="eastAsia" w:ascii="宋体" w:hAnsi="宋体" w:eastAsia="宋体" w:cs="宋体"/>
                      <w:color w:val="000000"/>
                      <w:kern w:val="0"/>
                      <w:sz w:val="21"/>
                      <w:szCs w:val="21"/>
                      <w:lang w:val="en-US" w:eastAsia="zh-CN" w:bidi="ar"/>
                    </w:rPr>
                    <w:t>发泡料和</w:t>
                  </w:r>
                  <w:r>
                    <w:rPr>
                      <w:rFonts w:hint="eastAsia" w:ascii="Times New Roman" w:hAnsi="Times New Roman" w:eastAsia="宋体" w:cs="Times New Roman"/>
                      <w:color w:val="000000"/>
                      <w:sz w:val="21"/>
                      <w:szCs w:val="21"/>
                      <w:lang w:val="en-US" w:eastAsia="zh-CN"/>
                    </w:rPr>
                    <w:t>废边角料分类收集，外售废品回收公司；危险废物（废机油、废UV灯管、废活性炭）等分类收集暂存于危废间，交由海南腾先环保科技有限责任公司（资质单位）处置。</w:t>
                  </w:r>
                </w:p>
              </w:tc>
              <w:tc>
                <w:tcPr>
                  <w:tcW w:w="1670" w:type="dxa"/>
                  <w:noWrap w:val="0"/>
                  <w:vAlign w:val="center"/>
                </w:tcPr>
                <w:p w14:paraId="7A76E849">
                  <w:pPr>
                    <w:pStyle w:val="9"/>
                    <w:keepNext w:val="0"/>
                    <w:keepLines w:val="0"/>
                    <w:pageBreakBefore w:val="0"/>
                    <w:kinsoku/>
                    <w:wordWrap/>
                    <w:overflowPunct/>
                    <w:topLinePunct w:val="0"/>
                    <w:autoSpaceDE/>
                    <w:autoSpaceDN/>
                    <w:bidi w:val="0"/>
                    <w:adjustRightInd w:val="0"/>
                    <w:snapToGrid w:val="0"/>
                    <w:spacing w:before="0" w:after="0" w:line="240" w:lineRule="auto"/>
                    <w:ind w:right="0" w:firstLine="0" w:firstLineChars="0"/>
                    <w:jc w:val="center"/>
                    <w:textAlignment w:val="auto"/>
                    <w:rPr>
                      <w:rFonts w:hint="default" w:ascii="Times New Roman" w:hAnsi="Times New Roman" w:eastAsia="宋体" w:cs="Times New Roman"/>
                      <w:kern w:val="0"/>
                      <w:sz w:val="21"/>
                      <w:szCs w:val="21"/>
                      <w:lang w:val="en-US"/>
                    </w:rPr>
                  </w:pPr>
                  <w:r>
                    <w:rPr>
                      <w:rFonts w:hint="eastAsia" w:ascii="Times New Roman" w:hAnsi="Times New Roman" w:eastAsia="宋体" w:cs="Times New Roman"/>
                      <w:kern w:val="0"/>
                      <w:sz w:val="21"/>
                      <w:szCs w:val="21"/>
                      <w:lang w:val="en-US" w:eastAsia="zh-CN"/>
                    </w:rPr>
                    <w:t>废气处理措施增加UV光解环节，对应增加废UV灯管处置，符合环保要求。危废已与</w:t>
                  </w:r>
                  <w:r>
                    <w:rPr>
                      <w:rFonts w:hint="eastAsia" w:ascii="Times New Roman" w:hAnsi="Times New Roman" w:eastAsia="宋体" w:cs="Times New Roman"/>
                      <w:color w:val="000000"/>
                      <w:sz w:val="21"/>
                      <w:szCs w:val="21"/>
                      <w:lang w:val="en-US" w:eastAsia="zh-CN"/>
                    </w:rPr>
                    <w:t>海南腾先环保科技有限责任公司（资质单位）</w:t>
                  </w:r>
                  <w:r>
                    <w:rPr>
                      <w:rFonts w:hint="eastAsia" w:ascii="Times New Roman" w:hAnsi="Times New Roman" w:eastAsia="宋体" w:cs="Times New Roman"/>
                      <w:kern w:val="0"/>
                      <w:sz w:val="21"/>
                      <w:szCs w:val="21"/>
                      <w:lang w:val="en-US" w:eastAsia="zh-CN"/>
                    </w:rPr>
                    <w:t>签订处置协议。</w:t>
                  </w:r>
                </w:p>
              </w:tc>
            </w:tr>
          </w:tbl>
          <w:p w14:paraId="02A9D109">
            <w:pPr>
              <w:adjustRightInd w:val="0"/>
              <w:snapToGrid w:val="0"/>
              <w:spacing w:line="500" w:lineRule="exact"/>
              <w:ind w:firstLine="482" w:firstLineChars="200"/>
              <w:rPr>
                <w:rFonts w:ascii="Times New Roman" w:hAnsi="Times New Roman" w:eastAsia="宋体" w:cs="Times New Roman"/>
                <w:b/>
                <w:bCs/>
                <w:sz w:val="24"/>
              </w:rPr>
            </w:pPr>
            <w:r>
              <w:rPr>
                <w:rFonts w:ascii="Times New Roman" w:hAnsi="Times New Roman" w:eastAsia="宋体" w:cs="Times New Roman"/>
                <w:b/>
                <w:bCs/>
                <w:sz w:val="24"/>
              </w:rPr>
              <w:t>3、项目主要生产设备</w:t>
            </w:r>
          </w:p>
          <w:p w14:paraId="47C4EA16">
            <w:pPr>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bCs/>
                <w:sz w:val="24"/>
              </w:rPr>
              <w:t>项目主要生产设施（备）见下表。</w:t>
            </w:r>
          </w:p>
          <w:p w14:paraId="68552116">
            <w:pPr>
              <w:adjustRightInd w:val="0"/>
              <w:snapToGrid w:val="0"/>
              <w:spacing w:line="500" w:lineRule="exact"/>
              <w:jc w:val="center"/>
              <w:rPr>
                <w:rFonts w:ascii="Times New Roman" w:hAnsi="Times New Roman" w:eastAsia="宋体" w:cs="Times New Roman"/>
                <w:b/>
                <w:bCs/>
                <w:sz w:val="24"/>
              </w:rPr>
            </w:pPr>
            <w:r>
              <w:rPr>
                <w:rFonts w:ascii="Times New Roman" w:hAnsi="Times New Roman" w:eastAsia="宋体" w:cs="Times New Roman"/>
                <w:b/>
                <w:bCs/>
                <w:sz w:val="24"/>
              </w:rPr>
              <w:t>表2-</w:t>
            </w:r>
            <w:r>
              <w:rPr>
                <w:rFonts w:hint="eastAsia" w:ascii="Times New Roman" w:hAnsi="Times New Roman" w:eastAsia="宋体" w:cs="Times New Roman"/>
                <w:b/>
                <w:bCs/>
                <w:sz w:val="24"/>
              </w:rPr>
              <w:t>3</w:t>
            </w:r>
            <w:r>
              <w:rPr>
                <w:rFonts w:ascii="Times New Roman" w:hAnsi="Times New Roman" w:eastAsia="宋体" w:cs="Times New Roman"/>
                <w:b/>
                <w:bCs/>
                <w:sz w:val="24"/>
              </w:rPr>
              <w:t>项目主要生产设施（备）一览表</w:t>
            </w:r>
          </w:p>
          <w:tbl>
            <w:tblPr>
              <w:tblStyle w:val="29"/>
              <w:tblW w:w="42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665"/>
              <w:gridCol w:w="1905"/>
              <w:gridCol w:w="2475"/>
              <w:gridCol w:w="808"/>
              <w:gridCol w:w="716"/>
              <w:gridCol w:w="1434"/>
            </w:tblGrid>
            <w:tr w14:paraId="3FAA5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15" w:type="pct"/>
                  <w:noWrap w:val="0"/>
                  <w:vAlign w:val="center"/>
                </w:tcPr>
                <w:p w14:paraId="0CC33700">
                  <w:pPr>
                    <w:pStyle w:val="36"/>
                    <w:snapToGrid w:val="0"/>
                    <w:jc w:val="center"/>
                    <w:rPr>
                      <w:rFonts w:ascii="Times New Roman" w:hAnsi="Times New Roman"/>
                      <w:b/>
                      <w:bCs/>
                      <w:sz w:val="21"/>
                      <w:szCs w:val="21"/>
                    </w:rPr>
                  </w:pPr>
                  <w:r>
                    <w:rPr>
                      <w:rFonts w:ascii="Times New Roman" w:hAnsi="Times New Roman"/>
                      <w:b/>
                      <w:bCs/>
                      <w:sz w:val="21"/>
                      <w:szCs w:val="21"/>
                    </w:rPr>
                    <w:t>序号</w:t>
                  </w:r>
                </w:p>
              </w:tc>
              <w:tc>
                <w:tcPr>
                  <w:tcW w:w="1190" w:type="pct"/>
                  <w:noWrap w:val="0"/>
                  <w:vAlign w:val="center"/>
                </w:tcPr>
                <w:p w14:paraId="6C4CF062">
                  <w:pPr>
                    <w:pStyle w:val="36"/>
                    <w:snapToGrid w:val="0"/>
                    <w:jc w:val="center"/>
                    <w:rPr>
                      <w:rFonts w:ascii="Times New Roman" w:hAnsi="Times New Roman"/>
                      <w:b/>
                      <w:bCs/>
                      <w:sz w:val="21"/>
                      <w:szCs w:val="21"/>
                    </w:rPr>
                  </w:pPr>
                  <w:r>
                    <w:rPr>
                      <w:rFonts w:ascii="Times New Roman" w:hAnsi="Times New Roman"/>
                      <w:b/>
                      <w:bCs/>
                      <w:sz w:val="21"/>
                      <w:szCs w:val="21"/>
                    </w:rPr>
                    <w:t>设备名称</w:t>
                  </w:r>
                </w:p>
              </w:tc>
              <w:tc>
                <w:tcPr>
                  <w:tcW w:w="1546" w:type="pct"/>
                  <w:noWrap w:val="0"/>
                  <w:vAlign w:val="center"/>
                </w:tcPr>
                <w:p w14:paraId="09FF3C05">
                  <w:pPr>
                    <w:pStyle w:val="36"/>
                    <w:snapToGrid w:val="0"/>
                    <w:jc w:val="center"/>
                    <w:rPr>
                      <w:rFonts w:ascii="Times New Roman" w:hAnsi="Times New Roman"/>
                      <w:b/>
                      <w:bCs/>
                      <w:sz w:val="21"/>
                      <w:szCs w:val="21"/>
                    </w:rPr>
                  </w:pPr>
                  <w:r>
                    <w:rPr>
                      <w:rFonts w:ascii="Times New Roman" w:hAnsi="Times New Roman"/>
                      <w:b/>
                      <w:bCs/>
                      <w:sz w:val="21"/>
                      <w:szCs w:val="21"/>
                    </w:rPr>
                    <w:t>规格型号</w:t>
                  </w:r>
                </w:p>
              </w:tc>
              <w:tc>
                <w:tcPr>
                  <w:tcW w:w="504" w:type="pct"/>
                  <w:noWrap w:val="0"/>
                  <w:vAlign w:val="center"/>
                </w:tcPr>
                <w:p w14:paraId="402AD6E5">
                  <w:pPr>
                    <w:pStyle w:val="36"/>
                    <w:snapToGrid w:val="0"/>
                    <w:jc w:val="center"/>
                    <w:rPr>
                      <w:rFonts w:ascii="Times New Roman" w:hAnsi="Times New Roman"/>
                      <w:b/>
                      <w:bCs/>
                      <w:sz w:val="21"/>
                      <w:szCs w:val="21"/>
                    </w:rPr>
                  </w:pPr>
                  <w:r>
                    <w:rPr>
                      <w:rFonts w:ascii="Times New Roman" w:hAnsi="Times New Roman"/>
                      <w:b/>
                      <w:bCs/>
                      <w:sz w:val="21"/>
                      <w:szCs w:val="21"/>
                      <w:highlight w:val="none"/>
                    </w:rPr>
                    <w:t>数量</w:t>
                  </w:r>
                </w:p>
              </w:tc>
              <w:tc>
                <w:tcPr>
                  <w:tcW w:w="447" w:type="pct"/>
                  <w:noWrap w:val="0"/>
                  <w:vAlign w:val="center"/>
                </w:tcPr>
                <w:p w14:paraId="1829183F">
                  <w:pPr>
                    <w:pStyle w:val="36"/>
                    <w:snapToGrid w:val="0"/>
                    <w:jc w:val="center"/>
                    <w:rPr>
                      <w:rFonts w:ascii="Times New Roman" w:hAnsi="Times New Roman"/>
                      <w:b/>
                      <w:bCs/>
                      <w:sz w:val="21"/>
                      <w:szCs w:val="21"/>
                    </w:rPr>
                  </w:pPr>
                  <w:r>
                    <w:rPr>
                      <w:rFonts w:hint="eastAsia" w:ascii="Times New Roman" w:hAnsi="Times New Roman"/>
                      <w:b/>
                      <w:bCs/>
                      <w:sz w:val="21"/>
                      <w:szCs w:val="21"/>
                    </w:rPr>
                    <w:t>功能</w:t>
                  </w:r>
                </w:p>
              </w:tc>
              <w:tc>
                <w:tcPr>
                  <w:tcW w:w="895" w:type="pct"/>
                  <w:noWrap w:val="0"/>
                  <w:vAlign w:val="center"/>
                </w:tcPr>
                <w:p w14:paraId="06072785">
                  <w:pPr>
                    <w:pStyle w:val="36"/>
                    <w:snapToGrid w:val="0"/>
                    <w:jc w:val="center"/>
                    <w:rPr>
                      <w:rFonts w:ascii="Times New Roman" w:hAnsi="Times New Roman"/>
                      <w:b/>
                      <w:bCs/>
                      <w:sz w:val="21"/>
                      <w:szCs w:val="21"/>
                    </w:rPr>
                  </w:pPr>
                  <w:r>
                    <w:rPr>
                      <w:rFonts w:ascii="Times New Roman" w:hAnsi="Times New Roman"/>
                      <w:b/>
                      <w:bCs/>
                      <w:sz w:val="21"/>
                      <w:szCs w:val="21"/>
                    </w:rPr>
                    <w:t>位置</w:t>
                  </w:r>
                </w:p>
              </w:tc>
            </w:tr>
            <w:tr w14:paraId="017A7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15" w:type="pct"/>
                  <w:noWrap w:val="0"/>
                  <w:vAlign w:val="center"/>
                </w:tcPr>
                <w:p w14:paraId="3644CE59">
                  <w:pPr>
                    <w:pStyle w:val="36"/>
                    <w:snapToGrid w:val="0"/>
                    <w:jc w:val="center"/>
                    <w:rPr>
                      <w:rFonts w:ascii="Times New Roman" w:hAnsi="Times New Roman"/>
                      <w:sz w:val="21"/>
                      <w:szCs w:val="21"/>
                    </w:rPr>
                  </w:pPr>
                  <w:r>
                    <w:rPr>
                      <w:rFonts w:ascii="Times New Roman" w:hAnsi="Times New Roman"/>
                      <w:sz w:val="21"/>
                      <w:szCs w:val="21"/>
                    </w:rPr>
                    <w:t>1</w:t>
                  </w:r>
                </w:p>
              </w:tc>
              <w:tc>
                <w:tcPr>
                  <w:tcW w:w="1190" w:type="pct"/>
                  <w:noWrap w:val="0"/>
                  <w:vAlign w:val="center"/>
                </w:tcPr>
                <w:p w14:paraId="1E6EFF11">
                  <w:pPr>
                    <w:pStyle w:val="36"/>
                    <w:snapToGrid w:val="0"/>
                    <w:jc w:val="center"/>
                    <w:rPr>
                      <w:rFonts w:ascii="Times New Roman" w:hAnsi="Times New Roman"/>
                      <w:sz w:val="21"/>
                      <w:szCs w:val="21"/>
                    </w:rPr>
                  </w:pPr>
                  <w:r>
                    <w:rPr>
                      <w:rFonts w:hint="eastAsia" w:ascii="Times New Roman" w:hAnsi="Times New Roman"/>
                      <w:sz w:val="21"/>
                      <w:szCs w:val="21"/>
                    </w:rPr>
                    <w:t>开卷机</w:t>
                  </w:r>
                </w:p>
              </w:tc>
              <w:tc>
                <w:tcPr>
                  <w:tcW w:w="1546" w:type="pct"/>
                  <w:noWrap w:val="0"/>
                  <w:vAlign w:val="center"/>
                </w:tcPr>
                <w:p w14:paraId="72F58FA4">
                  <w:pPr>
                    <w:pStyle w:val="36"/>
                    <w:snapToGrid w:val="0"/>
                    <w:jc w:val="center"/>
                    <w:rPr>
                      <w:rFonts w:ascii="Times New Roman" w:hAnsi="Times New Roman"/>
                      <w:sz w:val="21"/>
                      <w:szCs w:val="21"/>
                    </w:rPr>
                  </w:pPr>
                  <w:r>
                    <w:rPr>
                      <w:rFonts w:ascii="Times New Roman" w:hAnsi="Times New Roman"/>
                      <w:sz w:val="21"/>
                      <w:szCs w:val="21"/>
                    </w:rPr>
                    <w:t>JX</w:t>
                  </w:r>
                  <w:r>
                    <w:rPr>
                      <w:rFonts w:hint="eastAsia" w:ascii="Times New Roman" w:hAnsi="Times New Roman"/>
                      <w:sz w:val="21"/>
                      <w:szCs w:val="21"/>
                    </w:rPr>
                    <w:t>-</w:t>
                  </w:r>
                  <w:r>
                    <w:rPr>
                      <w:rFonts w:ascii="Times New Roman" w:hAnsi="Times New Roman"/>
                      <w:sz w:val="21"/>
                      <w:szCs w:val="21"/>
                    </w:rPr>
                    <w:t>TMJ</w:t>
                  </w:r>
                  <w:r>
                    <w:rPr>
                      <w:rFonts w:hint="eastAsia" w:ascii="Times New Roman" w:hAnsi="Times New Roman"/>
                      <w:sz w:val="21"/>
                      <w:szCs w:val="21"/>
                    </w:rPr>
                    <w:t>-</w:t>
                  </w:r>
                  <w:r>
                    <w:rPr>
                      <w:rFonts w:ascii="Times New Roman" w:hAnsi="Times New Roman"/>
                      <w:sz w:val="21"/>
                      <w:szCs w:val="21"/>
                    </w:rPr>
                    <w:t>1</w:t>
                  </w:r>
                </w:p>
              </w:tc>
              <w:tc>
                <w:tcPr>
                  <w:tcW w:w="504" w:type="pct"/>
                  <w:noWrap w:val="0"/>
                  <w:vAlign w:val="center"/>
                </w:tcPr>
                <w:p w14:paraId="7890495C">
                  <w:pPr>
                    <w:pStyle w:val="36"/>
                    <w:snapToGrid w:val="0"/>
                    <w:jc w:val="center"/>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1台</w:t>
                  </w:r>
                </w:p>
              </w:tc>
              <w:tc>
                <w:tcPr>
                  <w:tcW w:w="447" w:type="pct"/>
                  <w:vMerge w:val="restart"/>
                  <w:noWrap w:val="0"/>
                  <w:vAlign w:val="center"/>
                </w:tcPr>
                <w:p w14:paraId="10F27641">
                  <w:pPr>
                    <w:pStyle w:val="36"/>
                    <w:snapToGrid w:val="0"/>
                    <w:jc w:val="center"/>
                    <w:rPr>
                      <w:rFonts w:ascii="Times New Roman" w:hAnsi="Times New Roman"/>
                      <w:sz w:val="21"/>
                      <w:szCs w:val="21"/>
                    </w:rPr>
                  </w:pPr>
                  <w:r>
                    <w:rPr>
                      <w:rFonts w:hint="eastAsia" w:ascii="Times New Roman" w:hAnsi="Times New Roman"/>
                      <w:sz w:val="21"/>
                      <w:szCs w:val="21"/>
                    </w:rPr>
                    <w:t>钢板开卷</w:t>
                  </w:r>
                </w:p>
              </w:tc>
              <w:tc>
                <w:tcPr>
                  <w:tcW w:w="895" w:type="pct"/>
                  <w:noWrap w:val="0"/>
                  <w:vAlign w:val="center"/>
                </w:tcPr>
                <w:p w14:paraId="55CEAE7F">
                  <w:pPr>
                    <w:pStyle w:val="36"/>
                    <w:snapToGrid w:val="0"/>
                    <w:jc w:val="center"/>
                    <w:rPr>
                      <w:rFonts w:ascii="Times New Roman" w:hAnsi="Times New Roman"/>
                      <w:sz w:val="21"/>
                      <w:szCs w:val="21"/>
                    </w:rPr>
                  </w:pPr>
                  <w:r>
                    <w:rPr>
                      <w:rFonts w:ascii="Times New Roman" w:hAnsi="Times New Roman"/>
                      <w:sz w:val="21"/>
                      <w:szCs w:val="21"/>
                    </w:rPr>
                    <w:t>钢板加工区</w:t>
                  </w:r>
                </w:p>
              </w:tc>
            </w:tr>
            <w:tr w14:paraId="1BE5C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15" w:type="pct"/>
                  <w:noWrap w:val="0"/>
                  <w:vAlign w:val="center"/>
                </w:tcPr>
                <w:p w14:paraId="1028F644">
                  <w:pPr>
                    <w:pStyle w:val="36"/>
                    <w:snapToGrid w:val="0"/>
                    <w:jc w:val="center"/>
                    <w:rPr>
                      <w:rFonts w:ascii="Times New Roman" w:hAnsi="Times New Roman"/>
                      <w:sz w:val="21"/>
                      <w:szCs w:val="21"/>
                    </w:rPr>
                  </w:pPr>
                  <w:r>
                    <w:rPr>
                      <w:rFonts w:ascii="Times New Roman" w:hAnsi="Times New Roman"/>
                      <w:sz w:val="21"/>
                      <w:szCs w:val="21"/>
                    </w:rPr>
                    <w:t>2</w:t>
                  </w:r>
                </w:p>
              </w:tc>
              <w:tc>
                <w:tcPr>
                  <w:tcW w:w="1190" w:type="pct"/>
                  <w:noWrap w:val="0"/>
                  <w:vAlign w:val="center"/>
                </w:tcPr>
                <w:p w14:paraId="5FBA35B7">
                  <w:pPr>
                    <w:pStyle w:val="36"/>
                    <w:snapToGrid w:val="0"/>
                    <w:jc w:val="center"/>
                    <w:rPr>
                      <w:rFonts w:ascii="Times New Roman" w:hAnsi="Times New Roman"/>
                      <w:sz w:val="21"/>
                      <w:szCs w:val="21"/>
                    </w:rPr>
                  </w:pPr>
                  <w:r>
                    <w:rPr>
                      <w:rFonts w:hint="eastAsia" w:ascii="Times New Roman" w:hAnsi="Times New Roman"/>
                      <w:sz w:val="21"/>
                      <w:szCs w:val="21"/>
                    </w:rPr>
                    <w:t>开平机</w:t>
                  </w:r>
                </w:p>
              </w:tc>
              <w:tc>
                <w:tcPr>
                  <w:tcW w:w="1546" w:type="pct"/>
                  <w:noWrap w:val="0"/>
                  <w:vAlign w:val="center"/>
                </w:tcPr>
                <w:p w14:paraId="290A98BD">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w:t>
                  </w:r>
                </w:p>
              </w:tc>
              <w:tc>
                <w:tcPr>
                  <w:tcW w:w="504" w:type="pct"/>
                  <w:noWrap w:val="0"/>
                  <w:vAlign w:val="center"/>
                </w:tcPr>
                <w:p w14:paraId="68C2D0D5">
                  <w:pPr>
                    <w:pStyle w:val="36"/>
                    <w:snapToGrid w:val="0"/>
                    <w:jc w:val="center"/>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1台</w:t>
                  </w:r>
                </w:p>
              </w:tc>
              <w:tc>
                <w:tcPr>
                  <w:tcW w:w="447" w:type="pct"/>
                  <w:vMerge w:val="continue"/>
                  <w:noWrap w:val="0"/>
                  <w:vAlign w:val="center"/>
                </w:tcPr>
                <w:p w14:paraId="1CCED18E">
                  <w:pPr>
                    <w:pStyle w:val="36"/>
                    <w:snapToGrid w:val="0"/>
                    <w:jc w:val="center"/>
                    <w:rPr>
                      <w:rFonts w:ascii="Times New Roman" w:hAnsi="Times New Roman"/>
                      <w:sz w:val="21"/>
                      <w:szCs w:val="21"/>
                    </w:rPr>
                  </w:pPr>
                </w:p>
              </w:tc>
              <w:tc>
                <w:tcPr>
                  <w:tcW w:w="895" w:type="pct"/>
                  <w:noWrap w:val="0"/>
                  <w:vAlign w:val="center"/>
                </w:tcPr>
                <w:p w14:paraId="77D3E0C1">
                  <w:pPr>
                    <w:pStyle w:val="36"/>
                    <w:snapToGrid w:val="0"/>
                    <w:jc w:val="center"/>
                    <w:rPr>
                      <w:rFonts w:ascii="Times New Roman" w:hAnsi="Times New Roman"/>
                      <w:sz w:val="21"/>
                      <w:szCs w:val="21"/>
                    </w:rPr>
                  </w:pPr>
                  <w:r>
                    <w:rPr>
                      <w:rFonts w:ascii="Times New Roman" w:hAnsi="Times New Roman"/>
                      <w:sz w:val="21"/>
                      <w:szCs w:val="21"/>
                    </w:rPr>
                    <w:t>钢板加工区</w:t>
                  </w:r>
                </w:p>
              </w:tc>
            </w:tr>
            <w:tr w14:paraId="31EC9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15" w:type="pct"/>
                  <w:noWrap w:val="0"/>
                  <w:vAlign w:val="center"/>
                </w:tcPr>
                <w:p w14:paraId="6A63EB95">
                  <w:pPr>
                    <w:pStyle w:val="36"/>
                    <w:snapToGrid w:val="0"/>
                    <w:jc w:val="center"/>
                    <w:rPr>
                      <w:rFonts w:ascii="Times New Roman" w:hAnsi="Times New Roman"/>
                      <w:sz w:val="21"/>
                      <w:szCs w:val="21"/>
                    </w:rPr>
                  </w:pPr>
                  <w:r>
                    <w:rPr>
                      <w:rFonts w:ascii="Times New Roman" w:hAnsi="Times New Roman"/>
                      <w:sz w:val="21"/>
                      <w:szCs w:val="21"/>
                    </w:rPr>
                    <w:t>3</w:t>
                  </w:r>
                </w:p>
              </w:tc>
              <w:tc>
                <w:tcPr>
                  <w:tcW w:w="1190" w:type="pct"/>
                  <w:noWrap w:val="0"/>
                  <w:vAlign w:val="center"/>
                </w:tcPr>
                <w:p w14:paraId="709A4CDB">
                  <w:pPr>
                    <w:pStyle w:val="36"/>
                    <w:snapToGrid w:val="0"/>
                    <w:jc w:val="center"/>
                    <w:rPr>
                      <w:rFonts w:ascii="Times New Roman" w:hAnsi="Times New Roman"/>
                      <w:sz w:val="21"/>
                      <w:szCs w:val="21"/>
                    </w:rPr>
                  </w:pPr>
                  <w:r>
                    <w:rPr>
                      <w:rFonts w:hint="eastAsia" w:ascii="Times New Roman" w:hAnsi="Times New Roman"/>
                      <w:sz w:val="21"/>
                      <w:szCs w:val="21"/>
                    </w:rPr>
                    <w:t>螺杆空气压缩机</w:t>
                  </w:r>
                </w:p>
              </w:tc>
              <w:tc>
                <w:tcPr>
                  <w:tcW w:w="1546" w:type="pct"/>
                  <w:noWrap w:val="0"/>
                  <w:vAlign w:val="center"/>
                </w:tcPr>
                <w:p w14:paraId="0010DED1">
                  <w:pPr>
                    <w:pStyle w:val="36"/>
                    <w:snapToGrid w:val="0"/>
                    <w:jc w:val="center"/>
                    <w:rPr>
                      <w:rFonts w:ascii="Times New Roman" w:hAnsi="Times New Roman"/>
                      <w:sz w:val="21"/>
                      <w:szCs w:val="21"/>
                    </w:rPr>
                  </w:pPr>
                  <w:r>
                    <w:rPr>
                      <w:rFonts w:hint="eastAsia" w:ascii="Times New Roman" w:hAnsi="Times New Roman"/>
                      <w:sz w:val="21"/>
                      <w:szCs w:val="21"/>
                    </w:rPr>
                    <w:t>FLD-20A</w:t>
                  </w:r>
                </w:p>
              </w:tc>
              <w:tc>
                <w:tcPr>
                  <w:tcW w:w="504" w:type="pct"/>
                  <w:noWrap w:val="0"/>
                  <w:vAlign w:val="center"/>
                </w:tcPr>
                <w:p w14:paraId="05FC79AD">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1台</w:t>
                  </w:r>
                </w:p>
              </w:tc>
              <w:tc>
                <w:tcPr>
                  <w:tcW w:w="447" w:type="pct"/>
                  <w:vMerge w:val="restart"/>
                  <w:noWrap w:val="0"/>
                  <w:vAlign w:val="center"/>
                </w:tcPr>
                <w:p w14:paraId="3934892E">
                  <w:pPr>
                    <w:pStyle w:val="36"/>
                    <w:snapToGrid w:val="0"/>
                    <w:jc w:val="center"/>
                    <w:rPr>
                      <w:rFonts w:ascii="Times New Roman" w:hAnsi="Times New Roman"/>
                      <w:sz w:val="21"/>
                      <w:szCs w:val="21"/>
                    </w:rPr>
                  </w:pPr>
                  <w:r>
                    <w:rPr>
                      <w:rFonts w:hint="eastAsia" w:ascii="Times New Roman" w:hAnsi="Times New Roman"/>
                      <w:sz w:val="21"/>
                      <w:szCs w:val="21"/>
                    </w:rPr>
                    <w:t>钢板成型</w:t>
                  </w:r>
                </w:p>
              </w:tc>
              <w:tc>
                <w:tcPr>
                  <w:tcW w:w="895" w:type="pct"/>
                  <w:noWrap w:val="0"/>
                  <w:vAlign w:val="center"/>
                </w:tcPr>
                <w:p w14:paraId="72E1AE36">
                  <w:pPr>
                    <w:pStyle w:val="36"/>
                    <w:snapToGrid w:val="0"/>
                    <w:jc w:val="center"/>
                    <w:rPr>
                      <w:rFonts w:ascii="Times New Roman" w:hAnsi="Times New Roman"/>
                      <w:sz w:val="21"/>
                      <w:szCs w:val="21"/>
                    </w:rPr>
                  </w:pPr>
                  <w:r>
                    <w:rPr>
                      <w:rFonts w:hint="eastAsia" w:ascii="Times New Roman" w:hAnsi="Times New Roman"/>
                      <w:sz w:val="21"/>
                      <w:szCs w:val="21"/>
                    </w:rPr>
                    <w:t>模具成型区</w:t>
                  </w:r>
                </w:p>
              </w:tc>
            </w:tr>
            <w:tr w14:paraId="181DD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15" w:type="pct"/>
                  <w:noWrap w:val="0"/>
                  <w:vAlign w:val="center"/>
                </w:tcPr>
                <w:p w14:paraId="3520F39E">
                  <w:pPr>
                    <w:pStyle w:val="36"/>
                    <w:snapToGrid w:val="0"/>
                    <w:jc w:val="center"/>
                    <w:rPr>
                      <w:rFonts w:ascii="Times New Roman" w:hAnsi="Times New Roman"/>
                      <w:sz w:val="21"/>
                      <w:szCs w:val="21"/>
                    </w:rPr>
                  </w:pPr>
                  <w:r>
                    <w:rPr>
                      <w:rFonts w:hint="eastAsia" w:ascii="Times New Roman" w:hAnsi="Times New Roman"/>
                      <w:sz w:val="21"/>
                      <w:szCs w:val="21"/>
                    </w:rPr>
                    <w:t>4</w:t>
                  </w:r>
                </w:p>
              </w:tc>
              <w:tc>
                <w:tcPr>
                  <w:tcW w:w="1190" w:type="pct"/>
                  <w:noWrap w:val="0"/>
                  <w:vAlign w:val="center"/>
                </w:tcPr>
                <w:p w14:paraId="25BC1CE6">
                  <w:pPr>
                    <w:pStyle w:val="36"/>
                    <w:snapToGrid w:val="0"/>
                    <w:jc w:val="center"/>
                    <w:rPr>
                      <w:rFonts w:ascii="Times New Roman" w:hAnsi="Times New Roman"/>
                      <w:sz w:val="21"/>
                      <w:szCs w:val="21"/>
                    </w:rPr>
                  </w:pPr>
                  <w:r>
                    <w:rPr>
                      <w:rFonts w:hint="eastAsia" w:ascii="Times New Roman" w:hAnsi="Times New Roman"/>
                      <w:sz w:val="21"/>
                      <w:szCs w:val="21"/>
                    </w:rPr>
                    <w:t>半自动面板成型机</w:t>
                  </w:r>
                </w:p>
              </w:tc>
              <w:tc>
                <w:tcPr>
                  <w:tcW w:w="1546" w:type="pct"/>
                  <w:noWrap w:val="0"/>
                  <w:vAlign w:val="center"/>
                </w:tcPr>
                <w:p w14:paraId="7F443FF3">
                  <w:pPr>
                    <w:pStyle w:val="36"/>
                    <w:snapToGrid w:val="0"/>
                    <w:jc w:val="center"/>
                    <w:rPr>
                      <w:rFonts w:ascii="Times New Roman" w:hAnsi="Times New Roman"/>
                      <w:sz w:val="21"/>
                      <w:szCs w:val="21"/>
                    </w:rPr>
                  </w:pPr>
                  <w:r>
                    <w:rPr>
                      <w:rFonts w:hint="eastAsia" w:ascii="Times New Roman" w:hAnsi="Times New Roman"/>
                      <w:sz w:val="21"/>
                      <w:szCs w:val="21"/>
                    </w:rPr>
                    <w:t>XD-QYBY-08(1200*350)</w:t>
                  </w:r>
                </w:p>
              </w:tc>
              <w:tc>
                <w:tcPr>
                  <w:tcW w:w="504" w:type="pct"/>
                  <w:noWrap w:val="0"/>
                  <w:vAlign w:val="center"/>
                </w:tcPr>
                <w:p w14:paraId="7D9F49C3">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1台</w:t>
                  </w:r>
                </w:p>
              </w:tc>
              <w:tc>
                <w:tcPr>
                  <w:tcW w:w="447" w:type="pct"/>
                  <w:vMerge w:val="continue"/>
                  <w:noWrap w:val="0"/>
                  <w:vAlign w:val="center"/>
                </w:tcPr>
                <w:p w14:paraId="33E0C0B0">
                  <w:pPr>
                    <w:pStyle w:val="36"/>
                    <w:snapToGrid w:val="0"/>
                    <w:jc w:val="center"/>
                    <w:rPr>
                      <w:rFonts w:ascii="Times New Roman" w:hAnsi="Times New Roman"/>
                      <w:sz w:val="21"/>
                      <w:szCs w:val="21"/>
                    </w:rPr>
                  </w:pPr>
                </w:p>
              </w:tc>
              <w:tc>
                <w:tcPr>
                  <w:tcW w:w="895" w:type="pct"/>
                  <w:noWrap w:val="0"/>
                  <w:vAlign w:val="center"/>
                </w:tcPr>
                <w:p w14:paraId="55F70AC5">
                  <w:pPr>
                    <w:pStyle w:val="36"/>
                    <w:snapToGrid w:val="0"/>
                    <w:jc w:val="center"/>
                    <w:rPr>
                      <w:rFonts w:ascii="Times New Roman" w:hAnsi="Times New Roman"/>
                      <w:sz w:val="21"/>
                      <w:szCs w:val="21"/>
                    </w:rPr>
                  </w:pPr>
                  <w:r>
                    <w:rPr>
                      <w:rFonts w:hint="eastAsia" w:ascii="Times New Roman" w:hAnsi="Times New Roman"/>
                      <w:sz w:val="21"/>
                      <w:szCs w:val="21"/>
                    </w:rPr>
                    <w:t>模具成型区</w:t>
                  </w:r>
                </w:p>
              </w:tc>
            </w:tr>
            <w:tr w14:paraId="6CD52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15" w:type="pct"/>
                  <w:noWrap w:val="0"/>
                  <w:vAlign w:val="center"/>
                </w:tcPr>
                <w:p w14:paraId="3352F4B3">
                  <w:pPr>
                    <w:pStyle w:val="36"/>
                    <w:snapToGrid w:val="0"/>
                    <w:jc w:val="center"/>
                    <w:rPr>
                      <w:rFonts w:ascii="Times New Roman" w:hAnsi="Times New Roman"/>
                      <w:sz w:val="21"/>
                      <w:szCs w:val="21"/>
                    </w:rPr>
                  </w:pPr>
                  <w:r>
                    <w:rPr>
                      <w:rFonts w:hint="eastAsia" w:ascii="Times New Roman" w:hAnsi="Times New Roman"/>
                      <w:sz w:val="21"/>
                      <w:szCs w:val="21"/>
                    </w:rPr>
                    <w:t>5</w:t>
                  </w:r>
                </w:p>
              </w:tc>
              <w:tc>
                <w:tcPr>
                  <w:tcW w:w="1190" w:type="pct"/>
                  <w:noWrap w:val="0"/>
                  <w:vAlign w:val="center"/>
                </w:tcPr>
                <w:p w14:paraId="3C15B943">
                  <w:pPr>
                    <w:pStyle w:val="36"/>
                    <w:snapToGrid w:val="0"/>
                    <w:jc w:val="center"/>
                    <w:rPr>
                      <w:rFonts w:ascii="Times New Roman" w:hAnsi="Times New Roman"/>
                      <w:sz w:val="21"/>
                      <w:szCs w:val="21"/>
                    </w:rPr>
                  </w:pPr>
                  <w:r>
                    <w:rPr>
                      <w:rFonts w:hint="eastAsia" w:ascii="Times New Roman" w:hAnsi="Times New Roman"/>
                      <w:sz w:val="21"/>
                      <w:szCs w:val="21"/>
                    </w:rPr>
                    <w:t>折边机</w:t>
                  </w:r>
                </w:p>
              </w:tc>
              <w:tc>
                <w:tcPr>
                  <w:tcW w:w="1546" w:type="pct"/>
                  <w:noWrap w:val="0"/>
                  <w:vAlign w:val="center"/>
                </w:tcPr>
                <w:p w14:paraId="42BEC923">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w:t>
                  </w:r>
                </w:p>
              </w:tc>
              <w:tc>
                <w:tcPr>
                  <w:tcW w:w="504" w:type="pct"/>
                  <w:noWrap w:val="0"/>
                  <w:vAlign w:val="center"/>
                </w:tcPr>
                <w:p w14:paraId="2C868CF4">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1台</w:t>
                  </w:r>
                </w:p>
              </w:tc>
              <w:tc>
                <w:tcPr>
                  <w:tcW w:w="447" w:type="pct"/>
                  <w:vMerge w:val="continue"/>
                  <w:noWrap w:val="0"/>
                  <w:vAlign w:val="center"/>
                </w:tcPr>
                <w:p w14:paraId="1A52DB06">
                  <w:pPr>
                    <w:pStyle w:val="36"/>
                    <w:snapToGrid w:val="0"/>
                    <w:jc w:val="center"/>
                    <w:rPr>
                      <w:rFonts w:ascii="Times New Roman" w:hAnsi="Times New Roman"/>
                      <w:sz w:val="21"/>
                      <w:szCs w:val="21"/>
                    </w:rPr>
                  </w:pPr>
                </w:p>
              </w:tc>
              <w:tc>
                <w:tcPr>
                  <w:tcW w:w="895" w:type="pct"/>
                  <w:noWrap w:val="0"/>
                  <w:vAlign w:val="center"/>
                </w:tcPr>
                <w:p w14:paraId="163425C5">
                  <w:pPr>
                    <w:pStyle w:val="36"/>
                    <w:snapToGrid w:val="0"/>
                    <w:jc w:val="center"/>
                    <w:rPr>
                      <w:rFonts w:ascii="Times New Roman" w:hAnsi="Times New Roman"/>
                      <w:sz w:val="21"/>
                      <w:szCs w:val="21"/>
                    </w:rPr>
                  </w:pPr>
                  <w:r>
                    <w:rPr>
                      <w:rFonts w:hint="eastAsia" w:ascii="Times New Roman" w:hAnsi="Times New Roman"/>
                      <w:sz w:val="21"/>
                      <w:szCs w:val="21"/>
                    </w:rPr>
                    <w:t>模具成型区</w:t>
                  </w:r>
                </w:p>
              </w:tc>
            </w:tr>
            <w:tr w14:paraId="3FB5A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15" w:type="pct"/>
                  <w:noWrap w:val="0"/>
                  <w:vAlign w:val="center"/>
                </w:tcPr>
                <w:p w14:paraId="6BC33556">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6</w:t>
                  </w:r>
                </w:p>
              </w:tc>
              <w:tc>
                <w:tcPr>
                  <w:tcW w:w="1190" w:type="pct"/>
                  <w:noWrap w:val="0"/>
                  <w:vAlign w:val="center"/>
                </w:tcPr>
                <w:p w14:paraId="0A0D4312">
                  <w:pPr>
                    <w:pStyle w:val="36"/>
                    <w:snapToGrid w:val="0"/>
                    <w:jc w:val="center"/>
                    <w:rPr>
                      <w:rFonts w:ascii="Times New Roman" w:hAnsi="Times New Roman"/>
                      <w:sz w:val="21"/>
                      <w:szCs w:val="21"/>
                    </w:rPr>
                  </w:pPr>
                  <w:r>
                    <w:rPr>
                      <w:rFonts w:hint="eastAsia" w:ascii="Times New Roman" w:hAnsi="Times New Roman"/>
                      <w:sz w:val="21"/>
                      <w:szCs w:val="21"/>
                    </w:rPr>
                    <w:t>折弯机</w:t>
                  </w:r>
                </w:p>
              </w:tc>
              <w:tc>
                <w:tcPr>
                  <w:tcW w:w="1546" w:type="pct"/>
                  <w:noWrap w:val="0"/>
                  <w:vAlign w:val="center"/>
                </w:tcPr>
                <w:p w14:paraId="196F5F4D">
                  <w:pPr>
                    <w:pStyle w:val="36"/>
                    <w:snapToGrid w:val="0"/>
                    <w:jc w:val="center"/>
                    <w:rPr>
                      <w:rFonts w:ascii="Times New Roman" w:hAnsi="Times New Roman"/>
                      <w:sz w:val="21"/>
                      <w:szCs w:val="21"/>
                    </w:rPr>
                  </w:pPr>
                  <w:r>
                    <w:rPr>
                      <w:rFonts w:hint="eastAsia" w:ascii="Times New Roman" w:hAnsi="Times New Roman"/>
                      <w:sz w:val="21"/>
                      <w:szCs w:val="21"/>
                    </w:rPr>
                    <w:t>WD67Y-63T/4000</w:t>
                  </w:r>
                </w:p>
              </w:tc>
              <w:tc>
                <w:tcPr>
                  <w:tcW w:w="504" w:type="pct"/>
                  <w:noWrap w:val="0"/>
                  <w:vAlign w:val="center"/>
                </w:tcPr>
                <w:p w14:paraId="2DF64C62">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1台</w:t>
                  </w:r>
                </w:p>
              </w:tc>
              <w:tc>
                <w:tcPr>
                  <w:tcW w:w="447" w:type="pct"/>
                  <w:vMerge w:val="continue"/>
                  <w:noWrap w:val="0"/>
                  <w:vAlign w:val="center"/>
                </w:tcPr>
                <w:p w14:paraId="00C983F3">
                  <w:pPr>
                    <w:pStyle w:val="36"/>
                    <w:snapToGrid w:val="0"/>
                    <w:jc w:val="center"/>
                    <w:rPr>
                      <w:rFonts w:ascii="Times New Roman" w:hAnsi="Times New Roman"/>
                      <w:sz w:val="21"/>
                      <w:szCs w:val="21"/>
                    </w:rPr>
                  </w:pPr>
                </w:p>
              </w:tc>
              <w:tc>
                <w:tcPr>
                  <w:tcW w:w="895" w:type="pct"/>
                  <w:noWrap w:val="0"/>
                  <w:vAlign w:val="center"/>
                </w:tcPr>
                <w:p w14:paraId="3785294B">
                  <w:pPr>
                    <w:pStyle w:val="36"/>
                    <w:snapToGrid w:val="0"/>
                    <w:jc w:val="center"/>
                    <w:rPr>
                      <w:rFonts w:ascii="Times New Roman" w:hAnsi="Times New Roman"/>
                      <w:sz w:val="21"/>
                      <w:szCs w:val="21"/>
                    </w:rPr>
                  </w:pPr>
                  <w:r>
                    <w:rPr>
                      <w:rFonts w:hint="eastAsia" w:ascii="Times New Roman" w:hAnsi="Times New Roman"/>
                      <w:sz w:val="21"/>
                      <w:szCs w:val="21"/>
                    </w:rPr>
                    <w:t>模具成型区</w:t>
                  </w:r>
                </w:p>
              </w:tc>
            </w:tr>
            <w:tr w14:paraId="6E2F3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415" w:type="pct"/>
                  <w:noWrap w:val="0"/>
                  <w:vAlign w:val="center"/>
                </w:tcPr>
                <w:p w14:paraId="79C8C836">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7</w:t>
                  </w:r>
                </w:p>
              </w:tc>
              <w:tc>
                <w:tcPr>
                  <w:tcW w:w="1190" w:type="pct"/>
                  <w:noWrap w:val="0"/>
                  <w:vAlign w:val="center"/>
                </w:tcPr>
                <w:p w14:paraId="1287F02C">
                  <w:pPr>
                    <w:pStyle w:val="36"/>
                    <w:snapToGrid w:val="0"/>
                    <w:jc w:val="center"/>
                    <w:rPr>
                      <w:rFonts w:ascii="Times New Roman" w:hAnsi="Times New Roman"/>
                      <w:sz w:val="21"/>
                      <w:szCs w:val="21"/>
                    </w:rPr>
                  </w:pPr>
                  <w:r>
                    <w:rPr>
                      <w:rFonts w:hint="eastAsia" w:ascii="Times New Roman" w:hAnsi="Times New Roman"/>
                      <w:sz w:val="21"/>
                      <w:szCs w:val="21"/>
                    </w:rPr>
                    <w:t>摆式剪板机</w:t>
                  </w:r>
                </w:p>
              </w:tc>
              <w:tc>
                <w:tcPr>
                  <w:tcW w:w="1546" w:type="pct"/>
                  <w:noWrap w:val="0"/>
                  <w:vAlign w:val="center"/>
                </w:tcPr>
                <w:p w14:paraId="2FEFA575">
                  <w:pPr>
                    <w:pStyle w:val="36"/>
                    <w:snapToGrid w:val="0"/>
                    <w:jc w:val="center"/>
                    <w:rPr>
                      <w:rFonts w:ascii="Times New Roman" w:hAnsi="Times New Roman"/>
                      <w:sz w:val="21"/>
                      <w:szCs w:val="21"/>
                    </w:rPr>
                  </w:pPr>
                  <w:r>
                    <w:rPr>
                      <w:rFonts w:hint="eastAsia" w:ascii="Times New Roman" w:hAnsi="Times New Roman"/>
                      <w:sz w:val="21"/>
                      <w:szCs w:val="21"/>
                    </w:rPr>
                    <w:t>QC12Y-4X4000</w:t>
                  </w:r>
                </w:p>
              </w:tc>
              <w:tc>
                <w:tcPr>
                  <w:tcW w:w="504" w:type="pct"/>
                  <w:noWrap w:val="0"/>
                  <w:vAlign w:val="center"/>
                </w:tcPr>
                <w:p w14:paraId="45C3E124">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1台</w:t>
                  </w:r>
                </w:p>
              </w:tc>
              <w:tc>
                <w:tcPr>
                  <w:tcW w:w="447" w:type="pct"/>
                  <w:vMerge w:val="continue"/>
                  <w:noWrap w:val="0"/>
                  <w:vAlign w:val="center"/>
                </w:tcPr>
                <w:p w14:paraId="0B1922FC">
                  <w:pPr>
                    <w:pStyle w:val="36"/>
                    <w:snapToGrid w:val="0"/>
                    <w:jc w:val="center"/>
                    <w:rPr>
                      <w:rFonts w:ascii="Times New Roman" w:hAnsi="Times New Roman"/>
                      <w:sz w:val="21"/>
                      <w:szCs w:val="21"/>
                    </w:rPr>
                  </w:pPr>
                </w:p>
              </w:tc>
              <w:tc>
                <w:tcPr>
                  <w:tcW w:w="895" w:type="pct"/>
                  <w:noWrap w:val="0"/>
                  <w:vAlign w:val="center"/>
                </w:tcPr>
                <w:p w14:paraId="0E9CB011">
                  <w:pPr>
                    <w:pStyle w:val="36"/>
                    <w:snapToGrid w:val="0"/>
                    <w:jc w:val="center"/>
                    <w:rPr>
                      <w:rFonts w:ascii="Times New Roman" w:hAnsi="Times New Roman"/>
                      <w:sz w:val="21"/>
                      <w:szCs w:val="21"/>
                    </w:rPr>
                  </w:pPr>
                  <w:r>
                    <w:rPr>
                      <w:rFonts w:hint="eastAsia" w:ascii="Times New Roman" w:hAnsi="Times New Roman"/>
                      <w:sz w:val="21"/>
                      <w:szCs w:val="21"/>
                    </w:rPr>
                    <w:t>模具成型区</w:t>
                  </w:r>
                </w:p>
              </w:tc>
            </w:tr>
            <w:tr w14:paraId="093BD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15" w:type="pct"/>
                  <w:noWrap w:val="0"/>
                  <w:vAlign w:val="center"/>
                </w:tcPr>
                <w:p w14:paraId="0A3D0760">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8</w:t>
                  </w:r>
                </w:p>
              </w:tc>
              <w:tc>
                <w:tcPr>
                  <w:tcW w:w="1190" w:type="pct"/>
                  <w:noWrap w:val="0"/>
                  <w:vAlign w:val="center"/>
                </w:tcPr>
                <w:p w14:paraId="13CA8E0B">
                  <w:pPr>
                    <w:pStyle w:val="36"/>
                    <w:snapToGrid w:val="0"/>
                    <w:jc w:val="center"/>
                  </w:pPr>
                  <w:r>
                    <w:rPr>
                      <w:rFonts w:hint="eastAsia" w:ascii="Times New Roman" w:hAnsi="Times New Roman"/>
                      <w:sz w:val="21"/>
                      <w:szCs w:val="21"/>
                    </w:rPr>
                    <w:t>高压发泡机（配有2个300kg储罐）</w:t>
                  </w:r>
                </w:p>
              </w:tc>
              <w:tc>
                <w:tcPr>
                  <w:tcW w:w="1546" w:type="pct"/>
                  <w:noWrap w:val="0"/>
                  <w:vAlign w:val="center"/>
                </w:tcPr>
                <w:p w14:paraId="4DB348EB">
                  <w:pPr>
                    <w:pStyle w:val="36"/>
                    <w:snapToGrid w:val="0"/>
                    <w:jc w:val="center"/>
                    <w:rPr>
                      <w:rFonts w:ascii="Times New Roman" w:hAnsi="Times New Roman"/>
                      <w:sz w:val="21"/>
                      <w:szCs w:val="21"/>
                    </w:rPr>
                  </w:pPr>
                  <w:r>
                    <w:rPr>
                      <w:rFonts w:hint="eastAsia" w:ascii="Times New Roman" w:hAnsi="Times New Roman"/>
                      <w:sz w:val="21"/>
                      <w:szCs w:val="21"/>
                    </w:rPr>
                    <w:t>TJXDG-300C</w:t>
                  </w:r>
                </w:p>
              </w:tc>
              <w:tc>
                <w:tcPr>
                  <w:tcW w:w="504" w:type="pct"/>
                  <w:noWrap w:val="0"/>
                  <w:vAlign w:val="center"/>
                </w:tcPr>
                <w:p w14:paraId="356DA71F">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1台</w:t>
                  </w:r>
                </w:p>
              </w:tc>
              <w:tc>
                <w:tcPr>
                  <w:tcW w:w="447" w:type="pct"/>
                  <w:vMerge w:val="restart"/>
                  <w:noWrap w:val="0"/>
                  <w:vAlign w:val="center"/>
                </w:tcPr>
                <w:p w14:paraId="2C6FF9E1">
                  <w:pPr>
                    <w:pStyle w:val="36"/>
                    <w:snapToGrid w:val="0"/>
                    <w:jc w:val="center"/>
                    <w:rPr>
                      <w:rFonts w:ascii="Times New Roman" w:hAnsi="Times New Roman"/>
                      <w:sz w:val="21"/>
                      <w:szCs w:val="21"/>
                    </w:rPr>
                  </w:pPr>
                  <w:r>
                    <w:rPr>
                      <w:rFonts w:hint="eastAsia" w:ascii="Times New Roman" w:hAnsi="Times New Roman"/>
                      <w:sz w:val="21"/>
                      <w:szCs w:val="21"/>
                    </w:rPr>
                    <w:t>发泡成型</w:t>
                  </w:r>
                </w:p>
              </w:tc>
              <w:tc>
                <w:tcPr>
                  <w:tcW w:w="895" w:type="pct"/>
                  <w:noWrap w:val="0"/>
                  <w:vAlign w:val="center"/>
                </w:tcPr>
                <w:p w14:paraId="22ADE42C">
                  <w:pPr>
                    <w:pStyle w:val="36"/>
                    <w:snapToGrid w:val="0"/>
                    <w:jc w:val="center"/>
                    <w:rPr>
                      <w:rFonts w:ascii="Times New Roman" w:hAnsi="Times New Roman"/>
                      <w:sz w:val="21"/>
                      <w:szCs w:val="21"/>
                    </w:rPr>
                  </w:pPr>
                  <w:r>
                    <w:rPr>
                      <w:rFonts w:hint="eastAsia" w:ascii="Times New Roman" w:hAnsi="Times New Roman"/>
                      <w:sz w:val="21"/>
                      <w:szCs w:val="21"/>
                    </w:rPr>
                    <w:t>发泡区</w:t>
                  </w:r>
                </w:p>
              </w:tc>
            </w:tr>
            <w:tr w14:paraId="4E2DC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15" w:type="pct"/>
                  <w:vMerge w:val="restart"/>
                  <w:noWrap w:val="0"/>
                  <w:vAlign w:val="center"/>
                </w:tcPr>
                <w:p w14:paraId="4CEFE18A">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9</w:t>
                  </w:r>
                </w:p>
              </w:tc>
              <w:tc>
                <w:tcPr>
                  <w:tcW w:w="1190" w:type="pct"/>
                  <w:vMerge w:val="restart"/>
                  <w:noWrap w:val="0"/>
                  <w:vAlign w:val="center"/>
                </w:tcPr>
                <w:p w14:paraId="2A59AA1F">
                  <w:pPr>
                    <w:pStyle w:val="36"/>
                    <w:snapToGrid w:val="0"/>
                    <w:jc w:val="center"/>
                    <w:rPr>
                      <w:rFonts w:ascii="Times New Roman" w:hAnsi="Times New Roman"/>
                      <w:sz w:val="21"/>
                      <w:szCs w:val="21"/>
                    </w:rPr>
                  </w:pPr>
                  <w:r>
                    <w:rPr>
                      <w:rFonts w:hint="eastAsia" w:ascii="Times New Roman" w:hAnsi="Times New Roman"/>
                      <w:sz w:val="21"/>
                      <w:szCs w:val="21"/>
                    </w:rPr>
                    <w:t>模具</w:t>
                  </w:r>
                </w:p>
              </w:tc>
              <w:tc>
                <w:tcPr>
                  <w:tcW w:w="1546" w:type="pct"/>
                  <w:noWrap w:val="0"/>
                  <w:vAlign w:val="center"/>
                </w:tcPr>
                <w:p w14:paraId="411E8BC3">
                  <w:pPr>
                    <w:pStyle w:val="36"/>
                    <w:snapToGrid w:val="0"/>
                    <w:jc w:val="center"/>
                    <w:rPr>
                      <w:rFonts w:ascii="Times New Roman" w:hAnsi="Times New Roman"/>
                      <w:sz w:val="21"/>
                      <w:szCs w:val="21"/>
                    </w:rPr>
                  </w:pPr>
                  <w:r>
                    <w:rPr>
                      <w:rFonts w:hint="eastAsia" w:ascii="Times New Roman" w:hAnsi="Times New Roman"/>
                      <w:sz w:val="21"/>
                      <w:szCs w:val="21"/>
                    </w:rPr>
                    <w:t>JX-MJ-8.5米</w:t>
                  </w:r>
                </w:p>
              </w:tc>
              <w:tc>
                <w:tcPr>
                  <w:tcW w:w="504" w:type="pct"/>
                  <w:noWrap w:val="0"/>
                  <w:vAlign w:val="center"/>
                </w:tcPr>
                <w:p w14:paraId="2FAA7301">
                  <w:pPr>
                    <w:pStyle w:val="36"/>
                    <w:snapToGrid w:val="0"/>
                    <w:jc w:val="center"/>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4套</w:t>
                  </w:r>
                </w:p>
              </w:tc>
              <w:tc>
                <w:tcPr>
                  <w:tcW w:w="447" w:type="pct"/>
                  <w:vMerge w:val="continue"/>
                  <w:noWrap w:val="0"/>
                  <w:vAlign w:val="center"/>
                </w:tcPr>
                <w:p w14:paraId="0C01B128">
                  <w:pPr>
                    <w:pStyle w:val="36"/>
                    <w:snapToGrid w:val="0"/>
                    <w:jc w:val="center"/>
                    <w:rPr>
                      <w:rFonts w:ascii="Times New Roman" w:hAnsi="Times New Roman"/>
                      <w:sz w:val="21"/>
                      <w:szCs w:val="21"/>
                    </w:rPr>
                  </w:pPr>
                </w:p>
              </w:tc>
              <w:tc>
                <w:tcPr>
                  <w:tcW w:w="895" w:type="pct"/>
                  <w:noWrap w:val="0"/>
                  <w:vAlign w:val="center"/>
                </w:tcPr>
                <w:p w14:paraId="23FEFE30">
                  <w:pPr>
                    <w:pStyle w:val="36"/>
                    <w:snapToGrid w:val="0"/>
                    <w:jc w:val="center"/>
                    <w:rPr>
                      <w:rFonts w:ascii="Times New Roman" w:hAnsi="Times New Roman"/>
                      <w:sz w:val="21"/>
                      <w:szCs w:val="21"/>
                    </w:rPr>
                  </w:pPr>
                  <w:r>
                    <w:rPr>
                      <w:rFonts w:hint="eastAsia" w:ascii="Times New Roman" w:hAnsi="Times New Roman"/>
                      <w:sz w:val="21"/>
                      <w:szCs w:val="21"/>
                    </w:rPr>
                    <w:t>发泡区</w:t>
                  </w:r>
                </w:p>
              </w:tc>
            </w:tr>
            <w:tr w14:paraId="0BAAB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415" w:type="pct"/>
                  <w:vMerge w:val="continue"/>
                  <w:noWrap w:val="0"/>
                  <w:vAlign w:val="center"/>
                </w:tcPr>
                <w:p w14:paraId="4767F4B5">
                  <w:pPr>
                    <w:pStyle w:val="36"/>
                    <w:snapToGrid w:val="0"/>
                    <w:jc w:val="center"/>
                    <w:rPr>
                      <w:rFonts w:ascii="Times New Roman" w:hAnsi="Times New Roman"/>
                      <w:sz w:val="21"/>
                      <w:szCs w:val="21"/>
                    </w:rPr>
                  </w:pPr>
                </w:p>
              </w:tc>
              <w:tc>
                <w:tcPr>
                  <w:tcW w:w="1190" w:type="pct"/>
                  <w:vMerge w:val="continue"/>
                  <w:noWrap w:val="0"/>
                  <w:vAlign w:val="center"/>
                </w:tcPr>
                <w:p w14:paraId="05F24E5D">
                  <w:pPr>
                    <w:pStyle w:val="36"/>
                    <w:snapToGrid w:val="0"/>
                    <w:jc w:val="center"/>
                    <w:rPr>
                      <w:rFonts w:ascii="Times New Roman" w:hAnsi="Times New Roman"/>
                      <w:sz w:val="21"/>
                      <w:szCs w:val="21"/>
                    </w:rPr>
                  </w:pPr>
                </w:p>
              </w:tc>
              <w:tc>
                <w:tcPr>
                  <w:tcW w:w="1546" w:type="pct"/>
                  <w:noWrap w:val="0"/>
                  <w:vAlign w:val="center"/>
                </w:tcPr>
                <w:p w14:paraId="3FA6AC65">
                  <w:pPr>
                    <w:pStyle w:val="36"/>
                    <w:snapToGrid w:val="0"/>
                    <w:jc w:val="center"/>
                    <w:rPr>
                      <w:rFonts w:ascii="Times New Roman" w:hAnsi="Times New Roman"/>
                      <w:sz w:val="21"/>
                      <w:szCs w:val="21"/>
                    </w:rPr>
                  </w:pPr>
                  <w:r>
                    <w:rPr>
                      <w:rFonts w:hint="eastAsia" w:ascii="Times New Roman" w:hAnsi="Times New Roman"/>
                      <w:sz w:val="21"/>
                      <w:szCs w:val="21"/>
                    </w:rPr>
                    <w:t>JX-MJ-12.5米</w:t>
                  </w:r>
                </w:p>
              </w:tc>
              <w:tc>
                <w:tcPr>
                  <w:tcW w:w="504" w:type="pct"/>
                  <w:noWrap w:val="0"/>
                  <w:vAlign w:val="center"/>
                </w:tcPr>
                <w:p w14:paraId="40FB09CA">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6套</w:t>
                  </w:r>
                </w:p>
              </w:tc>
              <w:tc>
                <w:tcPr>
                  <w:tcW w:w="447" w:type="pct"/>
                  <w:vMerge w:val="continue"/>
                  <w:noWrap w:val="0"/>
                  <w:vAlign w:val="center"/>
                </w:tcPr>
                <w:p w14:paraId="4BE93F2F">
                  <w:pPr>
                    <w:pStyle w:val="36"/>
                    <w:snapToGrid w:val="0"/>
                    <w:jc w:val="center"/>
                    <w:rPr>
                      <w:rFonts w:ascii="Times New Roman" w:hAnsi="Times New Roman"/>
                      <w:sz w:val="21"/>
                      <w:szCs w:val="21"/>
                    </w:rPr>
                  </w:pPr>
                </w:p>
              </w:tc>
              <w:tc>
                <w:tcPr>
                  <w:tcW w:w="895" w:type="pct"/>
                  <w:noWrap w:val="0"/>
                  <w:vAlign w:val="center"/>
                </w:tcPr>
                <w:p w14:paraId="34748AFA">
                  <w:pPr>
                    <w:pStyle w:val="36"/>
                    <w:snapToGrid w:val="0"/>
                    <w:jc w:val="center"/>
                    <w:rPr>
                      <w:rFonts w:ascii="Times New Roman" w:hAnsi="Times New Roman"/>
                      <w:sz w:val="21"/>
                      <w:szCs w:val="21"/>
                    </w:rPr>
                  </w:pPr>
                  <w:r>
                    <w:rPr>
                      <w:rFonts w:hint="eastAsia" w:ascii="Times New Roman" w:hAnsi="Times New Roman"/>
                      <w:sz w:val="21"/>
                      <w:szCs w:val="21"/>
                    </w:rPr>
                    <w:t>发泡区</w:t>
                  </w:r>
                </w:p>
              </w:tc>
            </w:tr>
            <w:tr w14:paraId="06621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15" w:type="pct"/>
                  <w:vMerge w:val="continue"/>
                  <w:noWrap w:val="0"/>
                  <w:vAlign w:val="center"/>
                </w:tcPr>
                <w:p w14:paraId="561AC15F">
                  <w:pPr>
                    <w:pStyle w:val="36"/>
                    <w:snapToGrid w:val="0"/>
                    <w:jc w:val="center"/>
                    <w:rPr>
                      <w:rFonts w:ascii="Times New Roman" w:hAnsi="Times New Roman"/>
                      <w:sz w:val="21"/>
                      <w:szCs w:val="21"/>
                    </w:rPr>
                  </w:pPr>
                </w:p>
              </w:tc>
              <w:tc>
                <w:tcPr>
                  <w:tcW w:w="1190" w:type="pct"/>
                  <w:vMerge w:val="continue"/>
                  <w:noWrap w:val="0"/>
                  <w:vAlign w:val="center"/>
                </w:tcPr>
                <w:p w14:paraId="7E091C1D">
                  <w:pPr>
                    <w:pStyle w:val="36"/>
                    <w:snapToGrid w:val="0"/>
                    <w:jc w:val="center"/>
                    <w:rPr>
                      <w:rFonts w:ascii="Times New Roman" w:hAnsi="Times New Roman"/>
                      <w:sz w:val="21"/>
                      <w:szCs w:val="21"/>
                    </w:rPr>
                  </w:pPr>
                </w:p>
              </w:tc>
              <w:tc>
                <w:tcPr>
                  <w:tcW w:w="1546" w:type="pct"/>
                  <w:noWrap w:val="0"/>
                  <w:vAlign w:val="center"/>
                </w:tcPr>
                <w:p w14:paraId="441AC152">
                  <w:pPr>
                    <w:pStyle w:val="36"/>
                    <w:snapToGrid w:val="0"/>
                    <w:jc w:val="center"/>
                    <w:rPr>
                      <w:rFonts w:hint="eastAsia" w:ascii="Times New Roman" w:hAnsi="Times New Roman"/>
                      <w:sz w:val="21"/>
                      <w:szCs w:val="21"/>
                    </w:rPr>
                  </w:pPr>
                  <w:r>
                    <w:rPr>
                      <w:rFonts w:ascii="Times New Roman" w:hAnsi="Times New Roman"/>
                      <w:sz w:val="21"/>
                      <w:szCs w:val="21"/>
                    </w:rPr>
                    <w:t>JX</w:t>
                  </w:r>
                  <w:r>
                    <w:rPr>
                      <w:rFonts w:hint="eastAsia" w:ascii="Times New Roman" w:hAnsi="Times New Roman"/>
                      <w:sz w:val="21"/>
                      <w:szCs w:val="21"/>
                    </w:rPr>
                    <w:t>-</w:t>
                  </w:r>
                  <w:r>
                    <w:rPr>
                      <w:rFonts w:ascii="Times New Roman" w:hAnsi="Times New Roman"/>
                      <w:sz w:val="21"/>
                      <w:szCs w:val="21"/>
                    </w:rPr>
                    <w:t>TMJ</w:t>
                  </w:r>
                  <w:r>
                    <w:rPr>
                      <w:rFonts w:hint="eastAsia" w:ascii="Times New Roman" w:hAnsi="Times New Roman"/>
                      <w:sz w:val="21"/>
                      <w:szCs w:val="21"/>
                    </w:rPr>
                    <w:t>-3米*5米</w:t>
                  </w:r>
                </w:p>
              </w:tc>
              <w:tc>
                <w:tcPr>
                  <w:tcW w:w="504" w:type="pct"/>
                  <w:noWrap w:val="0"/>
                  <w:vAlign w:val="center"/>
                </w:tcPr>
                <w:p w14:paraId="60CA83D1">
                  <w:pPr>
                    <w:pStyle w:val="36"/>
                    <w:snapToGrid w:val="0"/>
                    <w:jc w:val="center"/>
                    <w:rPr>
                      <w:rFonts w:hint="eastAsia" w:ascii="Times New Roman" w:hAnsi="Times New Roman" w:eastAsia="宋体"/>
                      <w:sz w:val="21"/>
                      <w:szCs w:val="21"/>
                      <w:lang w:val="en-US" w:eastAsia="zh-CN"/>
                    </w:rPr>
                  </w:pPr>
                  <w:r>
                    <w:rPr>
                      <w:rFonts w:hint="eastAsia" w:ascii="Times New Roman" w:hAnsi="Times New Roman"/>
                      <w:sz w:val="21"/>
                      <w:szCs w:val="21"/>
                      <w:lang w:val="en-US" w:eastAsia="zh-CN"/>
                    </w:rPr>
                    <w:t>1套</w:t>
                  </w:r>
                </w:p>
              </w:tc>
              <w:tc>
                <w:tcPr>
                  <w:tcW w:w="447" w:type="pct"/>
                  <w:vMerge w:val="continue"/>
                  <w:noWrap w:val="0"/>
                  <w:vAlign w:val="center"/>
                </w:tcPr>
                <w:p w14:paraId="7DF82FF7">
                  <w:pPr>
                    <w:pStyle w:val="36"/>
                    <w:snapToGrid w:val="0"/>
                    <w:jc w:val="center"/>
                    <w:rPr>
                      <w:rFonts w:ascii="Times New Roman" w:hAnsi="Times New Roman"/>
                      <w:sz w:val="21"/>
                      <w:szCs w:val="21"/>
                    </w:rPr>
                  </w:pPr>
                </w:p>
              </w:tc>
              <w:tc>
                <w:tcPr>
                  <w:tcW w:w="895" w:type="pct"/>
                  <w:noWrap w:val="0"/>
                  <w:vAlign w:val="center"/>
                </w:tcPr>
                <w:p w14:paraId="437F60EA">
                  <w:pPr>
                    <w:pStyle w:val="36"/>
                    <w:snapToGrid w:val="0"/>
                    <w:jc w:val="center"/>
                    <w:rPr>
                      <w:rFonts w:ascii="Times New Roman" w:hAnsi="Times New Roman"/>
                      <w:sz w:val="21"/>
                      <w:szCs w:val="21"/>
                    </w:rPr>
                  </w:pPr>
                  <w:r>
                    <w:rPr>
                      <w:rFonts w:hint="eastAsia" w:ascii="Times New Roman" w:hAnsi="Times New Roman"/>
                      <w:sz w:val="21"/>
                      <w:szCs w:val="21"/>
                    </w:rPr>
                    <w:t>发泡区</w:t>
                  </w:r>
                </w:p>
              </w:tc>
            </w:tr>
          </w:tbl>
          <w:p w14:paraId="39057153">
            <w:pPr>
              <w:adjustRightInd w:val="0"/>
              <w:snapToGrid w:val="0"/>
              <w:spacing w:line="500" w:lineRule="exact"/>
              <w:ind w:firstLine="482" w:firstLineChars="200"/>
              <w:rPr>
                <w:rFonts w:hint="default" w:ascii="Times New Roman" w:hAnsi="Times New Roman" w:eastAsia="宋体" w:cs="Times New Roman"/>
                <w:b/>
                <w:color w:val="000000"/>
                <w:sz w:val="24"/>
              </w:rPr>
            </w:pPr>
            <w:r>
              <w:rPr>
                <w:rFonts w:hint="default" w:ascii="Times New Roman" w:hAnsi="Times New Roman" w:eastAsia="宋体" w:cs="Times New Roman"/>
                <w:b/>
                <w:bCs/>
                <w:sz w:val="24"/>
              </w:rPr>
              <w:t>4、项目原辅材料消耗及产品方案</w:t>
            </w:r>
          </w:p>
          <w:p w14:paraId="419EB9C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cs="Times New Roman"/>
                <w:b/>
                <w:sz w:val="24"/>
                <w:szCs w:val="24"/>
              </w:rPr>
            </w:pPr>
            <w:r>
              <w:rPr>
                <w:rFonts w:hint="default" w:ascii="Times New Roman" w:hAnsi="Times New Roman" w:cs="Times New Roman"/>
                <w:b/>
                <w:sz w:val="24"/>
                <w:szCs w:val="24"/>
              </w:rPr>
              <w:t>（1）原辅料</w:t>
            </w:r>
          </w:p>
          <w:p w14:paraId="226E92E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cs="Times New Roman"/>
                <w:b/>
                <w:bCs/>
                <w:sz w:val="24"/>
                <w:szCs w:val="24"/>
                <w:lang w:val="en-US"/>
              </w:rPr>
            </w:pPr>
            <w:r>
              <w:rPr>
                <w:rFonts w:hint="default" w:ascii="Times New Roman" w:hAnsi="Times New Roman" w:cs="Times New Roman"/>
                <w:sz w:val="24"/>
                <w:szCs w:val="24"/>
              </w:rPr>
              <w:t>项目</w:t>
            </w:r>
            <w:r>
              <w:rPr>
                <w:rFonts w:hint="default" w:ascii="Times New Roman" w:hAnsi="Times New Roman" w:cs="Times New Roman"/>
                <w:sz w:val="24"/>
                <w:szCs w:val="24"/>
                <w:lang w:val="en-US" w:eastAsia="zh-CN"/>
              </w:rPr>
              <w:t>主要生产原辅料为外购。</w:t>
            </w:r>
          </w:p>
          <w:p w14:paraId="78EE59EB">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表2-</w:t>
            </w:r>
            <w:r>
              <w:rPr>
                <w:rFonts w:hint="default" w:ascii="Times New Roman" w:hAnsi="Times New Roman" w:cs="Times New Roman"/>
                <w:b/>
                <w:bCs/>
                <w:sz w:val="24"/>
                <w:szCs w:val="24"/>
                <w:lang w:val="en-US" w:eastAsia="zh-CN"/>
              </w:rPr>
              <w:t>2</w:t>
            </w:r>
            <w:r>
              <w:rPr>
                <w:rFonts w:hint="default" w:ascii="Times New Roman" w:hAnsi="Times New Roman" w:cs="Times New Roman"/>
                <w:b/>
                <w:bCs/>
                <w:sz w:val="24"/>
                <w:szCs w:val="24"/>
              </w:rPr>
              <w:t>项目主要原辅材料及用量一览表</w:t>
            </w:r>
          </w:p>
          <w:tbl>
            <w:tblPr>
              <w:tblStyle w:val="29"/>
              <w:tblW w:w="74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713"/>
              <w:gridCol w:w="1545"/>
              <w:gridCol w:w="885"/>
              <w:gridCol w:w="1095"/>
              <w:gridCol w:w="780"/>
              <w:gridCol w:w="1605"/>
              <w:gridCol w:w="784"/>
            </w:tblGrid>
            <w:tr w14:paraId="741D9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713" w:type="dxa"/>
                  <w:noWrap w:val="0"/>
                  <w:vAlign w:val="center"/>
                </w:tcPr>
                <w:p w14:paraId="49CCAE0A">
                  <w:pPr>
                    <w:pStyle w:val="36"/>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cs="Times New Roman"/>
                      <w:b/>
                      <w:bCs/>
                      <w:sz w:val="21"/>
                      <w:szCs w:val="21"/>
                      <w:lang w:val="en-US" w:eastAsia="zh-CN"/>
                    </w:rPr>
                    <w:t>序号</w:t>
                  </w:r>
                </w:p>
              </w:tc>
              <w:tc>
                <w:tcPr>
                  <w:tcW w:w="1545" w:type="dxa"/>
                  <w:noWrap w:val="0"/>
                  <w:vAlign w:val="center"/>
                </w:tcPr>
                <w:p w14:paraId="5AA25B3C">
                  <w:pPr>
                    <w:pStyle w:val="36"/>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cs="Times New Roman"/>
                      <w:b/>
                      <w:bCs/>
                      <w:sz w:val="21"/>
                      <w:szCs w:val="21"/>
                      <w:lang w:val="en-US" w:eastAsia="zh-CN"/>
                    </w:rPr>
                    <w:t>原辅料</w:t>
                  </w:r>
                </w:p>
              </w:tc>
              <w:tc>
                <w:tcPr>
                  <w:tcW w:w="885" w:type="dxa"/>
                  <w:noWrap w:val="0"/>
                  <w:vAlign w:val="center"/>
                </w:tcPr>
                <w:p w14:paraId="1763DB1A">
                  <w:pPr>
                    <w:pStyle w:val="36"/>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cs="Times New Roman"/>
                      <w:b/>
                      <w:bCs/>
                      <w:sz w:val="21"/>
                      <w:szCs w:val="21"/>
                      <w:lang w:val="en-US" w:eastAsia="zh-CN"/>
                    </w:rPr>
                    <w:t>性状</w:t>
                  </w:r>
                </w:p>
              </w:tc>
              <w:tc>
                <w:tcPr>
                  <w:tcW w:w="1095" w:type="dxa"/>
                  <w:noWrap w:val="0"/>
                  <w:vAlign w:val="center"/>
                </w:tcPr>
                <w:p w14:paraId="5DAE16C4">
                  <w:pPr>
                    <w:pStyle w:val="36"/>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cs="Times New Roman"/>
                      <w:b/>
                      <w:bCs/>
                      <w:sz w:val="21"/>
                      <w:szCs w:val="21"/>
                      <w:highlight w:val="none"/>
                      <w:lang w:val="en-US" w:eastAsia="zh-CN"/>
                    </w:rPr>
                    <w:t>年使用量</w:t>
                  </w:r>
                </w:p>
              </w:tc>
              <w:tc>
                <w:tcPr>
                  <w:tcW w:w="780" w:type="dxa"/>
                  <w:noWrap w:val="0"/>
                  <w:vAlign w:val="center"/>
                </w:tcPr>
                <w:p w14:paraId="43F4286A">
                  <w:pPr>
                    <w:pStyle w:val="36"/>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cs="Times New Roman"/>
                      <w:b/>
                      <w:bCs/>
                      <w:sz w:val="21"/>
                      <w:szCs w:val="21"/>
                      <w:lang w:val="en-US" w:eastAsia="zh-CN"/>
                    </w:rPr>
                    <w:t>来源</w:t>
                  </w:r>
                </w:p>
              </w:tc>
              <w:tc>
                <w:tcPr>
                  <w:tcW w:w="1605" w:type="dxa"/>
                  <w:noWrap w:val="0"/>
                  <w:vAlign w:val="center"/>
                </w:tcPr>
                <w:p w14:paraId="6760F2FF">
                  <w:pPr>
                    <w:pStyle w:val="36"/>
                    <w:snapToGrid w:val="0"/>
                    <w:spacing w:line="240" w:lineRule="auto"/>
                    <w:ind w:firstLine="0" w:firstLine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储存位置/方式</w:t>
                  </w:r>
                </w:p>
              </w:tc>
              <w:tc>
                <w:tcPr>
                  <w:tcW w:w="784" w:type="dxa"/>
                  <w:noWrap w:val="0"/>
                  <w:vAlign w:val="center"/>
                </w:tcPr>
                <w:p w14:paraId="0AFEBAA8">
                  <w:pPr>
                    <w:pStyle w:val="36"/>
                    <w:snapToGrid w:val="0"/>
                    <w:spacing w:line="240" w:lineRule="auto"/>
                    <w:ind w:firstLine="0" w:firstLine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备注</w:t>
                  </w:r>
                </w:p>
              </w:tc>
            </w:tr>
            <w:tr w14:paraId="2E341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713" w:type="dxa"/>
                  <w:noWrap w:val="0"/>
                  <w:vAlign w:val="center"/>
                </w:tcPr>
                <w:p w14:paraId="6012018D">
                  <w:pPr>
                    <w:pStyle w:val="36"/>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545" w:type="dxa"/>
                  <w:noWrap w:val="0"/>
                  <w:vAlign w:val="center"/>
                </w:tcPr>
                <w:p w14:paraId="543760C0">
                  <w:pPr>
                    <w:pStyle w:val="36"/>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发泡料A料（组合聚醚）</w:t>
                  </w:r>
                </w:p>
              </w:tc>
              <w:tc>
                <w:tcPr>
                  <w:tcW w:w="885" w:type="dxa"/>
                  <w:noWrap w:val="0"/>
                  <w:vAlign w:val="center"/>
                </w:tcPr>
                <w:p w14:paraId="5147A52C">
                  <w:pPr>
                    <w:pStyle w:val="36"/>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液体</w:t>
                  </w:r>
                </w:p>
              </w:tc>
              <w:tc>
                <w:tcPr>
                  <w:tcW w:w="1095" w:type="dxa"/>
                  <w:noWrap w:val="0"/>
                  <w:vAlign w:val="center"/>
                </w:tcPr>
                <w:p w14:paraId="171C61CF">
                  <w:pPr>
                    <w:pStyle w:val="36"/>
                    <w:snapToGrid w:val="0"/>
                    <w:jc w:val="center"/>
                    <w:rPr>
                      <w:rFonts w:hint="default" w:ascii="Times New Roman" w:hAnsi="Times New Roman" w:eastAsia="宋体" w:cs="Times New Roman"/>
                      <w:sz w:val="21"/>
                      <w:szCs w:val="21"/>
                      <w:highlight w:val="yellow"/>
                      <w:lang w:val="en-US" w:eastAsia="zh-CN"/>
                    </w:rPr>
                  </w:pPr>
                  <w:r>
                    <w:rPr>
                      <w:rFonts w:hint="default" w:ascii="Times New Roman" w:hAnsi="Times New Roman" w:cs="Times New Roman"/>
                      <w:sz w:val="21"/>
                      <w:szCs w:val="21"/>
                    </w:rPr>
                    <w:t>60</w:t>
                  </w:r>
                  <w:r>
                    <w:rPr>
                      <w:rFonts w:hint="default" w:ascii="Times New Roman" w:hAnsi="Times New Roman" w:cs="Times New Roman"/>
                      <w:sz w:val="21"/>
                      <w:szCs w:val="21"/>
                      <w:lang w:val="en-US" w:eastAsia="zh-CN"/>
                    </w:rPr>
                    <w:t>t</w:t>
                  </w:r>
                </w:p>
              </w:tc>
              <w:tc>
                <w:tcPr>
                  <w:tcW w:w="780" w:type="dxa"/>
                  <w:noWrap w:val="0"/>
                  <w:vAlign w:val="center"/>
                </w:tcPr>
                <w:p w14:paraId="6EC86ECD">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外购</w:t>
                  </w:r>
                </w:p>
              </w:tc>
              <w:tc>
                <w:tcPr>
                  <w:tcW w:w="1605" w:type="dxa"/>
                  <w:noWrap w:val="0"/>
                  <w:vAlign w:val="center"/>
                </w:tcPr>
                <w:p w14:paraId="43CA9617">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车间发泡区/发泡料储罐</w:t>
                  </w:r>
                </w:p>
              </w:tc>
              <w:tc>
                <w:tcPr>
                  <w:tcW w:w="784" w:type="dxa"/>
                  <w:noWrap w:val="0"/>
                  <w:vAlign w:val="center"/>
                </w:tcPr>
                <w:p w14:paraId="094D0B2D">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俗称白料</w:t>
                  </w:r>
                </w:p>
              </w:tc>
            </w:tr>
            <w:tr w14:paraId="3C755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713" w:type="dxa"/>
                  <w:noWrap w:val="0"/>
                  <w:vAlign w:val="center"/>
                </w:tcPr>
                <w:p w14:paraId="4FDFA79C">
                  <w:pPr>
                    <w:pStyle w:val="36"/>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1545" w:type="dxa"/>
                  <w:noWrap w:val="0"/>
                  <w:vAlign w:val="center"/>
                </w:tcPr>
                <w:p w14:paraId="169667F5">
                  <w:pPr>
                    <w:pStyle w:val="36"/>
                    <w:snapToGrid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lang w:val="en-US" w:eastAsia="zh-CN"/>
                    </w:rPr>
                    <w:t>发泡料B料（多异氰酸酯）</w:t>
                  </w:r>
                </w:p>
              </w:tc>
              <w:tc>
                <w:tcPr>
                  <w:tcW w:w="885" w:type="dxa"/>
                  <w:noWrap w:val="0"/>
                  <w:vAlign w:val="center"/>
                </w:tcPr>
                <w:p w14:paraId="4695728E">
                  <w:pPr>
                    <w:pStyle w:val="36"/>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液体</w:t>
                  </w:r>
                </w:p>
              </w:tc>
              <w:tc>
                <w:tcPr>
                  <w:tcW w:w="1095" w:type="dxa"/>
                  <w:noWrap w:val="0"/>
                  <w:vAlign w:val="center"/>
                </w:tcPr>
                <w:p w14:paraId="0B760F7C">
                  <w:pPr>
                    <w:pStyle w:val="36"/>
                    <w:snapToGrid w:val="0"/>
                    <w:jc w:val="center"/>
                    <w:rPr>
                      <w:rFonts w:hint="default" w:ascii="Times New Roman" w:hAnsi="Times New Roman" w:eastAsia="宋体" w:cs="Times New Roman"/>
                      <w:sz w:val="21"/>
                      <w:szCs w:val="21"/>
                      <w:highlight w:val="yellow"/>
                      <w:lang w:val="en-US" w:eastAsia="zh-CN"/>
                    </w:rPr>
                  </w:pPr>
                  <w:r>
                    <w:rPr>
                      <w:rFonts w:hint="default" w:ascii="Times New Roman" w:hAnsi="Times New Roman" w:cs="Times New Roman"/>
                      <w:sz w:val="21"/>
                      <w:szCs w:val="21"/>
                    </w:rPr>
                    <w:t>60</w:t>
                  </w:r>
                  <w:r>
                    <w:rPr>
                      <w:rFonts w:hint="default" w:ascii="Times New Roman" w:hAnsi="Times New Roman" w:cs="Times New Roman"/>
                      <w:sz w:val="21"/>
                      <w:szCs w:val="21"/>
                      <w:lang w:val="en-US" w:eastAsia="zh-CN"/>
                    </w:rPr>
                    <w:t>t</w:t>
                  </w:r>
                </w:p>
              </w:tc>
              <w:tc>
                <w:tcPr>
                  <w:tcW w:w="780" w:type="dxa"/>
                  <w:noWrap w:val="0"/>
                  <w:vAlign w:val="center"/>
                </w:tcPr>
                <w:p w14:paraId="006129A4">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外购</w:t>
                  </w:r>
                </w:p>
              </w:tc>
              <w:tc>
                <w:tcPr>
                  <w:tcW w:w="1605" w:type="dxa"/>
                  <w:noWrap w:val="0"/>
                  <w:vAlign w:val="center"/>
                </w:tcPr>
                <w:p w14:paraId="21F40290">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车间发泡区/发泡料储罐</w:t>
                  </w:r>
                </w:p>
              </w:tc>
              <w:tc>
                <w:tcPr>
                  <w:tcW w:w="784" w:type="dxa"/>
                  <w:noWrap w:val="0"/>
                  <w:vAlign w:val="center"/>
                </w:tcPr>
                <w:p w14:paraId="5FD6B9C8">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俗称黑料</w:t>
                  </w:r>
                </w:p>
              </w:tc>
            </w:tr>
            <w:tr w14:paraId="7D2CE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713" w:type="dxa"/>
                  <w:noWrap w:val="0"/>
                  <w:vAlign w:val="center"/>
                </w:tcPr>
                <w:p w14:paraId="1FF144B2">
                  <w:pPr>
                    <w:pStyle w:val="36"/>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p>
              </w:tc>
              <w:tc>
                <w:tcPr>
                  <w:tcW w:w="1545" w:type="dxa"/>
                  <w:noWrap w:val="0"/>
                  <w:vAlign w:val="center"/>
                </w:tcPr>
                <w:p w14:paraId="40DA7E47">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钢板</w:t>
                  </w:r>
                </w:p>
              </w:tc>
              <w:tc>
                <w:tcPr>
                  <w:tcW w:w="885" w:type="dxa"/>
                  <w:noWrap w:val="0"/>
                  <w:vAlign w:val="center"/>
                </w:tcPr>
                <w:p w14:paraId="7221F98C">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固体</w:t>
                  </w:r>
                </w:p>
              </w:tc>
              <w:tc>
                <w:tcPr>
                  <w:tcW w:w="1095" w:type="dxa"/>
                  <w:noWrap w:val="0"/>
                  <w:vAlign w:val="center"/>
                </w:tcPr>
                <w:p w14:paraId="21B97B1E">
                  <w:pPr>
                    <w:pStyle w:val="36"/>
                    <w:snapToGrid w:val="0"/>
                    <w:jc w:val="center"/>
                    <w:rPr>
                      <w:rFonts w:hint="default" w:ascii="Times New Roman" w:hAnsi="Times New Roman" w:eastAsia="宋体" w:cs="Times New Roman"/>
                      <w:sz w:val="21"/>
                      <w:szCs w:val="21"/>
                      <w:highlight w:val="yellow"/>
                      <w:lang w:val="en-US" w:eastAsia="zh-CN"/>
                    </w:rPr>
                  </w:pPr>
                  <w:r>
                    <w:rPr>
                      <w:rFonts w:hint="default" w:ascii="Times New Roman" w:hAnsi="Times New Roman" w:cs="Times New Roman"/>
                      <w:sz w:val="21"/>
                      <w:szCs w:val="21"/>
                    </w:rPr>
                    <w:t>200</w:t>
                  </w:r>
                  <w:r>
                    <w:rPr>
                      <w:rFonts w:hint="default" w:ascii="Times New Roman" w:hAnsi="Times New Roman" w:cs="Times New Roman"/>
                      <w:sz w:val="21"/>
                      <w:szCs w:val="21"/>
                      <w:lang w:val="en-US" w:eastAsia="zh-CN"/>
                    </w:rPr>
                    <w:t>t</w:t>
                  </w:r>
                </w:p>
              </w:tc>
              <w:tc>
                <w:tcPr>
                  <w:tcW w:w="780" w:type="dxa"/>
                  <w:noWrap w:val="0"/>
                  <w:vAlign w:val="center"/>
                </w:tcPr>
                <w:p w14:paraId="5B5CCAFB">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外购</w:t>
                  </w:r>
                </w:p>
              </w:tc>
              <w:tc>
                <w:tcPr>
                  <w:tcW w:w="1605" w:type="dxa"/>
                  <w:noWrap w:val="0"/>
                  <w:vAlign w:val="center"/>
                </w:tcPr>
                <w:p w14:paraId="5DD94ABD">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车间物料存放区/货架叠放</w:t>
                  </w:r>
                </w:p>
              </w:tc>
              <w:tc>
                <w:tcPr>
                  <w:tcW w:w="784" w:type="dxa"/>
                  <w:noWrap w:val="0"/>
                  <w:vAlign w:val="center"/>
                </w:tcPr>
                <w:p w14:paraId="757887B8">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w:t>
                  </w:r>
                </w:p>
              </w:tc>
            </w:tr>
            <w:tr w14:paraId="1CD02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713" w:type="dxa"/>
                  <w:noWrap w:val="0"/>
                  <w:vAlign w:val="center"/>
                </w:tcPr>
                <w:p w14:paraId="431B5166">
                  <w:pPr>
                    <w:pStyle w:val="36"/>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w:t>
                  </w:r>
                </w:p>
              </w:tc>
              <w:tc>
                <w:tcPr>
                  <w:tcW w:w="1545" w:type="dxa"/>
                  <w:noWrap w:val="0"/>
                  <w:vAlign w:val="center"/>
                </w:tcPr>
                <w:p w14:paraId="03878747">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塑料膜</w:t>
                  </w:r>
                </w:p>
              </w:tc>
              <w:tc>
                <w:tcPr>
                  <w:tcW w:w="885" w:type="dxa"/>
                  <w:noWrap w:val="0"/>
                  <w:vAlign w:val="center"/>
                </w:tcPr>
                <w:p w14:paraId="022F3455">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固体</w:t>
                  </w:r>
                </w:p>
              </w:tc>
              <w:tc>
                <w:tcPr>
                  <w:tcW w:w="1095" w:type="dxa"/>
                  <w:noWrap w:val="0"/>
                  <w:vAlign w:val="center"/>
                </w:tcPr>
                <w:p w14:paraId="346C00AB">
                  <w:pPr>
                    <w:pStyle w:val="36"/>
                    <w:snapToGrid w:val="0"/>
                    <w:jc w:val="center"/>
                    <w:rPr>
                      <w:rFonts w:hint="default" w:ascii="Times New Roman" w:hAnsi="Times New Roman" w:eastAsia="宋体" w:cs="Times New Roman"/>
                      <w:sz w:val="21"/>
                      <w:szCs w:val="21"/>
                      <w:highlight w:val="yellow"/>
                      <w:lang w:val="en-US" w:eastAsia="zh-CN"/>
                    </w:rPr>
                  </w:pPr>
                  <w:r>
                    <w:rPr>
                      <w:rFonts w:hint="default" w:ascii="Times New Roman" w:hAnsi="Times New Roman" w:cs="Times New Roman"/>
                      <w:sz w:val="21"/>
                      <w:szCs w:val="21"/>
                    </w:rPr>
                    <w:t>3</w:t>
                  </w:r>
                  <w:r>
                    <w:rPr>
                      <w:rFonts w:hint="default" w:ascii="Times New Roman" w:hAnsi="Times New Roman" w:cs="Times New Roman"/>
                      <w:sz w:val="21"/>
                      <w:szCs w:val="21"/>
                      <w:lang w:val="en-US" w:eastAsia="zh-CN"/>
                    </w:rPr>
                    <w:t>t</w:t>
                  </w:r>
                </w:p>
              </w:tc>
              <w:tc>
                <w:tcPr>
                  <w:tcW w:w="780" w:type="dxa"/>
                  <w:noWrap w:val="0"/>
                  <w:vAlign w:val="center"/>
                </w:tcPr>
                <w:p w14:paraId="3CEF89F9">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外购</w:t>
                  </w:r>
                </w:p>
              </w:tc>
              <w:tc>
                <w:tcPr>
                  <w:tcW w:w="1605" w:type="dxa"/>
                  <w:noWrap w:val="0"/>
                  <w:vAlign w:val="center"/>
                </w:tcPr>
                <w:p w14:paraId="2B18001A">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车间物料存放区/货架卷放</w:t>
                  </w:r>
                </w:p>
              </w:tc>
              <w:tc>
                <w:tcPr>
                  <w:tcW w:w="784" w:type="dxa"/>
                  <w:noWrap w:val="0"/>
                  <w:vAlign w:val="center"/>
                </w:tcPr>
                <w:p w14:paraId="461F4CD7">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w:t>
                  </w:r>
                </w:p>
              </w:tc>
            </w:tr>
          </w:tbl>
          <w:p w14:paraId="656BC051">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（2）产品</w:t>
            </w:r>
          </w:p>
          <w:p w14:paraId="746C4A9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项目主要产品为：冷库聚氨酯保温板，年产60000平方米（约6050m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/a）。厂内生产加工板材，厂外现场组装。</w:t>
            </w:r>
          </w:p>
          <w:p w14:paraId="6E101387">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cs="Times New Roman"/>
                <w:b/>
                <w:sz w:val="24"/>
                <w:szCs w:val="24"/>
              </w:rPr>
            </w:pPr>
            <w:r>
              <w:rPr>
                <w:rFonts w:hint="default" w:ascii="Times New Roman" w:hAnsi="Times New Roman" w:cs="Times New Roman"/>
                <w:b/>
                <w:bCs/>
                <w:sz w:val="24"/>
                <w:szCs w:val="24"/>
              </w:rPr>
              <w:t>表2-</w:t>
            </w:r>
            <w:r>
              <w:rPr>
                <w:rFonts w:hint="default" w:ascii="Times New Roman" w:hAnsi="Times New Roman" w:cs="Times New Roman"/>
                <w:b/>
                <w:bCs/>
                <w:sz w:val="24"/>
                <w:szCs w:val="24"/>
                <w:lang w:val="en-US" w:eastAsia="zh-CN"/>
              </w:rPr>
              <w:t>4</w:t>
            </w:r>
            <w:r>
              <w:rPr>
                <w:rFonts w:hint="default" w:ascii="Times New Roman" w:hAnsi="Times New Roman" w:cs="Times New Roman"/>
                <w:b/>
                <w:bCs/>
                <w:sz w:val="24"/>
                <w:szCs w:val="24"/>
              </w:rPr>
              <w:t>项目</w:t>
            </w:r>
            <w:r>
              <w:rPr>
                <w:rFonts w:hint="default" w:ascii="Times New Roman" w:hAnsi="Times New Roman" w:cs="Times New Roman"/>
                <w:b/>
                <w:sz w:val="24"/>
                <w:szCs w:val="24"/>
              </w:rPr>
              <w:t>产品及产量一览表</w:t>
            </w:r>
          </w:p>
          <w:tbl>
            <w:tblPr>
              <w:tblStyle w:val="29"/>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680"/>
              <w:gridCol w:w="1065"/>
              <w:gridCol w:w="705"/>
              <w:gridCol w:w="900"/>
              <w:gridCol w:w="1515"/>
              <w:gridCol w:w="1080"/>
              <w:gridCol w:w="720"/>
              <w:gridCol w:w="705"/>
            </w:tblGrid>
            <w:tr w14:paraId="21FCC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80" w:type="dxa"/>
                  <w:noWrap w:val="0"/>
                  <w:vAlign w:val="center"/>
                </w:tcPr>
                <w:p w14:paraId="755FC1FA">
                  <w:pPr>
                    <w:pStyle w:val="36"/>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cs="Times New Roman"/>
                      <w:b/>
                      <w:bCs/>
                      <w:sz w:val="21"/>
                      <w:szCs w:val="21"/>
                      <w:lang w:val="en-US" w:eastAsia="zh-CN"/>
                    </w:rPr>
                    <w:t>序号</w:t>
                  </w:r>
                </w:p>
              </w:tc>
              <w:tc>
                <w:tcPr>
                  <w:tcW w:w="1065" w:type="dxa"/>
                  <w:noWrap w:val="0"/>
                  <w:vAlign w:val="center"/>
                </w:tcPr>
                <w:p w14:paraId="6B831E10">
                  <w:pPr>
                    <w:pStyle w:val="36"/>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cs="Times New Roman"/>
                      <w:b/>
                      <w:bCs/>
                      <w:sz w:val="21"/>
                      <w:szCs w:val="21"/>
                      <w:lang w:val="en-US" w:eastAsia="zh-CN"/>
                    </w:rPr>
                    <w:t>产品</w:t>
                  </w:r>
                </w:p>
              </w:tc>
              <w:tc>
                <w:tcPr>
                  <w:tcW w:w="705" w:type="dxa"/>
                  <w:noWrap w:val="0"/>
                  <w:vAlign w:val="center"/>
                </w:tcPr>
                <w:p w14:paraId="2B482636">
                  <w:pPr>
                    <w:pStyle w:val="36"/>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cs="Times New Roman"/>
                      <w:b/>
                      <w:bCs/>
                      <w:sz w:val="21"/>
                      <w:szCs w:val="21"/>
                      <w:lang w:val="en-US" w:eastAsia="zh-CN"/>
                    </w:rPr>
                    <w:t>性状</w:t>
                  </w:r>
                </w:p>
              </w:tc>
              <w:tc>
                <w:tcPr>
                  <w:tcW w:w="900" w:type="dxa"/>
                  <w:noWrap w:val="0"/>
                  <w:vAlign w:val="center"/>
                </w:tcPr>
                <w:p w14:paraId="15529B13">
                  <w:pPr>
                    <w:pStyle w:val="36"/>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cs="Times New Roman"/>
                      <w:b/>
                      <w:bCs/>
                      <w:sz w:val="21"/>
                      <w:szCs w:val="21"/>
                      <w:highlight w:val="none"/>
                      <w:lang w:val="en-US" w:eastAsia="zh-CN"/>
                    </w:rPr>
                    <w:t>年产量</w:t>
                  </w:r>
                </w:p>
              </w:tc>
              <w:tc>
                <w:tcPr>
                  <w:tcW w:w="1515" w:type="dxa"/>
                  <w:noWrap w:val="0"/>
                  <w:vAlign w:val="center"/>
                </w:tcPr>
                <w:p w14:paraId="45A95E20">
                  <w:pPr>
                    <w:pStyle w:val="36"/>
                    <w:snapToGrid w:val="0"/>
                    <w:spacing w:line="240" w:lineRule="auto"/>
                    <w:ind w:firstLine="0" w:firstLine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包装方式</w:t>
                  </w:r>
                </w:p>
              </w:tc>
              <w:tc>
                <w:tcPr>
                  <w:tcW w:w="1080" w:type="dxa"/>
                  <w:noWrap w:val="0"/>
                  <w:vAlign w:val="center"/>
                </w:tcPr>
                <w:p w14:paraId="05246BCB">
                  <w:pPr>
                    <w:pStyle w:val="36"/>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cs="Times New Roman"/>
                      <w:b/>
                      <w:bCs/>
                      <w:sz w:val="21"/>
                      <w:szCs w:val="21"/>
                      <w:lang w:val="en-US" w:eastAsia="zh-CN"/>
                    </w:rPr>
                    <w:t>储存位置</w:t>
                  </w:r>
                </w:p>
              </w:tc>
              <w:tc>
                <w:tcPr>
                  <w:tcW w:w="720" w:type="dxa"/>
                  <w:noWrap w:val="0"/>
                  <w:vAlign w:val="center"/>
                </w:tcPr>
                <w:p w14:paraId="3673E3BA">
                  <w:pPr>
                    <w:pStyle w:val="36"/>
                    <w:snapToGrid w:val="0"/>
                    <w:spacing w:line="240" w:lineRule="auto"/>
                    <w:ind w:firstLine="0" w:firstLineChars="0"/>
                    <w:jc w:val="center"/>
                    <w:rPr>
                      <w:rFonts w:hint="default" w:ascii="Times New Roman" w:hAnsi="Times New Roman" w:cs="Times New Roman"/>
                      <w:b/>
                      <w:bCs/>
                      <w:sz w:val="21"/>
                      <w:szCs w:val="21"/>
                      <w:lang w:val="en-US" w:eastAsia="zh-CN"/>
                    </w:rPr>
                  </w:pPr>
                  <w:r>
                    <w:rPr>
                      <w:rFonts w:hint="default" w:ascii="Times New Roman" w:hAnsi="Times New Roman" w:eastAsia="宋体" w:cs="Times New Roman"/>
                      <w:b/>
                      <w:bCs/>
                      <w:sz w:val="21"/>
                      <w:szCs w:val="21"/>
                      <w:lang w:val="en-US" w:eastAsia="zh-CN"/>
                    </w:rPr>
                    <w:t>去向</w:t>
                  </w:r>
                </w:p>
              </w:tc>
              <w:tc>
                <w:tcPr>
                  <w:tcW w:w="705" w:type="dxa"/>
                  <w:noWrap w:val="0"/>
                  <w:vAlign w:val="center"/>
                </w:tcPr>
                <w:p w14:paraId="6C9CCCB8">
                  <w:pPr>
                    <w:pStyle w:val="36"/>
                    <w:snapToGrid w:val="0"/>
                    <w:spacing w:line="240" w:lineRule="auto"/>
                    <w:ind w:firstLine="0" w:firstLine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备注</w:t>
                  </w:r>
                </w:p>
              </w:tc>
            </w:tr>
            <w:tr w14:paraId="0396C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36" w:hRule="atLeast"/>
                <w:jc w:val="center"/>
              </w:trPr>
              <w:tc>
                <w:tcPr>
                  <w:tcW w:w="680" w:type="dxa"/>
                  <w:noWrap w:val="0"/>
                  <w:vAlign w:val="center"/>
                </w:tcPr>
                <w:p w14:paraId="005BBD0C">
                  <w:pPr>
                    <w:pStyle w:val="36"/>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5" w:type="dxa"/>
                  <w:noWrap w:val="0"/>
                  <w:vAlign w:val="center"/>
                </w:tcPr>
                <w:p w14:paraId="559564C9">
                  <w:pPr>
                    <w:pStyle w:val="36"/>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冷库保温板（门板）</w:t>
                  </w:r>
                </w:p>
              </w:tc>
              <w:tc>
                <w:tcPr>
                  <w:tcW w:w="705" w:type="dxa"/>
                  <w:noWrap w:val="0"/>
                  <w:vAlign w:val="center"/>
                </w:tcPr>
                <w:p w14:paraId="3A6F5DF3">
                  <w:pPr>
                    <w:pStyle w:val="36"/>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固体</w:t>
                  </w:r>
                </w:p>
              </w:tc>
              <w:tc>
                <w:tcPr>
                  <w:tcW w:w="900" w:type="dxa"/>
                  <w:noWrap w:val="0"/>
                  <w:vAlign w:val="center"/>
                </w:tcPr>
                <w:p w14:paraId="7DE7B102">
                  <w:pPr>
                    <w:pStyle w:val="36"/>
                    <w:snapToGrid w:val="0"/>
                    <w:jc w:val="center"/>
                    <w:rPr>
                      <w:rFonts w:hint="default" w:ascii="Times New Roman" w:hAnsi="Times New Roman" w:eastAsia="宋体" w:cs="Times New Roman"/>
                      <w:sz w:val="21"/>
                      <w:szCs w:val="21"/>
                      <w:highlight w:val="yellow"/>
                      <w:lang w:val="en-US" w:eastAsia="zh-CN"/>
                    </w:rPr>
                  </w:pPr>
                  <w:r>
                    <w:rPr>
                      <w:rFonts w:hint="default" w:ascii="Times New Roman" w:hAnsi="Times New Roman" w:cs="Times New Roman"/>
                      <w:sz w:val="21"/>
                      <w:szCs w:val="21"/>
                    </w:rPr>
                    <w:t>50</w:t>
                  </w:r>
                  <w:r>
                    <w:rPr>
                      <w:rFonts w:hint="default" w:ascii="Times New Roman" w:hAnsi="Times New Roman" w:cs="Times New Roman"/>
                      <w:sz w:val="21"/>
                      <w:szCs w:val="21"/>
                      <w:lang w:val="en-US" w:eastAsia="zh-CN"/>
                    </w:rPr>
                    <w:t>m</w:t>
                  </w:r>
                  <w:r>
                    <w:rPr>
                      <w:rFonts w:hint="default" w:ascii="Times New Roman" w:hAnsi="Times New Roman" w:cs="Times New Roman"/>
                      <w:sz w:val="21"/>
                      <w:szCs w:val="21"/>
                      <w:vertAlign w:val="superscript"/>
                      <w:lang w:val="en-US" w:eastAsia="zh-CN"/>
                    </w:rPr>
                    <w:t>3</w:t>
                  </w:r>
                </w:p>
              </w:tc>
              <w:tc>
                <w:tcPr>
                  <w:tcW w:w="1515" w:type="dxa"/>
                  <w:noWrap w:val="0"/>
                  <w:vAlign w:val="center"/>
                </w:tcPr>
                <w:p w14:paraId="319EC2CF">
                  <w:pPr>
                    <w:snapToGrid w:val="0"/>
                    <w:spacing w:line="240" w:lineRule="auto"/>
                    <w:ind w:firstLine="0" w:firstLineChars="0"/>
                    <w:jc w:val="center"/>
                    <w:rPr>
                      <w:rFonts w:hint="default" w:ascii="Times New Roman" w:hAnsi="Times New Roman" w:eastAsia="宋体" w:cs="Times New Roman"/>
                      <w:sz w:val="21"/>
                      <w:szCs w:val="21"/>
                      <w:highlight w:val="yellow"/>
                      <w:lang w:val="en-US" w:eastAsia="zh-CN"/>
                    </w:rPr>
                  </w:pPr>
                  <w:r>
                    <w:rPr>
                      <w:rFonts w:hint="default" w:ascii="Times New Roman" w:hAnsi="Times New Roman" w:cs="Times New Roman"/>
                      <w:sz w:val="21"/>
                      <w:szCs w:val="21"/>
                      <w:lang w:val="en-US" w:eastAsia="zh-CN"/>
                    </w:rPr>
                    <w:t>车间板材存放区/货架叠放</w:t>
                  </w:r>
                </w:p>
              </w:tc>
              <w:tc>
                <w:tcPr>
                  <w:tcW w:w="1080" w:type="dxa"/>
                  <w:noWrap w:val="0"/>
                  <w:vAlign w:val="center"/>
                </w:tcPr>
                <w:p w14:paraId="1918B543">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车间板材存放区</w:t>
                  </w:r>
                </w:p>
              </w:tc>
              <w:tc>
                <w:tcPr>
                  <w:tcW w:w="720" w:type="dxa"/>
                  <w:noWrap w:val="0"/>
                  <w:vAlign w:val="center"/>
                </w:tcPr>
                <w:p w14:paraId="672B0C4F">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外售</w:t>
                  </w:r>
                </w:p>
              </w:tc>
              <w:tc>
                <w:tcPr>
                  <w:tcW w:w="705" w:type="dxa"/>
                  <w:vMerge w:val="restart"/>
                  <w:noWrap w:val="0"/>
                  <w:vAlign w:val="center"/>
                </w:tcPr>
                <w:p w14:paraId="7521E272">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厚度50mm-300mm不等</w:t>
                  </w:r>
                </w:p>
              </w:tc>
            </w:tr>
            <w:tr w14:paraId="7DFEE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680" w:type="dxa"/>
                  <w:noWrap w:val="0"/>
                  <w:vAlign w:val="center"/>
                </w:tcPr>
                <w:p w14:paraId="15EB984E">
                  <w:pPr>
                    <w:pStyle w:val="36"/>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1065" w:type="dxa"/>
                  <w:noWrap w:val="0"/>
                  <w:vAlign w:val="center"/>
                </w:tcPr>
                <w:p w14:paraId="168B55D8">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eastAsia="宋体" w:cs="Times New Roman"/>
                      <w:sz w:val="21"/>
                      <w:szCs w:val="21"/>
                      <w:lang w:val="en-US" w:eastAsia="zh-CN"/>
                    </w:rPr>
                    <w:t>冷库保温板（墙板）</w:t>
                  </w:r>
                </w:p>
              </w:tc>
              <w:tc>
                <w:tcPr>
                  <w:tcW w:w="705" w:type="dxa"/>
                  <w:noWrap w:val="0"/>
                  <w:vAlign w:val="center"/>
                </w:tcPr>
                <w:p w14:paraId="04B157F6">
                  <w:pPr>
                    <w:pStyle w:val="36"/>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固体</w:t>
                  </w:r>
                </w:p>
              </w:tc>
              <w:tc>
                <w:tcPr>
                  <w:tcW w:w="900" w:type="dxa"/>
                  <w:noWrap w:val="0"/>
                  <w:vAlign w:val="center"/>
                </w:tcPr>
                <w:p w14:paraId="61DCFE92">
                  <w:pPr>
                    <w:pStyle w:val="36"/>
                    <w:snapToGrid w:val="0"/>
                    <w:jc w:val="center"/>
                    <w:rPr>
                      <w:rFonts w:hint="default" w:ascii="Times New Roman" w:hAnsi="Times New Roman" w:eastAsia="宋体" w:cs="Times New Roman"/>
                      <w:sz w:val="21"/>
                      <w:szCs w:val="21"/>
                      <w:highlight w:val="yellow"/>
                      <w:lang w:val="en-US" w:eastAsia="zh-CN"/>
                    </w:rPr>
                  </w:pPr>
                  <w:r>
                    <w:rPr>
                      <w:rFonts w:hint="default" w:ascii="Times New Roman" w:hAnsi="Times New Roman" w:cs="Times New Roman"/>
                      <w:sz w:val="21"/>
                      <w:szCs w:val="21"/>
                    </w:rPr>
                    <w:t>60</w:t>
                  </w:r>
                  <w:r>
                    <w:rPr>
                      <w:rFonts w:hint="default" w:ascii="Times New Roman" w:hAnsi="Times New Roman" w:cs="Times New Roman"/>
                      <w:sz w:val="21"/>
                      <w:szCs w:val="21"/>
                      <w:lang w:val="en-US" w:eastAsia="zh-CN"/>
                    </w:rPr>
                    <w:t>0</w:t>
                  </w:r>
                  <w:r>
                    <w:rPr>
                      <w:rFonts w:hint="default" w:ascii="Times New Roman" w:hAnsi="Times New Roman" w:cs="Times New Roman"/>
                      <w:sz w:val="21"/>
                      <w:szCs w:val="21"/>
                    </w:rPr>
                    <w:t>0</w:t>
                  </w:r>
                  <w:r>
                    <w:rPr>
                      <w:rFonts w:hint="default" w:ascii="Times New Roman" w:hAnsi="Times New Roman" w:cs="Times New Roman"/>
                      <w:sz w:val="21"/>
                      <w:szCs w:val="21"/>
                      <w:lang w:val="en-US" w:eastAsia="zh-CN"/>
                    </w:rPr>
                    <w:t>m</w:t>
                  </w:r>
                  <w:r>
                    <w:rPr>
                      <w:rFonts w:hint="default" w:ascii="Times New Roman" w:hAnsi="Times New Roman" w:cs="Times New Roman"/>
                      <w:sz w:val="21"/>
                      <w:szCs w:val="21"/>
                      <w:vertAlign w:val="superscript"/>
                      <w:lang w:val="en-US" w:eastAsia="zh-CN"/>
                    </w:rPr>
                    <w:t>3</w:t>
                  </w:r>
                </w:p>
              </w:tc>
              <w:tc>
                <w:tcPr>
                  <w:tcW w:w="1515" w:type="dxa"/>
                  <w:noWrap w:val="0"/>
                  <w:vAlign w:val="center"/>
                </w:tcPr>
                <w:p w14:paraId="1CC6F2C5">
                  <w:pPr>
                    <w:snapToGrid w:val="0"/>
                    <w:spacing w:line="240" w:lineRule="auto"/>
                    <w:ind w:firstLine="0" w:firstLineChars="0"/>
                    <w:jc w:val="center"/>
                    <w:rPr>
                      <w:rFonts w:hint="default" w:ascii="Times New Roman" w:hAnsi="Times New Roman" w:eastAsia="宋体" w:cs="Times New Roman"/>
                      <w:sz w:val="21"/>
                      <w:szCs w:val="21"/>
                      <w:highlight w:val="yellow"/>
                      <w:lang w:val="en-US" w:eastAsia="zh-CN"/>
                    </w:rPr>
                  </w:pPr>
                  <w:r>
                    <w:rPr>
                      <w:rFonts w:hint="default" w:ascii="Times New Roman" w:hAnsi="Times New Roman" w:cs="Times New Roman"/>
                      <w:sz w:val="21"/>
                      <w:szCs w:val="21"/>
                      <w:lang w:val="en-US" w:eastAsia="zh-CN"/>
                    </w:rPr>
                    <w:t>车间板材存放区/货架叠放</w:t>
                  </w:r>
                </w:p>
              </w:tc>
              <w:tc>
                <w:tcPr>
                  <w:tcW w:w="1080" w:type="dxa"/>
                  <w:noWrap w:val="0"/>
                  <w:vAlign w:val="center"/>
                </w:tcPr>
                <w:p w14:paraId="3F890231">
                  <w:pPr>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车间板材存放区</w:t>
                  </w:r>
                </w:p>
              </w:tc>
              <w:tc>
                <w:tcPr>
                  <w:tcW w:w="720" w:type="dxa"/>
                  <w:noWrap w:val="0"/>
                  <w:vAlign w:val="center"/>
                </w:tcPr>
                <w:p w14:paraId="51285ECE">
                  <w:pPr>
                    <w:snapToGrid w:val="0"/>
                    <w:spacing w:line="240" w:lineRule="auto"/>
                    <w:ind w:firstLine="0" w:firstLineChars="0"/>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外售</w:t>
                  </w:r>
                </w:p>
              </w:tc>
              <w:tc>
                <w:tcPr>
                  <w:tcW w:w="705" w:type="dxa"/>
                  <w:vMerge w:val="continue"/>
                  <w:noWrap w:val="0"/>
                  <w:vAlign w:val="center"/>
                </w:tcPr>
                <w:p w14:paraId="73C1AEEA">
                  <w:pPr>
                    <w:pStyle w:val="36"/>
                    <w:snapToGrid w:val="0"/>
                    <w:spacing w:line="240" w:lineRule="auto"/>
                    <w:ind w:firstLine="0" w:firstLineChars="0"/>
                    <w:jc w:val="center"/>
                    <w:rPr>
                      <w:rFonts w:hint="default" w:ascii="Times New Roman" w:hAnsi="Times New Roman" w:cs="Times New Roman"/>
                      <w:sz w:val="21"/>
                      <w:szCs w:val="21"/>
                      <w:lang w:val="en-US" w:eastAsia="zh-CN"/>
                    </w:rPr>
                  </w:pPr>
                </w:p>
              </w:tc>
            </w:tr>
          </w:tbl>
          <w:p w14:paraId="30949CC4">
            <w:pPr>
              <w:keepNext w:val="0"/>
              <w:keepLines w:val="0"/>
              <w:pageBreakBefore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cs="Times New Roman"/>
                <w:b/>
                <w:sz w:val="24"/>
                <w:szCs w:val="24"/>
                <w:highlight w:val="none"/>
                <w:lang w:val="en-US" w:eastAsia="zh-CN"/>
              </w:rPr>
            </w:pPr>
            <w:r>
              <w:rPr>
                <w:rFonts w:hint="default" w:ascii="Times New Roman" w:hAnsi="Times New Roman" w:cs="Times New Roman"/>
                <w:b w:val="0"/>
                <w:bCs/>
                <w:sz w:val="24"/>
                <w:szCs w:val="24"/>
                <w:highlight w:val="none"/>
                <w:lang w:val="en-US" w:eastAsia="zh-CN"/>
              </w:rPr>
              <w:t>注：</w:t>
            </w:r>
            <w:r>
              <w:rPr>
                <w:rFonts w:hint="default" w:ascii="Times New Roman" w:hAnsi="Times New Roman" w:eastAsia="宋体" w:cs="Times New Roman"/>
                <w:color w:val="000000"/>
                <w:kern w:val="0"/>
                <w:sz w:val="24"/>
                <w:szCs w:val="24"/>
                <w:lang w:val="en-US" w:eastAsia="zh-CN" w:bidi="ar"/>
              </w:rPr>
              <w:t>门板和墙板区别在于规格尺寸要求不同，生产工艺相同。</w:t>
            </w:r>
          </w:p>
          <w:p w14:paraId="7CD4A029">
            <w:pPr>
              <w:adjustRightInd w:val="0"/>
              <w:snapToGrid w:val="0"/>
              <w:spacing w:line="500" w:lineRule="exact"/>
              <w:ind w:firstLine="482" w:firstLineChars="200"/>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5</w:t>
            </w:r>
            <w:r>
              <w:rPr>
                <w:rFonts w:ascii="Times New Roman" w:hAnsi="Times New Roman" w:eastAsia="宋体" w:cs="Times New Roman"/>
                <w:b/>
                <w:bCs/>
                <w:color w:val="000000"/>
                <w:sz w:val="24"/>
                <w:highlight w:val="none"/>
              </w:rPr>
              <w:t xml:space="preserve">、项目总平面布置 </w:t>
            </w:r>
          </w:p>
          <w:p w14:paraId="08CCDC1C">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eastAsia"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color w:val="000000"/>
                <w:kern w:val="0"/>
                <w:sz w:val="24"/>
                <w:szCs w:val="24"/>
                <w:lang w:val="en-US" w:eastAsia="zh-CN" w:bidi="ar"/>
              </w:rPr>
              <w:t>项目租用</w:t>
            </w:r>
            <w:r>
              <w:rPr>
                <w:rFonts w:hint="eastAsia" w:ascii="Times New Roman" w:hAnsi="Times New Roman" w:eastAsia="宋体" w:cs="Times New Roman"/>
                <w:color w:val="000000"/>
                <w:kern w:val="0"/>
                <w:sz w:val="24"/>
                <w:szCs w:val="24"/>
                <w:highlight w:val="none"/>
                <w:lang w:val="en-US" w:eastAsia="zh-CN" w:bidi="ar"/>
              </w:rPr>
              <w:t>“海南百年新乐幕墙门窗系统工程有限公司”</w:t>
            </w:r>
            <w:r>
              <w:rPr>
                <w:rFonts w:hint="eastAsia" w:ascii="Times New Roman" w:hAnsi="Times New Roman" w:eastAsia="宋体" w:cs="Times New Roman"/>
                <w:color w:val="000000"/>
                <w:kern w:val="0"/>
                <w:sz w:val="24"/>
                <w:szCs w:val="24"/>
                <w:lang w:val="en-US" w:eastAsia="zh-CN" w:bidi="ar"/>
              </w:rPr>
              <w:t>厂区内现有厂房建设，厂区整体呈方形，内共有4栋厂房和1栋综合办公楼。厂房位于厂区北侧，南北走向，办公楼位于厂区南侧，东西走向；厂区出入口设置于西南角，紧邻南一环路。</w:t>
            </w:r>
          </w:p>
          <w:p w14:paraId="73FD53C1">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cs="Times New Roman"/>
                <w:b w:val="0"/>
                <w:bCs w:val="0"/>
                <w:color w:val="000000"/>
                <w:sz w:val="24"/>
                <w:szCs w:val="24"/>
                <w:highlight w:val="none"/>
                <w:lang w:val="en-US" w:eastAsia="zh-CN" w:bidi="ar"/>
              </w:rPr>
            </w:pPr>
            <w:r>
              <w:rPr>
                <w:rFonts w:hint="eastAsia" w:ascii="Times New Roman" w:hAnsi="Times New Roman" w:eastAsia="宋体" w:cs="Times New Roman"/>
                <w:color w:val="000000"/>
                <w:kern w:val="0"/>
                <w:sz w:val="24"/>
                <w:szCs w:val="24"/>
                <w:lang w:val="en-US" w:eastAsia="zh-CN" w:bidi="ar"/>
              </w:rPr>
              <w:t>项目租用2号厂房，厂房作为保温板生产加工车间，内部按使用功能布置，由南向北划分为：南侧-物料存放区、板材存放区，中部-钢板加工区，北侧为模具成型区、发泡区板</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b w:val="0"/>
                <w:bCs w:val="0"/>
                <w:color w:val="000000"/>
                <w:kern w:val="0"/>
                <w:sz w:val="24"/>
                <w:szCs w:val="24"/>
                <w:lang w:val="en-US" w:eastAsia="zh-CN" w:bidi="ar"/>
              </w:rPr>
              <w:t>厂房南北两侧均有出入门，南侧进物料，北侧加工，物流动线合理便捷；</w:t>
            </w:r>
            <w:r>
              <w:rPr>
                <w:rFonts w:hint="default" w:ascii="Times New Roman" w:hAnsi="Times New Roman" w:cs="Times New Roman"/>
                <w:b w:val="0"/>
                <w:bCs w:val="0"/>
                <w:color w:val="000000"/>
                <w:sz w:val="24"/>
                <w:szCs w:val="24"/>
                <w:highlight w:val="none"/>
                <w:lang w:val="en-US" w:eastAsia="zh-CN" w:bidi="ar"/>
              </w:rPr>
              <w:t>办公</w:t>
            </w:r>
            <w:r>
              <w:rPr>
                <w:rFonts w:hint="eastAsia" w:ascii="Times New Roman" w:hAnsi="Times New Roman" w:cs="Times New Roman"/>
                <w:b w:val="0"/>
                <w:bCs w:val="0"/>
                <w:color w:val="000000"/>
                <w:sz w:val="24"/>
                <w:szCs w:val="24"/>
                <w:highlight w:val="none"/>
                <w:lang w:val="en-US" w:eastAsia="zh-CN" w:bidi="ar"/>
              </w:rPr>
              <w:t>依托厂区现有综合办公楼，做到办公</w:t>
            </w:r>
            <w:r>
              <w:rPr>
                <w:rFonts w:hint="default" w:ascii="Times New Roman" w:hAnsi="Times New Roman" w:cs="Times New Roman"/>
                <w:b w:val="0"/>
                <w:bCs w:val="0"/>
                <w:color w:val="000000"/>
                <w:sz w:val="24"/>
                <w:szCs w:val="24"/>
                <w:highlight w:val="none"/>
                <w:lang w:val="en-US" w:eastAsia="zh-CN" w:bidi="ar"/>
              </w:rPr>
              <w:t>与生产区域分开，互不影响；</w:t>
            </w:r>
            <w:r>
              <w:rPr>
                <w:rFonts w:hint="eastAsia" w:ascii="Times New Roman" w:hAnsi="Times New Roman" w:cs="Times New Roman"/>
                <w:b w:val="0"/>
                <w:bCs w:val="0"/>
                <w:color w:val="000000"/>
                <w:sz w:val="24"/>
                <w:szCs w:val="24"/>
                <w:highlight w:val="none"/>
                <w:lang w:val="en-US" w:eastAsia="zh-CN" w:bidi="ar"/>
              </w:rPr>
              <w:t>厂区</w:t>
            </w:r>
            <w:r>
              <w:rPr>
                <w:rFonts w:hint="default" w:ascii="Times New Roman" w:hAnsi="Times New Roman" w:cs="Times New Roman"/>
                <w:b w:val="0"/>
                <w:bCs w:val="0"/>
                <w:color w:val="000000"/>
                <w:sz w:val="24"/>
                <w:szCs w:val="24"/>
                <w:highlight w:val="none"/>
                <w:lang w:val="en-US" w:eastAsia="zh-CN" w:bidi="ar"/>
              </w:rPr>
              <w:t>空旷区域用于车辆周转停放。</w:t>
            </w:r>
          </w:p>
          <w:p w14:paraId="2C31B563">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cs="Times New Roman"/>
                <w:b w:val="0"/>
                <w:bCs w:val="0"/>
                <w:color w:val="000000"/>
                <w:sz w:val="24"/>
                <w:szCs w:val="24"/>
                <w:highlight w:val="none"/>
                <w:lang w:val="en-US" w:eastAsia="zh-CN" w:bidi="ar"/>
              </w:rPr>
            </w:pPr>
            <w:r>
              <w:rPr>
                <w:rFonts w:hint="default" w:ascii="Times New Roman" w:hAnsi="Times New Roman" w:cs="Times New Roman"/>
                <w:b w:val="0"/>
                <w:bCs w:val="0"/>
                <w:color w:val="000000"/>
                <w:sz w:val="24"/>
                <w:szCs w:val="24"/>
                <w:highlight w:val="none"/>
                <w:lang w:val="en-US" w:eastAsia="zh-CN" w:bidi="ar"/>
              </w:rPr>
              <w:t>项目营运期主要废气污染源产生于</w:t>
            </w:r>
            <w:r>
              <w:rPr>
                <w:rFonts w:hint="eastAsia" w:ascii="Times New Roman" w:hAnsi="Times New Roman" w:cs="Times New Roman"/>
                <w:b w:val="0"/>
                <w:bCs w:val="0"/>
                <w:color w:val="000000"/>
                <w:sz w:val="24"/>
                <w:szCs w:val="24"/>
                <w:highlight w:val="none"/>
                <w:lang w:val="en-US" w:eastAsia="zh-CN" w:bidi="ar"/>
              </w:rPr>
              <w:t>生产</w:t>
            </w:r>
            <w:r>
              <w:rPr>
                <w:rFonts w:hint="default" w:ascii="Times New Roman" w:hAnsi="Times New Roman" w:cs="Times New Roman"/>
                <w:b w:val="0"/>
                <w:bCs w:val="0"/>
                <w:color w:val="000000"/>
                <w:sz w:val="24"/>
                <w:szCs w:val="24"/>
                <w:highlight w:val="none"/>
                <w:lang w:val="en-US" w:eastAsia="zh-CN" w:bidi="ar"/>
              </w:rPr>
              <w:t>车间</w:t>
            </w:r>
            <w:r>
              <w:rPr>
                <w:rFonts w:hint="eastAsia" w:ascii="Times New Roman" w:hAnsi="Times New Roman" w:cs="Times New Roman"/>
                <w:b w:val="0"/>
                <w:bCs w:val="0"/>
                <w:color w:val="000000"/>
                <w:sz w:val="24"/>
                <w:szCs w:val="24"/>
                <w:highlight w:val="none"/>
                <w:lang w:val="en-US" w:eastAsia="zh-CN" w:bidi="ar"/>
              </w:rPr>
              <w:t>内</w:t>
            </w:r>
            <w:r>
              <w:rPr>
                <w:rFonts w:hint="default" w:ascii="Times New Roman" w:hAnsi="Times New Roman" w:cs="Times New Roman"/>
                <w:b w:val="0"/>
                <w:bCs w:val="0"/>
                <w:color w:val="000000"/>
                <w:sz w:val="24"/>
                <w:szCs w:val="24"/>
                <w:highlight w:val="none"/>
                <w:lang w:val="en-US" w:eastAsia="zh-CN" w:bidi="ar"/>
              </w:rPr>
              <w:t>，为区域主导风向的下风向同时远离</w:t>
            </w:r>
            <w:r>
              <w:rPr>
                <w:rFonts w:hint="eastAsia" w:ascii="Times New Roman" w:hAnsi="Times New Roman" w:cs="Times New Roman"/>
                <w:b w:val="0"/>
                <w:bCs w:val="0"/>
                <w:color w:val="000000"/>
                <w:sz w:val="24"/>
                <w:szCs w:val="24"/>
                <w:highlight w:val="none"/>
                <w:lang w:val="en-US" w:eastAsia="zh-CN" w:bidi="ar"/>
              </w:rPr>
              <w:t>边界及</w:t>
            </w:r>
            <w:r>
              <w:rPr>
                <w:rFonts w:hint="default" w:ascii="Times New Roman" w:hAnsi="Times New Roman" w:cs="Times New Roman"/>
                <w:b w:val="0"/>
                <w:bCs w:val="0"/>
                <w:color w:val="000000"/>
                <w:sz w:val="24"/>
                <w:szCs w:val="24"/>
                <w:highlight w:val="none"/>
                <w:lang w:val="en-US" w:eastAsia="zh-CN" w:bidi="ar"/>
              </w:rPr>
              <w:t>周边</w:t>
            </w:r>
            <w:r>
              <w:rPr>
                <w:rFonts w:hint="eastAsia" w:ascii="Times New Roman" w:hAnsi="Times New Roman" w:cs="Times New Roman"/>
                <w:b w:val="0"/>
                <w:bCs w:val="0"/>
                <w:color w:val="000000"/>
                <w:sz w:val="24"/>
                <w:szCs w:val="24"/>
                <w:highlight w:val="none"/>
                <w:lang w:val="en-US" w:eastAsia="zh-CN" w:bidi="ar"/>
              </w:rPr>
              <w:t>环境保护目标</w:t>
            </w:r>
            <w:r>
              <w:rPr>
                <w:rFonts w:hint="default" w:ascii="Times New Roman" w:hAnsi="Times New Roman" w:cs="Times New Roman"/>
                <w:b w:val="0"/>
                <w:bCs w:val="0"/>
                <w:color w:val="000000"/>
                <w:sz w:val="24"/>
                <w:szCs w:val="24"/>
                <w:highlight w:val="none"/>
                <w:lang w:val="en-US" w:eastAsia="zh-CN" w:bidi="ar"/>
              </w:rPr>
              <w:t>，减小对周边大气环境影响；主要噪声源强设置于</w:t>
            </w:r>
            <w:r>
              <w:rPr>
                <w:rFonts w:hint="eastAsia" w:ascii="Times New Roman" w:hAnsi="Times New Roman" w:cs="Times New Roman"/>
                <w:b w:val="0"/>
                <w:bCs w:val="0"/>
                <w:color w:val="000000"/>
                <w:sz w:val="24"/>
                <w:szCs w:val="24"/>
                <w:highlight w:val="none"/>
                <w:lang w:val="en-US" w:eastAsia="zh-CN" w:bidi="ar"/>
              </w:rPr>
              <w:t>生产</w:t>
            </w:r>
            <w:r>
              <w:rPr>
                <w:rFonts w:hint="default" w:ascii="Times New Roman" w:hAnsi="Times New Roman" w:cs="Times New Roman"/>
                <w:b w:val="0"/>
                <w:bCs w:val="0"/>
                <w:color w:val="000000"/>
                <w:sz w:val="24"/>
                <w:szCs w:val="24"/>
                <w:highlight w:val="none"/>
                <w:lang w:val="en-US" w:eastAsia="zh-CN" w:bidi="ar"/>
              </w:rPr>
              <w:t>车间内，</w:t>
            </w:r>
            <w:r>
              <w:rPr>
                <w:rFonts w:hint="eastAsia" w:ascii="Times New Roman" w:hAnsi="Times New Roman" w:cs="Times New Roman"/>
                <w:b w:val="0"/>
                <w:bCs w:val="0"/>
                <w:color w:val="000000"/>
                <w:sz w:val="24"/>
                <w:szCs w:val="24"/>
                <w:highlight w:val="none"/>
                <w:lang w:val="en-US" w:eastAsia="zh-CN" w:bidi="ar"/>
              </w:rPr>
              <w:t>经</w:t>
            </w:r>
            <w:r>
              <w:rPr>
                <w:rFonts w:hint="default" w:ascii="Times New Roman" w:hAnsi="Times New Roman" w:cs="Times New Roman"/>
                <w:b w:val="0"/>
                <w:bCs w:val="0"/>
                <w:color w:val="000000"/>
                <w:sz w:val="24"/>
                <w:szCs w:val="24"/>
                <w:highlight w:val="none"/>
                <w:lang w:val="en-US" w:eastAsia="zh-CN" w:bidi="ar"/>
              </w:rPr>
              <w:t>建筑隔声可减小噪声厂界排放</w:t>
            </w:r>
            <w:r>
              <w:rPr>
                <w:rFonts w:hint="eastAsia" w:ascii="Times New Roman" w:hAnsi="Times New Roman" w:cs="Times New Roman"/>
                <w:b w:val="0"/>
                <w:bCs w:val="0"/>
                <w:color w:val="000000"/>
                <w:sz w:val="24"/>
                <w:szCs w:val="24"/>
                <w:highlight w:val="none"/>
                <w:lang w:val="en-US" w:eastAsia="zh-CN" w:bidi="ar"/>
              </w:rPr>
              <w:t>；危废间设置于生产</w:t>
            </w:r>
            <w:r>
              <w:rPr>
                <w:rFonts w:hint="default" w:ascii="Times New Roman" w:hAnsi="Times New Roman" w:cs="Times New Roman"/>
                <w:b w:val="0"/>
                <w:bCs w:val="0"/>
                <w:color w:val="000000"/>
                <w:sz w:val="24"/>
                <w:szCs w:val="24"/>
                <w:highlight w:val="none"/>
                <w:lang w:val="en-US" w:eastAsia="zh-CN" w:bidi="ar"/>
              </w:rPr>
              <w:t>车间</w:t>
            </w:r>
            <w:r>
              <w:rPr>
                <w:rFonts w:hint="eastAsia" w:ascii="Times New Roman" w:hAnsi="Times New Roman" w:cs="Times New Roman"/>
                <w:b w:val="0"/>
                <w:bCs w:val="0"/>
                <w:color w:val="000000"/>
                <w:sz w:val="24"/>
                <w:szCs w:val="24"/>
                <w:highlight w:val="none"/>
                <w:lang w:val="en-US" w:eastAsia="zh-CN" w:bidi="ar"/>
              </w:rPr>
              <w:t>临近出入口，偏于收集转运</w:t>
            </w:r>
            <w:r>
              <w:rPr>
                <w:rFonts w:hint="default" w:ascii="Times New Roman" w:hAnsi="Times New Roman" w:cs="Times New Roman"/>
                <w:b w:val="0"/>
                <w:bCs w:val="0"/>
                <w:color w:val="000000"/>
                <w:sz w:val="24"/>
                <w:szCs w:val="24"/>
                <w:highlight w:val="none"/>
                <w:lang w:val="en-US" w:eastAsia="zh-CN" w:bidi="ar"/>
              </w:rPr>
              <w:t>。</w:t>
            </w:r>
          </w:p>
          <w:p w14:paraId="3FD9D563">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cs="Times New Roman"/>
                <w:b w:val="0"/>
                <w:bCs w:val="0"/>
                <w:color w:val="000000"/>
                <w:sz w:val="24"/>
                <w:szCs w:val="24"/>
                <w:highlight w:val="none"/>
                <w:lang w:val="en-US" w:eastAsia="zh-CN" w:bidi="ar"/>
              </w:rPr>
            </w:pPr>
            <w:r>
              <w:rPr>
                <w:rFonts w:hint="default" w:ascii="Times New Roman" w:hAnsi="Times New Roman" w:cs="Times New Roman"/>
                <w:b w:val="0"/>
                <w:bCs w:val="0"/>
                <w:color w:val="000000"/>
                <w:sz w:val="24"/>
                <w:szCs w:val="24"/>
                <w:highlight w:val="none"/>
                <w:lang w:val="en-US" w:eastAsia="zh-CN" w:bidi="ar"/>
              </w:rPr>
              <w:t>综上所述，项目厂区平面布置满足自身生产需求，减小污染物排放对周边环境影响，总体平面布置合理，具体详见附图3。</w:t>
            </w:r>
          </w:p>
          <w:p w14:paraId="65178564">
            <w:pPr>
              <w:adjustRightInd w:val="0"/>
              <w:snapToGrid w:val="0"/>
              <w:spacing w:line="500" w:lineRule="exact"/>
              <w:ind w:firstLine="482" w:firstLineChars="200"/>
              <w:rPr>
                <w:rFonts w:ascii="Times New Roman" w:hAnsi="Times New Roman" w:eastAsia="宋体" w:cs="Times New Roman"/>
                <w:b/>
                <w:sz w:val="24"/>
              </w:rPr>
            </w:pPr>
            <w:r>
              <w:rPr>
                <w:rFonts w:hint="eastAsia" w:ascii="Times New Roman" w:hAnsi="Times New Roman" w:eastAsia="宋体" w:cs="Times New Roman"/>
                <w:b/>
                <w:sz w:val="24"/>
              </w:rPr>
              <w:t>6</w:t>
            </w:r>
            <w:r>
              <w:rPr>
                <w:rFonts w:ascii="Times New Roman" w:hAnsi="Times New Roman" w:eastAsia="宋体" w:cs="Times New Roman"/>
                <w:b/>
                <w:sz w:val="24"/>
              </w:rPr>
              <w:t>、人员定额及劳动制度</w:t>
            </w:r>
          </w:p>
          <w:p w14:paraId="7BAB900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项目共有工作人员</w:t>
            </w:r>
            <w:r>
              <w:rPr>
                <w:rFonts w:hint="eastAsia" w:ascii="Times New Roman" w:hAnsi="Times New Roman" w:eastAsia="宋体" w:cs="Times New Roman"/>
                <w:color w:val="000000"/>
                <w:kern w:val="0"/>
                <w:sz w:val="24"/>
                <w:szCs w:val="24"/>
                <w:lang w:val="en-US" w:eastAsia="zh-CN" w:bidi="ar"/>
              </w:rPr>
              <w:t>1</w:t>
            </w:r>
            <w:r>
              <w:rPr>
                <w:rFonts w:hint="default" w:ascii="Times New Roman" w:hAnsi="Times New Roman" w:eastAsia="宋体" w:cs="Times New Roman"/>
                <w:color w:val="000000"/>
                <w:kern w:val="0"/>
                <w:sz w:val="24"/>
                <w:szCs w:val="24"/>
                <w:highlight w:val="none"/>
                <w:lang w:val="en-US" w:eastAsia="zh-CN" w:bidi="ar"/>
              </w:rPr>
              <w:t>0</w:t>
            </w:r>
            <w:r>
              <w:rPr>
                <w:rFonts w:hint="default" w:ascii="Times New Roman" w:hAnsi="Times New Roman" w:eastAsia="宋体" w:cs="Times New Roman"/>
                <w:color w:val="000000"/>
                <w:kern w:val="0"/>
                <w:sz w:val="24"/>
                <w:szCs w:val="24"/>
                <w:lang w:val="en-US" w:eastAsia="zh-CN" w:bidi="ar"/>
              </w:rPr>
              <w:t>人，</w:t>
            </w:r>
            <w:r>
              <w:rPr>
                <w:rFonts w:hint="default" w:ascii="Times New Roman" w:hAnsi="Times New Roman" w:cs="Times New Roman"/>
                <w:color w:val="000000"/>
                <w:kern w:val="0"/>
                <w:sz w:val="24"/>
                <w:szCs w:val="24"/>
                <w:lang w:val="en-US" w:eastAsia="zh-CN" w:bidi="ar"/>
              </w:rPr>
              <w:t>昼间</w:t>
            </w:r>
            <w:r>
              <w:rPr>
                <w:rFonts w:hint="default" w:ascii="Times New Roman" w:hAnsi="Times New Roman" w:eastAsia="宋体" w:cs="Times New Roman"/>
                <w:color w:val="000000"/>
                <w:kern w:val="0"/>
                <w:sz w:val="24"/>
                <w:szCs w:val="24"/>
                <w:lang w:val="en-US" w:eastAsia="zh-CN" w:bidi="ar"/>
              </w:rPr>
              <w:t>8小时</w:t>
            </w:r>
            <w:r>
              <w:rPr>
                <w:rFonts w:hint="default" w:ascii="Times New Roman" w:hAnsi="Times New Roman" w:cs="Times New Roman"/>
                <w:color w:val="000000"/>
                <w:kern w:val="0"/>
                <w:sz w:val="24"/>
                <w:szCs w:val="24"/>
                <w:lang w:val="en-US" w:eastAsia="zh-CN" w:bidi="ar"/>
              </w:rPr>
              <w:t>生产，一</w:t>
            </w:r>
            <w:r>
              <w:rPr>
                <w:rFonts w:hint="default" w:ascii="Times New Roman" w:hAnsi="Times New Roman" w:eastAsia="宋体" w:cs="Times New Roman"/>
                <w:color w:val="000000"/>
                <w:kern w:val="0"/>
                <w:sz w:val="24"/>
                <w:szCs w:val="24"/>
                <w:lang w:val="en-US" w:eastAsia="zh-CN" w:bidi="ar"/>
              </w:rPr>
              <w:t>班工作制，年生产</w:t>
            </w:r>
            <w:r>
              <w:rPr>
                <w:rFonts w:hint="default" w:ascii="Times New Roman" w:hAnsi="Times New Roman" w:eastAsia="宋体" w:cs="Times New Roman"/>
                <w:color w:val="000000"/>
                <w:kern w:val="0"/>
                <w:sz w:val="24"/>
                <w:szCs w:val="24"/>
                <w:highlight w:val="none"/>
                <w:lang w:val="en-US" w:eastAsia="zh-CN" w:bidi="ar"/>
              </w:rPr>
              <w:t>300</w:t>
            </w:r>
            <w:r>
              <w:rPr>
                <w:rFonts w:hint="default" w:ascii="Times New Roman" w:hAnsi="Times New Roman" w:eastAsia="宋体" w:cs="Times New Roman"/>
                <w:color w:val="000000"/>
                <w:kern w:val="0"/>
                <w:sz w:val="24"/>
                <w:szCs w:val="24"/>
                <w:lang w:val="en-US" w:eastAsia="zh-CN" w:bidi="ar"/>
              </w:rPr>
              <w:t>天，</w:t>
            </w:r>
            <w:r>
              <w:rPr>
                <w:rFonts w:hint="eastAsia" w:ascii="Times New Roman" w:hAnsi="Times New Roman" w:cs="Times New Roman"/>
                <w:color w:val="000000"/>
                <w:kern w:val="0"/>
                <w:sz w:val="24"/>
                <w:szCs w:val="24"/>
                <w:lang w:val="en-US" w:eastAsia="zh-CN" w:bidi="ar"/>
              </w:rPr>
              <w:t>不在厂区内食宿</w:t>
            </w:r>
            <w:r>
              <w:rPr>
                <w:rFonts w:hint="default" w:ascii="Times New Roman" w:hAnsi="Times New Roman" w:eastAsia="宋体" w:cs="Times New Roman"/>
                <w:color w:val="000000"/>
                <w:kern w:val="0"/>
                <w:sz w:val="24"/>
                <w:szCs w:val="24"/>
                <w:lang w:val="en-US" w:eastAsia="zh-CN" w:bidi="ar"/>
              </w:rPr>
              <w:t>。</w:t>
            </w:r>
          </w:p>
          <w:p w14:paraId="12A4345C">
            <w:pPr>
              <w:pStyle w:val="36"/>
              <w:snapToGrid w:val="0"/>
              <w:spacing w:line="500" w:lineRule="exact"/>
              <w:ind w:firstLine="482" w:firstLineChars="200"/>
              <w:rPr>
                <w:rFonts w:ascii="Times New Roman"/>
                <w:szCs w:val="24"/>
              </w:rPr>
            </w:pPr>
            <w:r>
              <w:rPr>
                <w:rFonts w:hint="eastAsia" w:ascii="Times New Roman"/>
                <w:b/>
                <w:bCs/>
                <w:szCs w:val="24"/>
              </w:rPr>
              <w:t>7</w:t>
            </w:r>
            <w:r>
              <w:rPr>
                <w:rFonts w:ascii="Times New Roman"/>
                <w:b/>
                <w:bCs/>
                <w:szCs w:val="24"/>
              </w:rPr>
              <w:t>、项目变动情况</w:t>
            </w:r>
            <w:r>
              <w:rPr>
                <w:rFonts w:ascii="Times New Roman"/>
                <w:szCs w:val="24"/>
              </w:rPr>
              <w:t xml:space="preserve"> </w:t>
            </w:r>
          </w:p>
          <w:p w14:paraId="40795BA7">
            <w:pPr>
              <w:adjustRightInd w:val="0"/>
              <w:snapToGrid w:val="0"/>
              <w:spacing w:line="500" w:lineRule="exact"/>
              <w:ind w:firstLine="480" w:firstLineChars="200"/>
              <w:rPr>
                <w:rFonts w:ascii="Times New Roman" w:hAnsi="Times New Roman" w:cs="Times New Roman"/>
                <w:color w:val="000000"/>
                <w:sz w:val="24"/>
                <w:lang w:val="zh-TW" w:eastAsia="zh-TW"/>
              </w:rPr>
            </w:pPr>
            <w:r>
              <w:rPr>
                <w:rFonts w:ascii="Times New Roman" w:hAnsi="Times New Roman" w:cs="Times New Roman"/>
                <w:color w:val="000000"/>
                <w:sz w:val="24"/>
                <w:lang w:val="zh-TW" w:eastAsia="zh-TW"/>
              </w:rPr>
              <w:t>根据《中华人民共和国环境影响评价法》、《建设项目环境保护管理条例》以及《建设项目竣工环境保护验收暂行办法》要求，建设项目的环境影响评价文件经批准后，建设项目的性质、规模、地点、采用的生产工艺或者防治污染、防止生态破坏的措施发生重大变动的，导致排放污染物对周边环境影响产生显著变化的，建设单位应当重新报批建设项目的环境影响评价文件。</w:t>
            </w:r>
          </w:p>
          <w:p w14:paraId="0ABDF248">
            <w:pPr>
              <w:adjustRightInd w:val="0"/>
              <w:snapToGrid w:val="0"/>
              <w:spacing w:line="500" w:lineRule="exact"/>
              <w:ind w:firstLine="480" w:firstLineChars="200"/>
              <w:rPr>
                <w:rFonts w:ascii="Times New Roman" w:hAnsi="Times New Roman" w:cs="Times New Roman"/>
                <w:b/>
                <w:color w:val="000000"/>
                <w:kern w:val="0"/>
                <w:sz w:val="24"/>
                <w:lang w:bidi="ar"/>
              </w:rPr>
            </w:pPr>
            <w:r>
              <w:rPr>
                <w:rFonts w:hint="eastAsia" w:ascii="Times New Roman" w:hAnsi="Times New Roman" w:cs="Times New Roman"/>
                <w:sz w:val="24"/>
              </w:rPr>
              <w:t>本次验收变动评价根据</w:t>
            </w:r>
            <w:r>
              <w:rPr>
                <w:rFonts w:hint="eastAsia" w:ascii="Times New Roman" w:hAnsi="Times New Roman" w:cs="Times New Roman" w:eastAsiaTheme="minorEastAsia"/>
                <w:sz w:val="24"/>
                <w:szCs w:val="24"/>
                <w:highlight w:val="none"/>
                <w:lang w:val="en-US" w:eastAsia="zh-CN"/>
              </w:rPr>
              <w:t>《污染影响类建设项目重大变动清单（试行）》</w:t>
            </w:r>
            <w:r>
              <w:rPr>
                <w:rFonts w:hint="eastAsia" w:ascii="Times New Roman" w:hAnsi="Times New Roman" w:cs="Times New Roman"/>
                <w:sz w:val="24"/>
              </w:rPr>
              <w:t>，具体项目建设变更情况见下表。</w:t>
            </w:r>
          </w:p>
          <w:p w14:paraId="34047B1D">
            <w:pPr>
              <w:widowControl/>
              <w:adjustRightInd w:val="0"/>
              <w:snapToGrid w:val="0"/>
              <w:spacing w:line="500" w:lineRule="exact"/>
              <w:jc w:val="center"/>
              <w:rPr>
                <w:rFonts w:ascii="Times New Roman" w:hAnsi="Times New Roman" w:cs="Times New Roman"/>
                <w:sz w:val="24"/>
              </w:rPr>
            </w:pPr>
            <w:r>
              <w:rPr>
                <w:rFonts w:ascii="Times New Roman" w:hAnsi="Times New Roman" w:cs="Times New Roman"/>
                <w:b/>
                <w:color w:val="000000"/>
                <w:kern w:val="0"/>
                <w:sz w:val="24"/>
                <w:lang w:bidi="ar"/>
              </w:rPr>
              <w:t>表</w:t>
            </w:r>
            <w:r>
              <w:rPr>
                <w:rFonts w:hint="eastAsia" w:ascii="Times New Roman" w:hAnsi="Times New Roman" w:cs="Times New Roman"/>
                <w:b/>
                <w:color w:val="000000"/>
                <w:kern w:val="0"/>
                <w:sz w:val="24"/>
                <w:lang w:bidi="ar"/>
              </w:rPr>
              <w:t>2-6项目建设变更情况</w:t>
            </w:r>
            <w:r>
              <w:rPr>
                <w:rFonts w:ascii="Times New Roman" w:hAnsi="Times New Roman" w:cs="Times New Roman"/>
                <w:b/>
                <w:color w:val="000000"/>
                <w:kern w:val="0"/>
                <w:sz w:val="24"/>
                <w:lang w:bidi="ar"/>
              </w:rPr>
              <w:t>一览表</w:t>
            </w:r>
          </w:p>
          <w:tbl>
            <w:tblPr>
              <w:tblStyle w:val="3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
              <w:gridCol w:w="720"/>
              <w:gridCol w:w="2641"/>
              <w:gridCol w:w="2730"/>
              <w:gridCol w:w="1605"/>
              <w:gridCol w:w="932"/>
            </w:tblGrid>
            <w:tr w14:paraId="26885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79D54E8B">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序号</w:t>
                  </w:r>
                </w:p>
              </w:tc>
              <w:tc>
                <w:tcPr>
                  <w:tcW w:w="720" w:type="dxa"/>
                  <w:vAlign w:val="center"/>
                </w:tcPr>
                <w:p w14:paraId="40DB4DCE">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类别</w:t>
                  </w:r>
                </w:p>
              </w:tc>
              <w:tc>
                <w:tcPr>
                  <w:tcW w:w="2641" w:type="dxa"/>
                  <w:vAlign w:val="center"/>
                </w:tcPr>
                <w:p w14:paraId="08A839DA">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拟建设</w:t>
                  </w:r>
                </w:p>
              </w:tc>
              <w:tc>
                <w:tcPr>
                  <w:tcW w:w="2730" w:type="dxa"/>
                  <w:vAlign w:val="center"/>
                </w:tcPr>
                <w:p w14:paraId="6C3449E1">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实际建设</w:t>
                  </w:r>
                </w:p>
              </w:tc>
              <w:tc>
                <w:tcPr>
                  <w:tcW w:w="1605" w:type="dxa"/>
                  <w:vAlign w:val="center"/>
                </w:tcPr>
                <w:p w14:paraId="60DA2F55">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变动情况</w:t>
                  </w:r>
                </w:p>
              </w:tc>
              <w:tc>
                <w:tcPr>
                  <w:tcW w:w="932" w:type="dxa"/>
                  <w:vAlign w:val="center"/>
                </w:tcPr>
                <w:p w14:paraId="1D309DCC">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是否属于重大变更</w:t>
                  </w:r>
                </w:p>
              </w:tc>
            </w:tr>
            <w:tr w14:paraId="6BD0C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2FA5571C">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1</w:t>
                  </w:r>
                </w:p>
              </w:tc>
              <w:tc>
                <w:tcPr>
                  <w:tcW w:w="720" w:type="dxa"/>
                  <w:vAlign w:val="center"/>
                </w:tcPr>
                <w:p w14:paraId="594EA497">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性质</w:t>
                  </w:r>
                </w:p>
              </w:tc>
              <w:tc>
                <w:tcPr>
                  <w:tcW w:w="2641" w:type="dxa"/>
                  <w:vAlign w:val="center"/>
                </w:tcPr>
                <w:p w14:paraId="15997FC9">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eastAsia="宋体" w:cs="Times New Roman"/>
                      <w:sz w:val="21"/>
                      <w:szCs w:val="21"/>
                      <w:vertAlign w:val="baseline"/>
                      <w:lang w:val="en-US" w:eastAsia="zh-CN"/>
                    </w:rPr>
                    <w:t>新建，</w:t>
                  </w:r>
                  <w:r>
                    <w:rPr>
                      <w:rFonts w:hint="eastAsia" w:ascii="Times New Roman" w:hAnsi="Times New Roman" w:eastAsia="宋体" w:cs="Times New Roman"/>
                      <w:color w:val="000000"/>
                      <w:kern w:val="0"/>
                      <w:sz w:val="21"/>
                      <w:szCs w:val="21"/>
                      <w:lang w:val="en-US" w:eastAsia="zh-CN" w:bidi="ar"/>
                    </w:rPr>
                    <w:t>保温板生产加工车间</w:t>
                  </w:r>
                </w:p>
              </w:tc>
              <w:tc>
                <w:tcPr>
                  <w:tcW w:w="2730" w:type="dxa"/>
                  <w:vAlign w:val="center"/>
                </w:tcPr>
                <w:p w14:paraId="3E43078B">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eastAsia="宋体" w:cs="Times New Roman"/>
                      <w:sz w:val="21"/>
                      <w:szCs w:val="21"/>
                      <w:vertAlign w:val="baseline"/>
                      <w:lang w:val="en-US" w:eastAsia="zh-CN"/>
                    </w:rPr>
                    <w:t>新建，</w:t>
                  </w:r>
                  <w:r>
                    <w:rPr>
                      <w:rFonts w:hint="eastAsia" w:ascii="Times New Roman" w:hAnsi="Times New Roman" w:eastAsia="宋体" w:cs="Times New Roman"/>
                      <w:color w:val="000000"/>
                      <w:kern w:val="0"/>
                      <w:sz w:val="21"/>
                      <w:szCs w:val="21"/>
                      <w:lang w:val="en-US" w:eastAsia="zh-CN" w:bidi="ar"/>
                    </w:rPr>
                    <w:t>保温板生产加工车间</w:t>
                  </w:r>
                </w:p>
              </w:tc>
              <w:tc>
                <w:tcPr>
                  <w:tcW w:w="1605" w:type="dxa"/>
                  <w:vAlign w:val="center"/>
                </w:tcPr>
                <w:p w14:paraId="36CE97FB">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未变动。项目使用功能不变</w:t>
                  </w:r>
                </w:p>
              </w:tc>
              <w:tc>
                <w:tcPr>
                  <w:tcW w:w="932" w:type="dxa"/>
                  <w:vAlign w:val="center"/>
                </w:tcPr>
                <w:p w14:paraId="01664099">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19600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78E456B7">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2</w:t>
                  </w:r>
                </w:p>
              </w:tc>
              <w:tc>
                <w:tcPr>
                  <w:tcW w:w="720" w:type="dxa"/>
                  <w:vAlign w:val="center"/>
                </w:tcPr>
                <w:p w14:paraId="53DBC5A4">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规模</w:t>
                  </w:r>
                </w:p>
              </w:tc>
              <w:tc>
                <w:tcPr>
                  <w:tcW w:w="2641" w:type="dxa"/>
                  <w:vAlign w:val="center"/>
                </w:tcPr>
                <w:p w14:paraId="5B4D005A">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color w:val="000000"/>
                      <w:kern w:val="0"/>
                      <w:sz w:val="21"/>
                      <w:szCs w:val="21"/>
                      <w:lang w:val="en-US" w:eastAsia="zh-CN" w:bidi="ar"/>
                    </w:rPr>
                    <w:t>冷库聚氨酯保温板</w:t>
                  </w:r>
                  <w:r>
                    <w:rPr>
                      <w:rFonts w:hint="default" w:ascii="Times New Roman" w:hAnsi="Times New Roman" w:eastAsia="宋体" w:cs="Times New Roman"/>
                      <w:color w:val="000000"/>
                      <w:kern w:val="0"/>
                      <w:sz w:val="21"/>
                      <w:szCs w:val="21"/>
                      <w:lang w:val="en-US" w:eastAsia="zh-CN" w:bidi="ar"/>
                    </w:rPr>
                    <w:t>，设计最大生产规模为</w:t>
                  </w:r>
                  <w:r>
                    <w:rPr>
                      <w:rFonts w:hint="eastAsia" w:ascii="Times New Roman" w:hAnsi="Times New Roman" w:eastAsia="宋体" w:cs="Times New Roman"/>
                      <w:color w:val="000000"/>
                      <w:kern w:val="0"/>
                      <w:sz w:val="21"/>
                      <w:szCs w:val="21"/>
                      <w:lang w:val="en-US" w:eastAsia="zh-CN" w:bidi="ar"/>
                    </w:rPr>
                    <w:t>每年6万平方米（约</w:t>
                  </w:r>
                  <w:r>
                    <w:rPr>
                      <w:rFonts w:hint="eastAsia" w:ascii="Times New Roman" w:hAnsi="Times New Roman" w:eastAsia="宋体" w:cs="Times New Roman"/>
                      <w:color w:val="000000"/>
                      <w:kern w:val="0"/>
                      <w:sz w:val="21"/>
                      <w:szCs w:val="21"/>
                      <w:highlight w:val="none"/>
                      <w:lang w:val="en-US" w:eastAsia="zh-CN" w:bidi="ar"/>
                    </w:rPr>
                    <w:t>6050m</w:t>
                  </w:r>
                  <w:r>
                    <w:rPr>
                      <w:rFonts w:hint="eastAsia" w:ascii="Times New Roman" w:hAnsi="Times New Roman" w:eastAsia="宋体" w:cs="Times New Roman"/>
                      <w:color w:val="000000"/>
                      <w:kern w:val="0"/>
                      <w:sz w:val="21"/>
                      <w:szCs w:val="21"/>
                      <w:highlight w:val="none"/>
                      <w:vertAlign w:val="superscript"/>
                      <w:lang w:val="en-US" w:eastAsia="zh-CN" w:bidi="ar"/>
                    </w:rPr>
                    <w:t>3</w:t>
                  </w:r>
                  <w:r>
                    <w:rPr>
                      <w:rFonts w:hint="default" w:ascii="Times New Roman" w:hAnsi="Times New Roman" w:eastAsia="宋体" w:cs="Times New Roman"/>
                      <w:color w:val="000000"/>
                      <w:kern w:val="0"/>
                      <w:sz w:val="21"/>
                      <w:szCs w:val="21"/>
                      <w:lang w:val="en-US" w:eastAsia="zh-CN" w:bidi="ar"/>
                    </w:rPr>
                    <w:t>/a</w:t>
                  </w:r>
                  <w:r>
                    <w:rPr>
                      <w:rFonts w:hint="eastAsia" w:ascii="Times New Roman" w:hAnsi="Times New Roman" w:eastAsia="宋体" w:cs="Times New Roman"/>
                      <w:color w:val="000000"/>
                      <w:kern w:val="0"/>
                      <w:sz w:val="21"/>
                      <w:szCs w:val="21"/>
                      <w:lang w:val="en-US" w:eastAsia="zh-CN" w:bidi="ar"/>
                    </w:rPr>
                    <w:t>）</w:t>
                  </w:r>
                </w:p>
              </w:tc>
              <w:tc>
                <w:tcPr>
                  <w:tcW w:w="2730" w:type="dxa"/>
                  <w:vAlign w:val="center"/>
                </w:tcPr>
                <w:p w14:paraId="0E06F0D9">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color w:val="000000"/>
                      <w:kern w:val="0"/>
                      <w:sz w:val="21"/>
                      <w:szCs w:val="21"/>
                      <w:lang w:val="en-US" w:eastAsia="zh-CN" w:bidi="ar"/>
                    </w:rPr>
                    <w:t>冷库聚氨酯保温板</w:t>
                  </w:r>
                  <w:r>
                    <w:rPr>
                      <w:rFonts w:hint="default" w:ascii="Times New Roman" w:hAnsi="Times New Roman" w:eastAsia="宋体" w:cs="Times New Roman"/>
                      <w:color w:val="000000"/>
                      <w:kern w:val="0"/>
                      <w:sz w:val="21"/>
                      <w:szCs w:val="21"/>
                      <w:lang w:val="en-US" w:eastAsia="zh-CN" w:bidi="ar"/>
                    </w:rPr>
                    <w:t>，设计最大生产规模为</w:t>
                  </w:r>
                  <w:r>
                    <w:rPr>
                      <w:rFonts w:hint="eastAsia" w:ascii="Times New Roman" w:hAnsi="Times New Roman" w:eastAsia="宋体" w:cs="Times New Roman"/>
                      <w:color w:val="000000"/>
                      <w:kern w:val="0"/>
                      <w:sz w:val="21"/>
                      <w:szCs w:val="21"/>
                      <w:lang w:val="en-US" w:eastAsia="zh-CN" w:bidi="ar"/>
                    </w:rPr>
                    <w:t>每年6万平方米（约</w:t>
                  </w:r>
                  <w:r>
                    <w:rPr>
                      <w:rFonts w:hint="eastAsia" w:ascii="Times New Roman" w:hAnsi="Times New Roman" w:eastAsia="宋体" w:cs="Times New Roman"/>
                      <w:color w:val="000000"/>
                      <w:kern w:val="0"/>
                      <w:sz w:val="21"/>
                      <w:szCs w:val="21"/>
                      <w:highlight w:val="none"/>
                      <w:lang w:val="en-US" w:eastAsia="zh-CN" w:bidi="ar"/>
                    </w:rPr>
                    <w:t>6050m</w:t>
                  </w:r>
                  <w:r>
                    <w:rPr>
                      <w:rFonts w:hint="eastAsia" w:ascii="Times New Roman" w:hAnsi="Times New Roman" w:eastAsia="宋体" w:cs="Times New Roman"/>
                      <w:color w:val="000000"/>
                      <w:kern w:val="0"/>
                      <w:sz w:val="21"/>
                      <w:szCs w:val="21"/>
                      <w:highlight w:val="none"/>
                      <w:vertAlign w:val="superscript"/>
                      <w:lang w:val="en-US" w:eastAsia="zh-CN" w:bidi="ar"/>
                    </w:rPr>
                    <w:t>3</w:t>
                  </w:r>
                  <w:r>
                    <w:rPr>
                      <w:rFonts w:hint="default" w:ascii="Times New Roman" w:hAnsi="Times New Roman" w:eastAsia="宋体" w:cs="Times New Roman"/>
                      <w:color w:val="000000"/>
                      <w:kern w:val="0"/>
                      <w:sz w:val="21"/>
                      <w:szCs w:val="21"/>
                      <w:lang w:val="en-US" w:eastAsia="zh-CN" w:bidi="ar"/>
                    </w:rPr>
                    <w:t>/a</w:t>
                  </w:r>
                  <w:r>
                    <w:rPr>
                      <w:rFonts w:hint="eastAsia" w:ascii="Times New Roman" w:hAnsi="Times New Roman" w:eastAsia="宋体" w:cs="Times New Roman"/>
                      <w:color w:val="000000"/>
                      <w:kern w:val="0"/>
                      <w:sz w:val="21"/>
                      <w:szCs w:val="21"/>
                      <w:lang w:val="en-US" w:eastAsia="zh-CN" w:bidi="ar"/>
                    </w:rPr>
                    <w:t>）</w:t>
                  </w:r>
                </w:p>
              </w:tc>
              <w:tc>
                <w:tcPr>
                  <w:tcW w:w="1605" w:type="dxa"/>
                  <w:vAlign w:val="center"/>
                </w:tcPr>
                <w:p w14:paraId="414D4923">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未变动。未导致污染物排放量增加</w:t>
                  </w:r>
                </w:p>
              </w:tc>
              <w:tc>
                <w:tcPr>
                  <w:tcW w:w="932" w:type="dxa"/>
                  <w:vAlign w:val="center"/>
                </w:tcPr>
                <w:p w14:paraId="3F8190D9">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0688B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289D2925">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3</w:t>
                  </w:r>
                </w:p>
              </w:tc>
              <w:tc>
                <w:tcPr>
                  <w:tcW w:w="720" w:type="dxa"/>
                  <w:vAlign w:val="center"/>
                </w:tcPr>
                <w:p w14:paraId="78389187">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地点</w:t>
                  </w:r>
                </w:p>
              </w:tc>
              <w:tc>
                <w:tcPr>
                  <w:tcW w:w="2641" w:type="dxa"/>
                  <w:vAlign w:val="center"/>
                </w:tcPr>
                <w:p w14:paraId="19C452FF">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Cs/>
                      <w:sz w:val="21"/>
                      <w:szCs w:val="21"/>
                      <w:highlight w:val="none"/>
                      <w:lang w:val="en-US" w:eastAsia="zh-CN"/>
                    </w:rPr>
                    <w:t>澄迈县老城</w:t>
                  </w:r>
                  <w:r>
                    <w:rPr>
                      <w:rFonts w:hint="eastAsia" w:ascii="Times New Roman" w:hAnsi="Times New Roman" w:eastAsia="宋体" w:cs="Times New Roman"/>
                      <w:bCs/>
                      <w:sz w:val="21"/>
                      <w:szCs w:val="21"/>
                      <w:highlight w:val="none"/>
                      <w:lang w:val="en-US" w:eastAsia="zh-CN"/>
                    </w:rPr>
                    <w:t>科技新城</w:t>
                  </w:r>
                  <w:r>
                    <w:rPr>
                      <w:rFonts w:hint="default" w:ascii="Times New Roman" w:hAnsi="Times New Roman" w:eastAsia="宋体" w:cs="Times New Roman"/>
                      <w:bCs/>
                      <w:sz w:val="21"/>
                      <w:szCs w:val="21"/>
                      <w:highlight w:val="none"/>
                      <w:lang w:val="en-US" w:eastAsia="zh-CN"/>
                    </w:rPr>
                    <w:t>南一环路与美朗南路交汇处西北侧</w:t>
                  </w:r>
                  <w:r>
                    <w:rPr>
                      <w:rFonts w:hint="eastAsia" w:ascii="Times New Roman" w:hAnsi="Times New Roman" w:eastAsia="宋体" w:cs="Times New Roman"/>
                      <w:bCs/>
                      <w:sz w:val="21"/>
                      <w:szCs w:val="21"/>
                      <w:highlight w:val="none"/>
                      <w:lang w:val="en-US" w:eastAsia="zh-CN"/>
                    </w:rPr>
                    <w:t>，租用“海南百年新乐幕墙门窗系统工程有限公司”厂区内现有厂房</w:t>
                  </w:r>
                </w:p>
              </w:tc>
              <w:tc>
                <w:tcPr>
                  <w:tcW w:w="2730" w:type="dxa"/>
                  <w:vAlign w:val="center"/>
                </w:tcPr>
                <w:p w14:paraId="72DBC0ED">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bCs/>
                      <w:sz w:val="21"/>
                      <w:szCs w:val="21"/>
                      <w:highlight w:val="none"/>
                      <w:lang w:val="en-US" w:eastAsia="zh-CN"/>
                    </w:rPr>
                    <w:t>澄迈县老城</w:t>
                  </w:r>
                  <w:r>
                    <w:rPr>
                      <w:rFonts w:hint="eastAsia" w:ascii="Times New Roman" w:hAnsi="Times New Roman" w:eastAsia="宋体" w:cs="Times New Roman"/>
                      <w:bCs/>
                      <w:sz w:val="21"/>
                      <w:szCs w:val="21"/>
                      <w:highlight w:val="none"/>
                      <w:lang w:val="en-US" w:eastAsia="zh-CN"/>
                    </w:rPr>
                    <w:t>科技新城</w:t>
                  </w:r>
                  <w:r>
                    <w:rPr>
                      <w:rFonts w:hint="default" w:ascii="Times New Roman" w:hAnsi="Times New Roman" w:eastAsia="宋体" w:cs="Times New Roman"/>
                      <w:bCs/>
                      <w:sz w:val="21"/>
                      <w:szCs w:val="21"/>
                      <w:highlight w:val="none"/>
                      <w:lang w:val="en-US" w:eastAsia="zh-CN"/>
                    </w:rPr>
                    <w:t>南一环路与美朗南路交汇处西北侧</w:t>
                  </w:r>
                  <w:r>
                    <w:rPr>
                      <w:rFonts w:hint="eastAsia" w:ascii="Times New Roman" w:hAnsi="Times New Roman" w:eastAsia="宋体" w:cs="Times New Roman"/>
                      <w:bCs/>
                      <w:sz w:val="21"/>
                      <w:szCs w:val="21"/>
                      <w:highlight w:val="none"/>
                      <w:lang w:val="en-US" w:eastAsia="zh-CN"/>
                    </w:rPr>
                    <w:t>租用“海南百年新乐幕墙门窗系统工程有限公司”厂区内现有厂房</w:t>
                  </w:r>
                </w:p>
              </w:tc>
              <w:tc>
                <w:tcPr>
                  <w:tcW w:w="1605" w:type="dxa"/>
                  <w:vAlign w:val="center"/>
                </w:tcPr>
                <w:p w14:paraId="6A645A5B">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未变动。未重新选址</w:t>
                  </w:r>
                </w:p>
              </w:tc>
              <w:tc>
                <w:tcPr>
                  <w:tcW w:w="932" w:type="dxa"/>
                  <w:vAlign w:val="center"/>
                </w:tcPr>
                <w:p w14:paraId="5C9286C8">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1AFC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Align w:val="center"/>
                </w:tcPr>
                <w:p w14:paraId="65E1EAEB">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4</w:t>
                  </w:r>
                </w:p>
              </w:tc>
              <w:tc>
                <w:tcPr>
                  <w:tcW w:w="720" w:type="dxa"/>
                  <w:vAlign w:val="center"/>
                </w:tcPr>
                <w:p w14:paraId="3723F6D4">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生产工艺</w:t>
                  </w:r>
                </w:p>
              </w:tc>
              <w:tc>
                <w:tcPr>
                  <w:tcW w:w="2641" w:type="dxa"/>
                  <w:vAlign w:val="center"/>
                </w:tcPr>
                <w:p w14:paraId="1CFC5E59">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eastAsia="宋体" w:cs="Times New Roman"/>
                      <w:sz w:val="21"/>
                      <w:szCs w:val="21"/>
                      <w:vertAlign w:val="baseline"/>
                      <w:lang w:val="en-US" w:eastAsia="zh-CN"/>
                    </w:rPr>
                    <w:t>钢板折边折弯、注塑发泡、成型修整、入库外售</w:t>
                  </w:r>
                </w:p>
              </w:tc>
              <w:tc>
                <w:tcPr>
                  <w:tcW w:w="2730" w:type="dxa"/>
                  <w:vAlign w:val="center"/>
                </w:tcPr>
                <w:p w14:paraId="080C5009">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eastAsia="宋体" w:cs="Times New Roman"/>
                      <w:sz w:val="21"/>
                      <w:szCs w:val="21"/>
                      <w:vertAlign w:val="baseline"/>
                      <w:lang w:val="en-US" w:eastAsia="zh-CN"/>
                    </w:rPr>
                    <w:t>钢板折边折弯、注塑发泡、成型修整、入库外售</w:t>
                  </w:r>
                </w:p>
              </w:tc>
              <w:tc>
                <w:tcPr>
                  <w:tcW w:w="1605" w:type="dxa"/>
                  <w:vAlign w:val="center"/>
                </w:tcPr>
                <w:p w14:paraId="4692E234">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未变动。未导致污染物排放量增加</w:t>
                  </w:r>
                </w:p>
              </w:tc>
              <w:tc>
                <w:tcPr>
                  <w:tcW w:w="932" w:type="dxa"/>
                  <w:vAlign w:val="center"/>
                </w:tcPr>
                <w:p w14:paraId="05D34519">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36EAC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restart"/>
                  <w:vAlign w:val="center"/>
                </w:tcPr>
                <w:p w14:paraId="06E52882">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5</w:t>
                  </w:r>
                </w:p>
              </w:tc>
              <w:tc>
                <w:tcPr>
                  <w:tcW w:w="720" w:type="dxa"/>
                  <w:vMerge w:val="restart"/>
                  <w:vAlign w:val="center"/>
                </w:tcPr>
                <w:p w14:paraId="623B60E2">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highlight w:val="none"/>
                      <w:vertAlign w:val="baseline"/>
                      <w:lang w:val="en-US" w:eastAsia="zh-CN"/>
                    </w:rPr>
                    <w:t>环境保护措施</w:t>
                  </w:r>
                </w:p>
              </w:tc>
              <w:tc>
                <w:tcPr>
                  <w:tcW w:w="2641" w:type="dxa"/>
                  <w:vAlign w:val="center"/>
                </w:tcPr>
                <w:p w14:paraId="2C55038C">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auto"/>
                      <w:sz w:val="21"/>
                      <w:szCs w:val="21"/>
                      <w:highlight w:val="none"/>
                      <w:lang w:val="en-US" w:eastAsia="zh-CN"/>
                    </w:rPr>
                    <w:t>无生产废水，生活污水收集至厂区三级化粪池，后接入市政污水管网，排至</w:t>
                  </w:r>
                  <w:r>
                    <w:rPr>
                      <w:rFonts w:hint="default" w:ascii="Times New Roman" w:hAnsi="Times New Roman" w:eastAsia="宋体" w:cs="Times New Roman"/>
                      <w:color w:val="auto"/>
                      <w:sz w:val="21"/>
                      <w:szCs w:val="21"/>
                      <w:highlight w:val="none"/>
                      <w:lang w:eastAsia="zh-CN"/>
                    </w:rPr>
                    <w:t>老城污水处理厂（西区）</w:t>
                  </w:r>
                  <w:r>
                    <w:rPr>
                      <w:rFonts w:hint="default" w:ascii="Times New Roman" w:hAnsi="Times New Roman" w:eastAsia="宋体" w:cs="Times New Roman"/>
                      <w:color w:val="auto"/>
                      <w:sz w:val="21"/>
                      <w:szCs w:val="21"/>
                      <w:highlight w:val="none"/>
                      <w:lang w:val="en-US" w:eastAsia="zh-CN"/>
                    </w:rPr>
                    <w:t>深度处理。</w:t>
                  </w:r>
                </w:p>
              </w:tc>
              <w:tc>
                <w:tcPr>
                  <w:tcW w:w="2730" w:type="dxa"/>
                  <w:vAlign w:val="center"/>
                </w:tcPr>
                <w:p w14:paraId="4A889E81">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auto"/>
                      <w:sz w:val="21"/>
                      <w:szCs w:val="21"/>
                      <w:highlight w:val="none"/>
                      <w:lang w:val="en-US" w:eastAsia="zh-CN"/>
                    </w:rPr>
                    <w:t>无生产废水，生活污水收集至厂区三级化粪池，后接入市政污水管网，排至</w:t>
                  </w:r>
                  <w:r>
                    <w:rPr>
                      <w:rFonts w:hint="default" w:ascii="Times New Roman" w:hAnsi="Times New Roman" w:eastAsia="宋体" w:cs="Times New Roman"/>
                      <w:color w:val="auto"/>
                      <w:sz w:val="21"/>
                      <w:szCs w:val="21"/>
                      <w:highlight w:val="none"/>
                      <w:lang w:eastAsia="zh-CN"/>
                    </w:rPr>
                    <w:t>老城污水处理厂（西区）</w:t>
                  </w:r>
                  <w:r>
                    <w:rPr>
                      <w:rFonts w:hint="default" w:ascii="Times New Roman" w:hAnsi="Times New Roman" w:eastAsia="宋体" w:cs="Times New Roman"/>
                      <w:color w:val="auto"/>
                      <w:sz w:val="21"/>
                      <w:szCs w:val="21"/>
                      <w:highlight w:val="none"/>
                      <w:lang w:val="en-US" w:eastAsia="zh-CN"/>
                    </w:rPr>
                    <w:t>深度处理。</w:t>
                  </w:r>
                </w:p>
              </w:tc>
              <w:tc>
                <w:tcPr>
                  <w:tcW w:w="1605" w:type="dxa"/>
                  <w:vAlign w:val="center"/>
                </w:tcPr>
                <w:p w14:paraId="52C164AA">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w:t>
                  </w:r>
                  <w:r>
                    <w:rPr>
                      <w:rFonts w:hint="default" w:ascii="Times New Roman" w:hAnsi="Times New Roman" w:eastAsia="宋体" w:cs="Times New Roman"/>
                      <w:color w:val="000000"/>
                      <w:sz w:val="21"/>
                      <w:szCs w:val="21"/>
                      <w:lang w:val="en-US" w:eastAsia="zh-CN"/>
                    </w:rPr>
                    <w:t>未导致大气污染物排放量增加</w:t>
                  </w:r>
                </w:p>
              </w:tc>
              <w:tc>
                <w:tcPr>
                  <w:tcW w:w="932" w:type="dxa"/>
                  <w:vAlign w:val="center"/>
                </w:tcPr>
                <w:p w14:paraId="600D2598">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5B6DD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6F4269CF">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720" w:type="dxa"/>
                  <w:vMerge w:val="continue"/>
                  <w:vAlign w:val="center"/>
                </w:tcPr>
                <w:p w14:paraId="1370446F">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41" w:type="dxa"/>
                  <w:vAlign w:val="center"/>
                </w:tcPr>
                <w:p w14:paraId="3231C9F8">
                  <w:pPr>
                    <w:keepNext w:val="0"/>
                    <w:keepLines w:val="0"/>
                    <w:pageBreakBefore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b w:val="0"/>
                      <w:bCs w:val="0"/>
                      <w:color w:val="000000"/>
                      <w:kern w:val="0"/>
                      <w:sz w:val="21"/>
                      <w:szCs w:val="21"/>
                      <w:lang w:val="en-US" w:eastAsia="zh-CN" w:bidi="ar"/>
                    </w:rPr>
                    <w:t>采用密闭发泡设备、密闭集气罩，</w:t>
                  </w:r>
                  <w:r>
                    <w:rPr>
                      <w:rFonts w:hint="default" w:ascii="Times New Roman" w:hAnsi="Times New Roman" w:eastAsia="宋体" w:cs="Times New Roman"/>
                      <w:b w:val="0"/>
                      <w:bCs w:val="0"/>
                      <w:color w:val="000000"/>
                      <w:kern w:val="0"/>
                      <w:sz w:val="21"/>
                      <w:szCs w:val="21"/>
                      <w:lang w:val="en-US" w:eastAsia="zh-CN" w:bidi="ar"/>
                    </w:rPr>
                    <w:t>发泡废气由</w:t>
                  </w:r>
                  <w:r>
                    <w:rPr>
                      <w:rFonts w:hint="eastAsia" w:ascii="Times New Roman" w:hAnsi="Times New Roman" w:eastAsia="宋体" w:cs="Times New Roman"/>
                      <w:b w:val="0"/>
                      <w:bCs w:val="0"/>
                      <w:color w:val="000000"/>
                      <w:kern w:val="0"/>
                      <w:sz w:val="21"/>
                      <w:szCs w:val="21"/>
                      <w:lang w:val="en-US" w:eastAsia="zh-CN" w:bidi="ar"/>
                    </w:rPr>
                    <w:t>密闭</w:t>
                  </w:r>
                  <w:r>
                    <w:rPr>
                      <w:rFonts w:hint="default" w:ascii="Times New Roman" w:hAnsi="Times New Roman" w:eastAsia="宋体" w:cs="Times New Roman"/>
                      <w:b w:val="0"/>
                      <w:bCs w:val="0"/>
                      <w:color w:val="000000"/>
                      <w:kern w:val="0"/>
                      <w:sz w:val="21"/>
                      <w:szCs w:val="21"/>
                      <w:lang w:val="en-US" w:eastAsia="zh-CN" w:bidi="ar"/>
                    </w:rPr>
                    <w:t>集气罩收集，经</w:t>
                  </w:r>
                  <w:r>
                    <w:rPr>
                      <w:rFonts w:hint="eastAsia" w:ascii="Times New Roman" w:hAnsi="Times New Roman" w:eastAsia="宋体" w:cs="Times New Roman"/>
                      <w:b w:val="0"/>
                      <w:bCs w:val="0"/>
                      <w:color w:val="000000"/>
                      <w:kern w:val="0"/>
                      <w:sz w:val="21"/>
                      <w:szCs w:val="21"/>
                      <w:lang w:val="en-US" w:eastAsia="zh-CN" w:bidi="ar"/>
                    </w:rPr>
                    <w:t>“二级</w:t>
                  </w:r>
                  <w:r>
                    <w:rPr>
                      <w:rFonts w:hint="default" w:ascii="Times New Roman" w:hAnsi="Times New Roman" w:eastAsia="宋体" w:cs="Times New Roman"/>
                      <w:b w:val="0"/>
                      <w:bCs w:val="0"/>
                      <w:color w:val="000000"/>
                      <w:kern w:val="0"/>
                      <w:sz w:val="21"/>
                      <w:szCs w:val="21"/>
                      <w:lang w:val="en-US" w:eastAsia="zh-CN" w:bidi="ar"/>
                    </w:rPr>
                    <w:t>活性炭吸附</w:t>
                  </w:r>
                  <w:r>
                    <w:rPr>
                      <w:rFonts w:hint="eastAsia" w:ascii="Times New Roman" w:hAnsi="Times New Roman" w:eastAsia="宋体" w:cs="Times New Roman"/>
                      <w:b w:val="0"/>
                      <w:bCs w:val="0"/>
                      <w:color w:val="000000"/>
                      <w:kern w:val="0"/>
                      <w:sz w:val="21"/>
                      <w:szCs w:val="21"/>
                      <w:lang w:val="en-US" w:eastAsia="zh-CN" w:bidi="ar"/>
                    </w:rPr>
                    <w:t>”</w:t>
                  </w:r>
                  <w:r>
                    <w:rPr>
                      <w:rFonts w:hint="default" w:ascii="Times New Roman" w:hAnsi="Times New Roman" w:eastAsia="宋体" w:cs="Times New Roman"/>
                      <w:b w:val="0"/>
                      <w:bCs w:val="0"/>
                      <w:color w:val="000000"/>
                      <w:kern w:val="0"/>
                      <w:sz w:val="21"/>
                      <w:szCs w:val="21"/>
                      <w:lang w:val="en-US" w:eastAsia="zh-CN" w:bidi="ar"/>
                    </w:rPr>
                    <w:t>后通过15m高（DA001）排气筒达标排放。</w:t>
                  </w:r>
                </w:p>
              </w:tc>
              <w:tc>
                <w:tcPr>
                  <w:tcW w:w="2730" w:type="dxa"/>
                  <w:vAlign w:val="center"/>
                </w:tcPr>
                <w:p w14:paraId="73600E22">
                  <w:pPr>
                    <w:keepNext w:val="0"/>
                    <w:keepLines w:val="0"/>
                    <w:pageBreakBefore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b w:val="0"/>
                      <w:bCs w:val="0"/>
                      <w:color w:val="000000"/>
                      <w:kern w:val="0"/>
                      <w:sz w:val="21"/>
                      <w:szCs w:val="21"/>
                      <w:lang w:val="en-US" w:eastAsia="zh-CN" w:bidi="ar"/>
                    </w:rPr>
                    <w:t>采用密闭发泡设备、密闭集气罩，</w:t>
                  </w:r>
                  <w:r>
                    <w:rPr>
                      <w:rFonts w:hint="default" w:ascii="Times New Roman" w:hAnsi="Times New Roman" w:eastAsia="宋体" w:cs="Times New Roman"/>
                      <w:b w:val="0"/>
                      <w:bCs w:val="0"/>
                      <w:color w:val="000000"/>
                      <w:kern w:val="0"/>
                      <w:sz w:val="21"/>
                      <w:szCs w:val="21"/>
                      <w:lang w:val="en-US" w:eastAsia="zh-CN" w:bidi="ar"/>
                    </w:rPr>
                    <w:t>发泡废气由</w:t>
                  </w:r>
                  <w:r>
                    <w:rPr>
                      <w:rFonts w:hint="eastAsia" w:ascii="Times New Roman" w:hAnsi="Times New Roman" w:eastAsia="宋体" w:cs="Times New Roman"/>
                      <w:b w:val="0"/>
                      <w:bCs w:val="0"/>
                      <w:color w:val="000000"/>
                      <w:kern w:val="0"/>
                      <w:sz w:val="21"/>
                      <w:szCs w:val="21"/>
                      <w:lang w:val="en-US" w:eastAsia="zh-CN" w:bidi="ar"/>
                    </w:rPr>
                    <w:t>密闭</w:t>
                  </w:r>
                  <w:r>
                    <w:rPr>
                      <w:rFonts w:hint="default" w:ascii="Times New Roman" w:hAnsi="Times New Roman" w:eastAsia="宋体" w:cs="Times New Roman"/>
                      <w:b w:val="0"/>
                      <w:bCs w:val="0"/>
                      <w:color w:val="000000"/>
                      <w:kern w:val="0"/>
                      <w:sz w:val="21"/>
                      <w:szCs w:val="21"/>
                      <w:lang w:val="en-US" w:eastAsia="zh-CN" w:bidi="ar"/>
                    </w:rPr>
                    <w:t>集气罩收集，经</w:t>
                  </w:r>
                  <w:r>
                    <w:rPr>
                      <w:rFonts w:hint="eastAsia" w:ascii="Times New Roman" w:hAnsi="Times New Roman" w:eastAsia="宋体" w:cs="Times New Roman"/>
                      <w:b w:val="0"/>
                      <w:bCs w:val="0"/>
                      <w:color w:val="000000"/>
                      <w:kern w:val="0"/>
                      <w:sz w:val="21"/>
                      <w:szCs w:val="21"/>
                      <w:lang w:val="en-US" w:eastAsia="zh-CN" w:bidi="ar"/>
                    </w:rPr>
                    <w:t>“UV光解+二级</w:t>
                  </w:r>
                  <w:r>
                    <w:rPr>
                      <w:rFonts w:hint="default" w:ascii="Times New Roman" w:hAnsi="Times New Roman" w:eastAsia="宋体" w:cs="Times New Roman"/>
                      <w:b w:val="0"/>
                      <w:bCs w:val="0"/>
                      <w:color w:val="000000"/>
                      <w:kern w:val="0"/>
                      <w:sz w:val="21"/>
                      <w:szCs w:val="21"/>
                      <w:lang w:val="en-US" w:eastAsia="zh-CN" w:bidi="ar"/>
                    </w:rPr>
                    <w:t>活性炭吸附</w:t>
                  </w:r>
                  <w:r>
                    <w:rPr>
                      <w:rFonts w:hint="eastAsia" w:ascii="Times New Roman" w:hAnsi="Times New Roman" w:eastAsia="宋体" w:cs="Times New Roman"/>
                      <w:b w:val="0"/>
                      <w:bCs w:val="0"/>
                      <w:color w:val="000000"/>
                      <w:kern w:val="0"/>
                      <w:sz w:val="21"/>
                      <w:szCs w:val="21"/>
                      <w:lang w:val="en-US" w:eastAsia="zh-CN" w:bidi="ar"/>
                    </w:rPr>
                    <w:t>”</w:t>
                  </w:r>
                  <w:r>
                    <w:rPr>
                      <w:rFonts w:hint="default" w:ascii="Times New Roman" w:hAnsi="Times New Roman" w:eastAsia="宋体" w:cs="Times New Roman"/>
                      <w:b w:val="0"/>
                      <w:bCs w:val="0"/>
                      <w:color w:val="000000"/>
                      <w:kern w:val="0"/>
                      <w:sz w:val="21"/>
                      <w:szCs w:val="21"/>
                      <w:lang w:val="en-US" w:eastAsia="zh-CN" w:bidi="ar"/>
                    </w:rPr>
                    <w:t>后通过15</w:t>
                  </w:r>
                  <w:r>
                    <w:rPr>
                      <w:rFonts w:hint="eastAsia" w:ascii="Times New Roman" w:hAnsi="Times New Roman" w:eastAsia="宋体" w:cs="Times New Roman"/>
                      <w:b w:val="0"/>
                      <w:bCs w:val="0"/>
                      <w:color w:val="000000"/>
                      <w:kern w:val="0"/>
                      <w:sz w:val="21"/>
                      <w:szCs w:val="21"/>
                      <w:lang w:val="en-US" w:eastAsia="zh-CN" w:bidi="ar"/>
                    </w:rPr>
                    <w:t>.5</w:t>
                  </w:r>
                  <w:r>
                    <w:rPr>
                      <w:rFonts w:hint="default" w:ascii="Times New Roman" w:hAnsi="Times New Roman" w:eastAsia="宋体" w:cs="Times New Roman"/>
                      <w:b w:val="0"/>
                      <w:bCs w:val="0"/>
                      <w:color w:val="000000"/>
                      <w:kern w:val="0"/>
                      <w:sz w:val="21"/>
                      <w:szCs w:val="21"/>
                      <w:lang w:val="en-US" w:eastAsia="zh-CN" w:bidi="ar"/>
                    </w:rPr>
                    <w:t>m高（DA001）排气筒达标排放。</w:t>
                  </w:r>
                </w:p>
              </w:tc>
              <w:tc>
                <w:tcPr>
                  <w:tcW w:w="1605" w:type="dxa"/>
                  <w:vAlign w:val="center"/>
                </w:tcPr>
                <w:p w14:paraId="3D277A50">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lang w:val="en-US" w:eastAsia="zh-CN"/>
                    </w:rPr>
                    <w:t>变动。</w:t>
                  </w:r>
                  <w:r>
                    <w:rPr>
                      <w:rFonts w:hint="eastAsia" w:ascii="Times New Roman" w:hAnsi="Times New Roman" w:eastAsia="宋体" w:cs="Times New Roman"/>
                      <w:kern w:val="0"/>
                      <w:sz w:val="21"/>
                      <w:szCs w:val="21"/>
                      <w:lang w:val="en-US" w:eastAsia="zh-CN"/>
                    </w:rPr>
                    <w:t>废气处理措施增加UV光解环节，处理效率增加并符合要求，污染物可达标排放。</w:t>
                  </w:r>
                  <w:r>
                    <w:rPr>
                      <w:rFonts w:hint="eastAsia" w:ascii="Times New Roman" w:cs="Times New Roman"/>
                      <w:kern w:val="0"/>
                      <w:sz w:val="21"/>
                      <w:szCs w:val="21"/>
                      <w:lang w:val="en-US" w:eastAsia="zh-CN"/>
                    </w:rPr>
                    <w:t>有利于减小环境影响，</w:t>
                  </w:r>
                  <w:r>
                    <w:rPr>
                      <w:rFonts w:hint="default" w:ascii="Times New Roman" w:hAnsi="Times New Roman" w:eastAsia="宋体" w:cs="Times New Roman"/>
                      <w:sz w:val="21"/>
                      <w:szCs w:val="21"/>
                      <w:vertAlign w:val="baseline"/>
                      <w:lang w:val="en-US" w:eastAsia="zh-CN"/>
                    </w:rPr>
                    <w:t>未导致不利环境影响加重</w:t>
                  </w:r>
                </w:p>
              </w:tc>
              <w:tc>
                <w:tcPr>
                  <w:tcW w:w="932" w:type="dxa"/>
                  <w:vAlign w:val="center"/>
                </w:tcPr>
                <w:p w14:paraId="230B88C1">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7D70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6AC2A4DF">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720" w:type="dxa"/>
                  <w:vMerge w:val="continue"/>
                  <w:vAlign w:val="center"/>
                </w:tcPr>
                <w:p w14:paraId="5EEE22D0">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41" w:type="dxa"/>
                  <w:vAlign w:val="center"/>
                </w:tcPr>
                <w:p w14:paraId="01E8AD77">
                  <w:pPr>
                    <w:keepNext w:val="0"/>
                    <w:keepLines w:val="0"/>
                    <w:pageBreakBefore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设备噪声和生产噪声，通过建设厂房车间隔音；采用低噪声的设备；设备基底座采用减振垫片；在设备连接口处采用软连接等措施，降低噪声产生及排放</w:t>
                  </w:r>
                </w:p>
              </w:tc>
              <w:tc>
                <w:tcPr>
                  <w:tcW w:w="2730" w:type="dxa"/>
                  <w:vAlign w:val="center"/>
                </w:tcPr>
                <w:p w14:paraId="655B6D75">
                  <w:pPr>
                    <w:keepNext w:val="0"/>
                    <w:keepLines w:val="0"/>
                    <w:pageBreakBefore w:val="0"/>
                    <w:kinsoku/>
                    <w:wordWrap/>
                    <w:overflowPunct/>
                    <w:topLinePunct w:val="0"/>
                    <w:autoSpaceDE/>
                    <w:autoSpaceDN/>
                    <w:bidi w:val="0"/>
                    <w:adjustRightInd w:val="0"/>
                    <w:snapToGrid w:val="0"/>
                    <w:spacing w:line="240" w:lineRule="auto"/>
                    <w:ind w:right="0" w:rightChars="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000000"/>
                      <w:kern w:val="0"/>
                      <w:sz w:val="21"/>
                      <w:szCs w:val="21"/>
                      <w:lang w:val="en-US" w:eastAsia="zh-CN" w:bidi="ar"/>
                    </w:rPr>
                    <w:t>设备噪声和生产噪声，通过建设厂房车间隔音；采用低噪声的设备；设备基底座采用减振垫片；在设备连接口处采用软连接等措施，降低噪声产生及排放</w:t>
                  </w:r>
                </w:p>
              </w:tc>
              <w:tc>
                <w:tcPr>
                  <w:tcW w:w="1605" w:type="dxa"/>
                  <w:vAlign w:val="center"/>
                </w:tcPr>
                <w:p w14:paraId="0607639C">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eastAsia="宋体" w:cs="Times New Roman"/>
                      <w:kern w:val="0"/>
                      <w:sz w:val="21"/>
                      <w:szCs w:val="21"/>
                      <w:lang w:val="en-US" w:eastAsia="zh-CN"/>
                    </w:rPr>
                    <w:t>未</w:t>
                  </w:r>
                  <w:r>
                    <w:rPr>
                      <w:rFonts w:hint="eastAsia" w:ascii="Times New Roman" w:hAnsi="Times New Roman" w:eastAsia="宋体" w:cs="Times New Roman"/>
                      <w:kern w:val="0"/>
                      <w:sz w:val="21"/>
                      <w:szCs w:val="21"/>
                      <w:lang w:val="en-US" w:eastAsia="zh-CN"/>
                    </w:rPr>
                    <w:t>变动</w:t>
                  </w:r>
                  <w:r>
                    <w:rPr>
                      <w:rFonts w:hint="eastAsia" w:ascii="Times New Roman" w:eastAsia="宋体" w:cs="Times New Roman"/>
                      <w:kern w:val="0"/>
                      <w:sz w:val="21"/>
                      <w:szCs w:val="21"/>
                      <w:lang w:val="en-US" w:eastAsia="zh-CN"/>
                    </w:rPr>
                    <w:t>。</w:t>
                  </w:r>
                  <w:r>
                    <w:rPr>
                      <w:rFonts w:hint="default" w:ascii="Times New Roman" w:hAnsi="Times New Roman" w:eastAsia="宋体" w:cs="Times New Roman"/>
                      <w:sz w:val="21"/>
                      <w:szCs w:val="21"/>
                      <w:vertAlign w:val="baseline"/>
                      <w:lang w:val="en-US" w:eastAsia="zh-CN"/>
                    </w:rPr>
                    <w:t>未导致不利环境影响加重</w:t>
                  </w:r>
                </w:p>
              </w:tc>
              <w:tc>
                <w:tcPr>
                  <w:tcW w:w="932" w:type="dxa"/>
                  <w:vAlign w:val="center"/>
                </w:tcPr>
                <w:p w14:paraId="1EF47233">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r w14:paraId="1CD4E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43" w:type="dxa"/>
                  <w:vMerge w:val="continue"/>
                  <w:vAlign w:val="center"/>
                </w:tcPr>
                <w:p w14:paraId="0D9644A7">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720" w:type="dxa"/>
                  <w:vMerge w:val="continue"/>
                  <w:vAlign w:val="center"/>
                </w:tcPr>
                <w:p w14:paraId="29124831">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2641" w:type="dxa"/>
                  <w:vAlign w:val="center"/>
                </w:tcPr>
                <w:p w14:paraId="4D34A474">
                  <w:pPr>
                    <w:keepNext w:val="0"/>
                    <w:keepLines w:val="0"/>
                    <w:pageBreakBefore w:val="0"/>
                    <w:widowControl/>
                    <w:suppressLineNumbers w:val="0"/>
                    <w:kinsoku/>
                    <w:wordWrap/>
                    <w:overflowPunct/>
                    <w:topLinePunct w:val="0"/>
                    <w:autoSpaceDE/>
                    <w:autoSpaceDN/>
                    <w:bidi w:val="0"/>
                    <w:adjustRightInd w:val="0"/>
                    <w:snapToGrid w:val="0"/>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员工生活垃圾自行收集</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交由当地环卫部门清运；</w:t>
                  </w:r>
                  <w:r>
                    <w:rPr>
                      <w:rFonts w:hint="eastAsia" w:ascii="Times New Roman" w:hAnsi="Times New Roman" w:eastAsia="宋体" w:cs="Times New Roman"/>
                      <w:color w:val="000000"/>
                      <w:kern w:val="0"/>
                      <w:sz w:val="21"/>
                      <w:szCs w:val="21"/>
                      <w:lang w:val="en-US" w:eastAsia="zh-CN" w:bidi="ar"/>
                    </w:rPr>
                    <w:t>废</w:t>
                  </w:r>
                  <w:r>
                    <w:rPr>
                      <w:rFonts w:hint="eastAsia" w:ascii="宋体" w:hAnsi="宋体" w:eastAsia="宋体" w:cs="宋体"/>
                      <w:color w:val="000000"/>
                      <w:kern w:val="0"/>
                      <w:sz w:val="21"/>
                      <w:szCs w:val="21"/>
                      <w:lang w:val="en-US" w:eastAsia="zh-CN" w:bidi="ar"/>
                    </w:rPr>
                    <w:t>发泡料和</w:t>
                  </w:r>
                  <w:r>
                    <w:rPr>
                      <w:rFonts w:hint="eastAsia" w:ascii="Times New Roman" w:hAnsi="Times New Roman" w:eastAsia="宋体" w:cs="Times New Roman"/>
                      <w:color w:val="000000"/>
                      <w:sz w:val="21"/>
                      <w:szCs w:val="21"/>
                      <w:lang w:val="en-US" w:eastAsia="zh-CN"/>
                    </w:rPr>
                    <w:t>废边角料分类收集至一般固废暂存间，外售废品回收公司；危险废物（废机油、废活性炭）等分类收集暂存于危废间，交由资质单位处置。</w:t>
                  </w:r>
                </w:p>
              </w:tc>
              <w:tc>
                <w:tcPr>
                  <w:tcW w:w="2730" w:type="dxa"/>
                  <w:vAlign w:val="center"/>
                </w:tcPr>
                <w:p w14:paraId="3AD7E96D">
                  <w:pPr>
                    <w:keepNext w:val="0"/>
                    <w:keepLines w:val="0"/>
                    <w:pageBreakBefore w:val="0"/>
                    <w:widowControl/>
                    <w:suppressLineNumbers w:val="0"/>
                    <w:kinsoku/>
                    <w:wordWrap/>
                    <w:overflowPunct/>
                    <w:topLinePunct w:val="0"/>
                    <w:autoSpaceDE/>
                    <w:autoSpaceDN/>
                    <w:bidi w:val="0"/>
                    <w:adjustRightInd w:val="0"/>
                    <w:snapToGrid w:val="0"/>
                    <w:ind w:right="0" w:right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员工生活垃圾自行收集</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交由当地环卫部门清运；</w:t>
                  </w:r>
                  <w:r>
                    <w:rPr>
                      <w:rFonts w:hint="eastAsia" w:ascii="Times New Roman" w:hAnsi="Times New Roman" w:eastAsia="宋体" w:cs="Times New Roman"/>
                      <w:color w:val="000000"/>
                      <w:kern w:val="0"/>
                      <w:sz w:val="21"/>
                      <w:szCs w:val="21"/>
                      <w:lang w:val="en-US" w:eastAsia="zh-CN" w:bidi="ar"/>
                    </w:rPr>
                    <w:t>废</w:t>
                  </w:r>
                  <w:r>
                    <w:rPr>
                      <w:rFonts w:hint="eastAsia" w:ascii="宋体" w:hAnsi="宋体" w:eastAsia="宋体" w:cs="宋体"/>
                      <w:color w:val="000000"/>
                      <w:kern w:val="0"/>
                      <w:sz w:val="21"/>
                      <w:szCs w:val="21"/>
                      <w:lang w:val="en-US" w:eastAsia="zh-CN" w:bidi="ar"/>
                    </w:rPr>
                    <w:t>发泡料和</w:t>
                  </w:r>
                  <w:r>
                    <w:rPr>
                      <w:rFonts w:hint="eastAsia" w:ascii="Times New Roman" w:hAnsi="Times New Roman" w:eastAsia="宋体" w:cs="Times New Roman"/>
                      <w:color w:val="000000"/>
                      <w:sz w:val="21"/>
                      <w:szCs w:val="21"/>
                      <w:lang w:val="en-US" w:eastAsia="zh-CN"/>
                    </w:rPr>
                    <w:t>废边角料分类收集，外售废品回收公司；危险废物（废机油、废UV灯管、废活性炭）等分类收集暂存于危废间，交由海南腾先环保科技有限责任公司（资质单位）处置。</w:t>
                  </w:r>
                </w:p>
              </w:tc>
              <w:tc>
                <w:tcPr>
                  <w:tcW w:w="1605" w:type="dxa"/>
                  <w:vAlign w:val="center"/>
                </w:tcPr>
                <w:p w14:paraId="2D7A1F5E">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未变动。未导致不利环境影响加重。已签订危废处置协议</w:t>
                  </w:r>
                </w:p>
              </w:tc>
              <w:tc>
                <w:tcPr>
                  <w:tcW w:w="932" w:type="dxa"/>
                  <w:vAlign w:val="center"/>
                </w:tcPr>
                <w:p w14:paraId="4F82C0EA">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right="0"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不属于</w:t>
                  </w:r>
                </w:p>
              </w:tc>
            </w:tr>
          </w:tbl>
          <w:p w14:paraId="32B697BE">
            <w:pPr>
              <w:pStyle w:val="38"/>
              <w:adjustRightInd w:val="0"/>
              <w:snapToGrid w:val="0"/>
              <w:spacing w:line="500" w:lineRule="exact"/>
              <w:ind w:firstLine="480" w:firstLineChars="200"/>
              <w:rPr>
                <w:rFonts w:hint="eastAsia"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综上所述，项目实际</w:t>
            </w:r>
            <w:r>
              <w:rPr>
                <w:rFonts w:hint="eastAsia" w:ascii="Times New Roman" w:hAnsi="Times New Roman" w:eastAsia="宋体" w:cs="Times New Roman"/>
                <w:b w:val="0"/>
                <w:bCs w:val="0"/>
                <w:sz w:val="24"/>
                <w:szCs w:val="24"/>
              </w:rPr>
              <w:t>建设</w:t>
            </w:r>
            <w:r>
              <w:rPr>
                <w:rFonts w:hint="eastAsia" w:ascii="Times New Roman" w:hAnsi="Times New Roman" w:eastAsia="宋体" w:cs="Times New Roman"/>
                <w:b w:val="0"/>
                <w:bCs w:val="0"/>
                <w:sz w:val="24"/>
                <w:szCs w:val="24"/>
                <w:lang w:val="en-US" w:eastAsia="zh-CN"/>
              </w:rPr>
              <w:t>性质、</w:t>
            </w:r>
            <w:r>
              <w:rPr>
                <w:rFonts w:hint="eastAsia" w:ascii="Times New Roman" w:hAnsi="Times New Roman" w:eastAsia="宋体" w:cs="Times New Roman"/>
                <w:b w:val="0"/>
                <w:bCs w:val="0"/>
                <w:sz w:val="24"/>
                <w:szCs w:val="24"/>
              </w:rPr>
              <w:t>规模、</w:t>
            </w:r>
            <w:r>
              <w:rPr>
                <w:rFonts w:ascii="Times New Roman" w:hAnsi="Times New Roman" w:eastAsia="宋体" w:cs="Times New Roman"/>
                <w:b w:val="0"/>
                <w:bCs w:val="0"/>
                <w:sz w:val="24"/>
                <w:szCs w:val="24"/>
              </w:rPr>
              <w:t>地点、生产工艺</w:t>
            </w:r>
            <w:r>
              <w:rPr>
                <w:rFonts w:hint="eastAsia" w:ascii="Times New Roman" w:hAnsi="Times New Roman" w:eastAsia="宋体" w:cs="Times New Roman"/>
                <w:b w:val="0"/>
                <w:bCs w:val="0"/>
                <w:sz w:val="24"/>
                <w:szCs w:val="24"/>
              </w:rPr>
              <w:t>均</w:t>
            </w:r>
            <w:r>
              <w:rPr>
                <w:rFonts w:ascii="Times New Roman" w:hAnsi="Times New Roman" w:eastAsia="宋体" w:cs="Times New Roman"/>
                <w:b w:val="0"/>
                <w:bCs w:val="0"/>
                <w:sz w:val="24"/>
                <w:szCs w:val="24"/>
              </w:rPr>
              <w:t>未发生变动，</w:t>
            </w:r>
            <w:r>
              <w:rPr>
                <w:rFonts w:hint="eastAsia" w:ascii="Times New Roman" w:hAnsi="Times New Roman" w:eastAsia="宋体" w:cs="Times New Roman"/>
                <w:b w:val="0"/>
                <w:bCs w:val="0"/>
                <w:sz w:val="24"/>
                <w:szCs w:val="24"/>
                <w:lang w:val="en-US" w:eastAsia="zh-CN"/>
              </w:rPr>
              <w:t>环境保护措施变动</w:t>
            </w:r>
            <w:r>
              <w:rPr>
                <w:rFonts w:ascii="Times New Roman" w:hAnsi="Times New Roman" w:eastAsia="宋体" w:cs="Times New Roman"/>
                <w:b w:val="0"/>
                <w:bCs w:val="0"/>
                <w:sz w:val="24"/>
                <w:szCs w:val="24"/>
              </w:rPr>
              <w:t>并未导致环境不利影响加重，不属于重大变更。</w:t>
            </w:r>
            <w:r>
              <w:rPr>
                <w:rFonts w:hint="eastAsia" w:ascii="Times New Roman" w:hAnsi="Times New Roman" w:eastAsia="宋体" w:cs="Times New Roman"/>
                <w:b w:val="0"/>
                <w:bCs w:val="0"/>
                <w:sz w:val="24"/>
                <w:szCs w:val="24"/>
              </w:rPr>
              <w:t xml:space="preserve"> </w:t>
            </w:r>
          </w:p>
          <w:p w14:paraId="4130BA07">
            <w:pPr>
              <w:pStyle w:val="38"/>
              <w:adjustRightInd w:val="0"/>
              <w:snapToGrid w:val="0"/>
              <w:spacing w:line="500" w:lineRule="exact"/>
              <w:ind w:firstLine="480" w:firstLineChars="200"/>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 </w:t>
            </w:r>
          </w:p>
          <w:p w14:paraId="1E4B8592">
            <w:pPr>
              <w:rPr>
                <w:rFonts w:hint="eastAsia" w:ascii="Times New Roman" w:hAnsi="Times New Roman" w:eastAsia="宋体" w:cs="Times New Roman"/>
                <w:b w:val="0"/>
                <w:bCs w:val="0"/>
                <w:sz w:val="24"/>
                <w:szCs w:val="24"/>
                <w:lang w:val="en-US" w:eastAsia="zh-CN"/>
              </w:rPr>
            </w:pPr>
          </w:p>
          <w:p w14:paraId="3CFBB878">
            <w:pPr>
              <w:rPr>
                <w:rFonts w:hint="eastAsia" w:ascii="Times New Roman" w:hAnsi="Times New Roman" w:eastAsia="宋体" w:cs="Times New Roman"/>
                <w:b w:val="0"/>
                <w:bCs w:val="0"/>
                <w:sz w:val="24"/>
                <w:szCs w:val="24"/>
                <w:lang w:val="en-US" w:eastAsia="zh-CN"/>
              </w:rPr>
            </w:pPr>
          </w:p>
        </w:tc>
      </w:tr>
    </w:tbl>
    <w:p w14:paraId="6B2598B3">
      <w:pPr>
        <w:pStyle w:val="28"/>
        <w:adjustRightInd w:val="0"/>
        <w:snapToGrid w:val="0"/>
        <w:spacing w:after="0" w:line="500" w:lineRule="exact"/>
        <w:ind w:left="0" w:leftChars="0" w:firstLine="0"/>
        <w:outlineLvl w:val="0"/>
        <w:rPr>
          <w:b/>
          <w:bCs/>
          <w:color w:val="auto"/>
          <w:sz w:val="28"/>
          <w:szCs w:val="28"/>
        </w:rPr>
      </w:pPr>
      <w:bookmarkStart w:id="7" w:name="_Toc15627895"/>
      <w:bookmarkStart w:id="8" w:name="_Toc11202"/>
      <w:bookmarkStart w:id="9" w:name="_Toc30165"/>
      <w:r>
        <w:rPr>
          <w:rFonts w:hint="eastAsia"/>
          <w:b/>
          <w:bCs/>
          <w:color w:val="auto"/>
          <w:sz w:val="28"/>
          <w:szCs w:val="28"/>
        </w:rPr>
        <w:t>表三、主要污染物、污染物处理流程和排放流程</w:t>
      </w:r>
      <w:bookmarkEnd w:id="7"/>
      <w:bookmarkEnd w:id="8"/>
      <w:bookmarkEnd w:id="9"/>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6F197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1C5FE864">
            <w:pPr>
              <w:pStyle w:val="36"/>
              <w:snapToGrid w:val="0"/>
              <w:spacing w:line="500" w:lineRule="exact"/>
              <w:ind w:firstLine="482" w:firstLineChars="200"/>
              <w:rPr>
                <w:rFonts w:ascii="Times New Roman"/>
                <w:b/>
                <w:bCs/>
                <w:szCs w:val="24"/>
              </w:rPr>
            </w:pPr>
            <w:r>
              <w:rPr>
                <w:rFonts w:ascii="Times New Roman"/>
                <w:b/>
                <w:bCs/>
                <w:szCs w:val="24"/>
              </w:rPr>
              <w:t>1、项目主要工艺流程及产污环节</w:t>
            </w:r>
          </w:p>
          <w:p w14:paraId="648F89B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b/>
                <w:bCs/>
                <w:sz w:val="24"/>
                <w:szCs w:val="24"/>
                <w:lang w:val="en-US" w:eastAsia="zh-CN"/>
              </w:rPr>
            </w:pPr>
            <w:r>
              <w:rPr>
                <w:sz w:val="24"/>
              </w:rPr>
              <mc:AlternateContent>
                <mc:Choice Requires="wpg">
                  <w:drawing>
                    <wp:anchor distT="0" distB="0" distL="114300" distR="114300" simplePos="0" relativeHeight="251668480" behindDoc="0" locked="0" layoutInCell="1" allowOverlap="1">
                      <wp:simplePos x="0" y="0"/>
                      <wp:positionH relativeFrom="column">
                        <wp:posOffset>334010</wp:posOffset>
                      </wp:positionH>
                      <wp:positionV relativeFrom="paragraph">
                        <wp:posOffset>86360</wp:posOffset>
                      </wp:positionV>
                      <wp:extent cx="5516880" cy="2933065"/>
                      <wp:effectExtent l="0" t="0" r="7620" b="0"/>
                      <wp:wrapNone/>
                      <wp:docPr id="147" name="组合 147"/>
                      <wp:cNvGraphicFramePr/>
                      <a:graphic xmlns:a="http://schemas.openxmlformats.org/drawingml/2006/main">
                        <a:graphicData uri="http://schemas.microsoft.com/office/word/2010/wordprocessingGroup">
                          <wpg:wgp>
                            <wpg:cNvGrpSpPr/>
                            <wpg:grpSpPr>
                              <a:xfrm>
                                <a:off x="0" y="0"/>
                                <a:ext cx="5516880" cy="2933065"/>
                                <a:chOff x="7960" y="448716"/>
                                <a:chExt cx="8688" cy="4619"/>
                              </a:xfrm>
                            </wpg:grpSpPr>
                            <wpg:grpSp>
                              <wpg:cNvPr id="144" name="组合 144"/>
                              <wpg:cNvGrpSpPr/>
                              <wpg:grpSpPr>
                                <a:xfrm>
                                  <a:off x="7960" y="448716"/>
                                  <a:ext cx="8688" cy="4619"/>
                                  <a:chOff x="9859" y="316763"/>
                                  <a:chExt cx="8688" cy="4619"/>
                                </a:xfrm>
                              </wpg:grpSpPr>
                              <wpg:grpSp>
                                <wpg:cNvPr id="142" name="组合 142"/>
                                <wpg:cNvGrpSpPr/>
                                <wpg:grpSpPr>
                                  <a:xfrm>
                                    <a:off x="9979" y="316763"/>
                                    <a:ext cx="8568" cy="4619"/>
                                    <a:chOff x="9814" y="328784"/>
                                    <a:chExt cx="8568" cy="4619"/>
                                  </a:xfrm>
                                </wpg:grpSpPr>
                                <wps:wsp>
                                  <wps:cNvPr id="17" name="流程图: 过程 17"/>
                                  <wps:cNvSpPr/>
                                  <wps:spPr>
                                    <a:xfrm>
                                      <a:off x="10819" y="331395"/>
                                      <a:ext cx="1156" cy="397"/>
                                    </a:xfrm>
                                    <a:prstGeom prst="flowChartProcess">
                                      <a:avLst/>
                                    </a:prstGeom>
                                    <a:solidFill>
                                      <a:srgbClr val="FFFFFF"/>
                                    </a:solidFill>
                                    <a:ln w="9525" cap="flat" cmpd="sng">
                                      <a:solidFill>
                                        <a:srgbClr val="000000"/>
                                      </a:solidFill>
                                      <a:prstDash val="dash"/>
                                      <a:miter/>
                                      <a:headEnd type="none" w="med" len="med"/>
                                      <a:tailEnd type="none" w="med" len="med"/>
                                    </a:ln>
                                  </wps:spPr>
                                  <wps:txbx>
                                    <w:txbxContent>
                                      <w:p w14:paraId="6AF55D0D">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废边角料</w:t>
                                        </w:r>
                                      </w:p>
                                    </w:txbxContent>
                                  </wps:txbx>
                                  <wps:bodyPr lIns="78236" tIns="39118" rIns="78236" bIns="39118" upright="1"/>
                                </wps:wsp>
                                <wpg:grpSp>
                                  <wpg:cNvPr id="141" name="组合 141"/>
                                  <wpg:cNvGrpSpPr/>
                                  <wpg:grpSpPr>
                                    <a:xfrm>
                                      <a:off x="9814" y="328784"/>
                                      <a:ext cx="8568" cy="4619"/>
                                      <a:chOff x="9814" y="328784"/>
                                      <a:chExt cx="8568" cy="4619"/>
                                    </a:xfrm>
                                  </wpg:grpSpPr>
                                  <wps:wsp>
                                    <wps:cNvPr id="18" name="直接连接符 18"/>
                                    <wps:cNvCnPr/>
                                    <wps:spPr>
                                      <a:xfrm flipH="1">
                                        <a:off x="13707" y="329954"/>
                                        <a:ext cx="1" cy="454"/>
                                      </a:xfrm>
                                      <a:prstGeom prst="line">
                                        <a:avLst/>
                                      </a:prstGeom>
                                      <a:ln w="9525" cap="flat" cmpd="sng">
                                        <a:solidFill>
                                          <a:srgbClr val="000000"/>
                                        </a:solidFill>
                                        <a:prstDash val="solid"/>
                                        <a:round/>
                                        <a:headEnd type="none" w="med" len="med"/>
                                        <a:tailEnd type="triangle" w="med" len="med"/>
                                      </a:ln>
                                    </wps:spPr>
                                    <wps:bodyPr upright="1"/>
                                  </wps:wsp>
                                  <wps:wsp>
                                    <wps:cNvPr id="19" name="流程图: 过程 19"/>
                                    <wps:cNvSpPr/>
                                    <wps:spPr>
                                      <a:xfrm>
                                        <a:off x="13067" y="332129"/>
                                        <a:ext cx="1258" cy="39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23F2EF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eastAsia="宋体"/>
                                              <w:sz w:val="21"/>
                                              <w:szCs w:val="21"/>
                                              <w:lang w:val="en-US" w:eastAsia="zh-CN"/>
                                            </w:rPr>
                                            <w:t>包装入库</w:t>
                                          </w:r>
                                        </w:p>
                                      </w:txbxContent>
                                    </wps:txbx>
                                    <wps:bodyPr lIns="78236" tIns="39118" rIns="78236" bIns="39118" upright="1"/>
                                  </wps:wsp>
                                  <wps:wsp>
                                    <wps:cNvPr id="20" name="流程图: 过程 20"/>
                                    <wps:cNvSpPr/>
                                    <wps:spPr>
                                      <a:xfrm>
                                        <a:off x="14583" y="331245"/>
                                        <a:ext cx="1141" cy="397"/>
                                      </a:xfrm>
                                      <a:prstGeom prst="flowChartProcess">
                                        <a:avLst/>
                                      </a:prstGeom>
                                      <a:solidFill>
                                        <a:srgbClr val="FFFFFF"/>
                                      </a:solidFill>
                                      <a:ln w="9525" cap="flat" cmpd="sng">
                                        <a:solidFill>
                                          <a:srgbClr val="000000"/>
                                        </a:solidFill>
                                        <a:prstDash val="dash"/>
                                        <a:miter/>
                                        <a:headEnd type="none" w="med" len="med"/>
                                        <a:tailEnd type="none" w="med" len="med"/>
                                      </a:ln>
                                    </wps:spPr>
                                    <wps:txbx>
                                      <w:txbxContent>
                                        <w:p w14:paraId="5374F052">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废发泡料</w:t>
                                          </w:r>
                                        </w:p>
                                      </w:txbxContent>
                                    </wps:txbx>
                                    <wps:bodyPr lIns="78236" tIns="39118" rIns="78236" bIns="39118" upright="1"/>
                                  </wps:wsp>
                                  <wps:wsp>
                                    <wps:cNvPr id="21" name="流程图: 过程 21"/>
                                    <wps:cNvSpPr/>
                                    <wps:spPr>
                                      <a:xfrm>
                                        <a:off x="13263" y="331259"/>
                                        <a:ext cx="850" cy="39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4C1501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修整</w:t>
                                          </w:r>
                                        </w:p>
                                      </w:txbxContent>
                                    </wps:txbx>
                                    <wps:bodyPr lIns="78236" tIns="39118" rIns="78236" bIns="39118" upright="1"/>
                                  </wps:wsp>
                                  <wps:wsp>
                                    <wps:cNvPr id="22" name="流程图: 过程 22"/>
                                    <wps:cNvSpPr/>
                                    <wps:spPr>
                                      <a:xfrm>
                                        <a:off x="9814" y="330209"/>
                                        <a:ext cx="721" cy="406"/>
                                      </a:xfrm>
                                      <a:prstGeom prst="flowChartProcess">
                                        <a:avLst/>
                                      </a:prstGeom>
                                      <a:solidFill>
                                        <a:srgbClr val="FFFFFF"/>
                                      </a:solidFill>
                                      <a:ln>
                                        <a:noFill/>
                                      </a:ln>
                                    </wps:spPr>
                                    <wps:txbx>
                                      <w:txbxContent>
                                        <w:p w14:paraId="3826E375">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钢板</w:t>
                                          </w:r>
                                        </w:p>
                                      </w:txbxContent>
                                    </wps:txbx>
                                    <wps:bodyPr lIns="78236" tIns="39118" rIns="78236" bIns="39118" upright="1"/>
                                  </wps:wsp>
                                  <wps:wsp>
                                    <wps:cNvPr id="23" name="流程图: 过程 23"/>
                                    <wps:cNvSpPr/>
                                    <wps:spPr>
                                      <a:xfrm>
                                        <a:off x="10803" y="330239"/>
                                        <a:ext cx="1233" cy="73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383A3A19">
                                          <w:pPr>
                                            <w:spacing w:line="240" w:lineRule="auto"/>
                                            <w:ind w:firstLine="0" w:firstLineChars="0"/>
                                            <w:jc w:val="center"/>
                                            <w:rPr>
                                              <w:rFonts w:hint="eastAsia" w:eastAsia="宋体"/>
                                              <w:sz w:val="21"/>
                                              <w:szCs w:val="21"/>
                                              <w:lang w:val="en-US" w:eastAsia="zh-CN"/>
                                            </w:rPr>
                                          </w:pPr>
                                          <w:r>
                                            <w:rPr>
                                              <w:rFonts w:hint="eastAsia"/>
                                              <w:sz w:val="21"/>
                                              <w:szCs w:val="21"/>
                                              <w:lang w:val="en-US" w:eastAsia="zh-CN"/>
                                            </w:rPr>
                                            <w:t>折边折弯成型</w:t>
                                          </w:r>
                                        </w:p>
                                      </w:txbxContent>
                                    </wps:txbx>
                                    <wps:bodyPr lIns="78236" tIns="39118" rIns="78236" bIns="39118" upright="1"/>
                                  </wps:wsp>
                                  <wps:wsp>
                                    <wps:cNvPr id="25" name="流程图: 过程 25"/>
                                    <wps:cNvSpPr/>
                                    <wps:spPr>
                                      <a:xfrm>
                                        <a:off x="13008" y="332939"/>
                                        <a:ext cx="1384" cy="464"/>
                                      </a:xfrm>
                                      <a:prstGeom prst="flowChartProcess">
                                        <a:avLst/>
                                      </a:prstGeom>
                                      <a:noFill/>
                                      <a:ln>
                                        <a:noFill/>
                                      </a:ln>
                                    </wps:spPr>
                                    <wps:txbx>
                                      <w:txbxContent>
                                        <w:p w14:paraId="45F203D1">
                                          <w:pPr>
                                            <w:spacing w:line="240" w:lineRule="auto"/>
                                            <w:ind w:firstLine="0" w:firstLineChars="0"/>
                                            <w:jc w:val="center"/>
                                            <w:rPr>
                                              <w:rFonts w:hint="default" w:eastAsia="宋体"/>
                                              <w:sz w:val="21"/>
                                              <w:szCs w:val="21"/>
                                              <w:lang w:val="en-US" w:eastAsia="zh-CN"/>
                                            </w:rPr>
                                          </w:pPr>
                                          <w:r>
                                            <w:rPr>
                                              <w:rFonts w:hint="eastAsia" w:eastAsia="宋体"/>
                                              <w:sz w:val="21"/>
                                              <w:szCs w:val="21"/>
                                              <w:lang w:val="en-US" w:eastAsia="zh-CN"/>
                                            </w:rPr>
                                            <w:t>冷库保温板</w:t>
                                          </w:r>
                                        </w:p>
                                      </w:txbxContent>
                                    </wps:txbx>
                                    <wps:bodyPr lIns="78236" tIns="39118" rIns="78236" bIns="39118" upright="1"/>
                                  </wps:wsp>
                                  <wps:wsp>
                                    <wps:cNvPr id="26" name="流程图: 过程 26"/>
                                    <wps:cNvSpPr/>
                                    <wps:spPr>
                                      <a:xfrm>
                                        <a:off x="11058" y="329415"/>
                                        <a:ext cx="737" cy="419"/>
                                      </a:xfrm>
                                      <a:prstGeom prst="flowChartProcess">
                                        <a:avLst/>
                                      </a:prstGeom>
                                      <a:solidFill>
                                        <a:srgbClr val="FFFFFF"/>
                                      </a:solidFill>
                                      <a:ln w="9525" cap="flat" cmpd="sng">
                                        <a:solidFill>
                                          <a:srgbClr val="000000"/>
                                        </a:solidFill>
                                        <a:prstDash val="dash"/>
                                        <a:miter/>
                                        <a:headEnd type="none" w="med" len="med"/>
                                        <a:tailEnd type="none" w="med" len="med"/>
                                      </a:ln>
                                    </wps:spPr>
                                    <wps:txbx>
                                      <w:txbxContent>
                                        <w:p w14:paraId="6DE419A2">
                                          <w:pPr>
                                            <w:pStyle w:val="36"/>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噪声</w:t>
                                          </w:r>
                                        </w:p>
                                      </w:txbxContent>
                                    </wps:txbx>
                                    <wps:bodyPr lIns="78236" tIns="39118" rIns="78236" bIns="39118" upright="1"/>
                                  </wps:wsp>
                                  <wps:wsp>
                                    <wps:cNvPr id="28" name="直接连接符 28"/>
                                    <wps:cNvCnPr/>
                                    <wps:spPr>
                                      <a:xfrm>
                                        <a:off x="10357" y="330602"/>
                                        <a:ext cx="454" cy="0"/>
                                      </a:xfrm>
                                      <a:prstGeom prst="line">
                                        <a:avLst/>
                                      </a:prstGeom>
                                      <a:ln w="9525" cap="flat" cmpd="sng">
                                        <a:solidFill>
                                          <a:srgbClr val="000000"/>
                                        </a:solidFill>
                                        <a:prstDash val="solid"/>
                                        <a:round/>
                                        <a:headEnd type="none" w="med" len="med"/>
                                        <a:tailEnd type="triangle" w="med" len="med"/>
                                      </a:ln>
                                    </wps:spPr>
                                    <wps:bodyPr upright="1"/>
                                  </wps:wsp>
                                  <wps:wsp>
                                    <wps:cNvPr id="29" name="直接连接符 29"/>
                                    <wps:cNvCnPr/>
                                    <wps:spPr>
                                      <a:xfrm flipH="1">
                                        <a:off x="13717" y="329141"/>
                                        <a:ext cx="454" cy="454"/>
                                      </a:xfrm>
                                      <a:prstGeom prst="line">
                                        <a:avLst/>
                                      </a:prstGeom>
                                      <a:ln w="9525" cap="flat" cmpd="sng">
                                        <a:solidFill>
                                          <a:srgbClr val="000000"/>
                                        </a:solidFill>
                                        <a:prstDash val="solid"/>
                                        <a:round/>
                                        <a:headEnd type="none" w="med" len="med"/>
                                        <a:tailEnd type="triangle" w="med" len="med"/>
                                      </a:ln>
                                    </wps:spPr>
                                    <wps:bodyPr upright="1"/>
                                  </wps:wsp>
                                  <wps:wsp>
                                    <wps:cNvPr id="33" name="直接连接符 33"/>
                                    <wps:cNvCnPr/>
                                    <wps:spPr>
                                      <a:xfrm flipV="1">
                                        <a:off x="12037" y="330599"/>
                                        <a:ext cx="454" cy="0"/>
                                      </a:xfrm>
                                      <a:prstGeom prst="line">
                                        <a:avLst/>
                                      </a:prstGeom>
                                      <a:ln w="9525" cap="flat" cmpd="sng">
                                        <a:solidFill>
                                          <a:srgbClr val="000000"/>
                                        </a:solidFill>
                                        <a:prstDash val="solid"/>
                                        <a:round/>
                                        <a:headEnd type="none" w="med" len="med"/>
                                        <a:tailEnd type="triangle" w="med" len="med"/>
                                      </a:ln>
                                    </wps:spPr>
                                    <wps:bodyPr upright="1"/>
                                  </wps:wsp>
                                  <wps:wsp>
                                    <wps:cNvPr id="37" name="直接连接符 37"/>
                                    <wps:cNvCnPr/>
                                    <wps:spPr>
                                      <a:xfrm>
                                        <a:off x="11417" y="330986"/>
                                        <a:ext cx="1" cy="397"/>
                                      </a:xfrm>
                                      <a:prstGeom prst="line">
                                        <a:avLst/>
                                      </a:prstGeom>
                                      <a:ln w="9525" cap="flat" cmpd="sng">
                                        <a:solidFill>
                                          <a:srgbClr val="000000"/>
                                        </a:solidFill>
                                        <a:prstDash val="dash"/>
                                        <a:round/>
                                        <a:headEnd type="none" w="med" len="med"/>
                                        <a:tailEnd type="triangle" w="med" len="med"/>
                                      </a:ln>
                                    </wps:spPr>
                                    <wps:bodyPr upright="1"/>
                                  </wps:wsp>
                                  <wps:wsp>
                                    <wps:cNvPr id="38" name="直接连接符 38"/>
                                    <wps:cNvCnPr/>
                                    <wps:spPr>
                                      <a:xfrm flipV="1">
                                        <a:off x="11427" y="329837"/>
                                        <a:ext cx="1" cy="417"/>
                                      </a:xfrm>
                                      <a:prstGeom prst="line">
                                        <a:avLst/>
                                      </a:prstGeom>
                                      <a:ln w="9525" cap="flat" cmpd="sng">
                                        <a:solidFill>
                                          <a:srgbClr val="000000"/>
                                        </a:solidFill>
                                        <a:prstDash val="dash"/>
                                        <a:round/>
                                        <a:headEnd type="none" w="med" len="med"/>
                                        <a:tailEnd type="triangle" w="med" len="med"/>
                                      </a:ln>
                                    </wps:spPr>
                                    <wps:bodyPr upright="1"/>
                                  </wps:wsp>
                                  <wps:wsp>
                                    <wps:cNvPr id="39" name="流程图: 过程 39"/>
                                    <wps:cNvSpPr/>
                                    <wps:spPr>
                                      <a:xfrm>
                                        <a:off x="12483" y="330389"/>
                                        <a:ext cx="2424" cy="39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5CE6B5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eastAsia="宋体"/>
                                              <w:sz w:val="21"/>
                                              <w:szCs w:val="21"/>
                                              <w:lang w:val="en-US" w:eastAsia="zh-CN"/>
                                            </w:rPr>
                                            <w:t>注射发泡、成型</w:t>
                                          </w:r>
                                        </w:p>
                                      </w:txbxContent>
                                    </wps:txbx>
                                    <wps:bodyPr lIns="78236" tIns="39118" rIns="78236" bIns="39118" upright="1"/>
                                  </wps:wsp>
                                  <wps:wsp>
                                    <wps:cNvPr id="94" name="直接连接符 94"/>
                                    <wps:cNvCnPr/>
                                    <wps:spPr>
                                      <a:xfrm>
                                        <a:off x="13246" y="329142"/>
                                        <a:ext cx="454" cy="454"/>
                                      </a:xfrm>
                                      <a:prstGeom prst="line">
                                        <a:avLst/>
                                      </a:prstGeom>
                                      <a:ln w="9525" cap="flat" cmpd="sng">
                                        <a:solidFill>
                                          <a:srgbClr val="000000"/>
                                        </a:solidFill>
                                        <a:prstDash val="solid"/>
                                        <a:round/>
                                        <a:headEnd type="none" w="med" len="med"/>
                                        <a:tailEnd type="triangle" w="med" len="med"/>
                                      </a:ln>
                                    </wps:spPr>
                                    <wps:bodyPr upright="1"/>
                                  </wps:wsp>
                                  <wps:wsp>
                                    <wps:cNvPr id="125" name="直接连接符 125"/>
                                    <wps:cNvCnPr/>
                                    <wps:spPr>
                                      <a:xfrm flipV="1">
                                        <a:off x="14118" y="331455"/>
                                        <a:ext cx="454" cy="1"/>
                                      </a:xfrm>
                                      <a:prstGeom prst="line">
                                        <a:avLst/>
                                      </a:prstGeom>
                                      <a:ln w="9525" cap="flat" cmpd="sng">
                                        <a:solidFill>
                                          <a:srgbClr val="000000"/>
                                        </a:solidFill>
                                        <a:prstDash val="dash"/>
                                        <a:round/>
                                        <a:headEnd type="none" w="med" len="med"/>
                                        <a:tailEnd type="triangle" w="med" len="med"/>
                                      </a:ln>
                                    </wps:spPr>
                                    <wps:bodyPr upright="1"/>
                                  </wps:wsp>
                                  <wps:wsp>
                                    <wps:cNvPr id="126" name="流程图: 过程 126"/>
                                    <wps:cNvSpPr/>
                                    <wps:spPr>
                                      <a:xfrm>
                                        <a:off x="15288" y="330195"/>
                                        <a:ext cx="1247" cy="737"/>
                                      </a:xfrm>
                                      <a:prstGeom prst="flowChartProcess">
                                        <a:avLst/>
                                      </a:prstGeom>
                                      <a:solidFill>
                                        <a:srgbClr val="FFFFFF"/>
                                      </a:solidFill>
                                      <a:ln w="9525" cap="flat" cmpd="sng">
                                        <a:solidFill>
                                          <a:srgbClr val="000000"/>
                                        </a:solidFill>
                                        <a:prstDash val="dash"/>
                                        <a:miter/>
                                        <a:headEnd type="none" w="med" len="med"/>
                                        <a:tailEnd type="none" w="med" len="med"/>
                                      </a:ln>
                                    </wps:spPr>
                                    <wps:txbx>
                                      <w:txbxContent>
                                        <w:p w14:paraId="6CAD3F49">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发泡废气、塑料味</w:t>
                                          </w:r>
                                        </w:p>
                                      </w:txbxContent>
                                    </wps:txbx>
                                    <wps:bodyPr lIns="78236" tIns="39118" rIns="78236" bIns="39118" upright="1"/>
                                  </wps:wsp>
                                  <wps:wsp>
                                    <wps:cNvPr id="127" name="直接连接符 127"/>
                                    <wps:cNvCnPr/>
                                    <wps:spPr>
                                      <a:xfrm>
                                        <a:off x="14907" y="330568"/>
                                        <a:ext cx="397" cy="1"/>
                                      </a:xfrm>
                                      <a:prstGeom prst="line">
                                        <a:avLst/>
                                      </a:prstGeom>
                                      <a:ln w="9525" cap="flat" cmpd="sng">
                                        <a:solidFill>
                                          <a:srgbClr val="000000"/>
                                        </a:solidFill>
                                        <a:prstDash val="dash"/>
                                        <a:round/>
                                        <a:headEnd type="none" w="med" len="med"/>
                                        <a:tailEnd type="triangle" w="med" len="med"/>
                                      </a:ln>
                                    </wps:spPr>
                                    <wps:bodyPr upright="1"/>
                                  </wps:wsp>
                                  <wps:wsp>
                                    <wps:cNvPr id="128" name="直接连接符 128"/>
                                    <wps:cNvCnPr/>
                                    <wps:spPr>
                                      <a:xfrm flipV="1">
                                        <a:off x="16542" y="330571"/>
                                        <a:ext cx="397" cy="1"/>
                                      </a:xfrm>
                                      <a:prstGeom prst="line">
                                        <a:avLst/>
                                      </a:prstGeom>
                                      <a:ln w="9525" cap="flat" cmpd="sng">
                                        <a:solidFill>
                                          <a:srgbClr val="000000"/>
                                        </a:solidFill>
                                        <a:prstDash val="dash"/>
                                        <a:round/>
                                        <a:headEnd type="none" w="med" len="med"/>
                                        <a:tailEnd type="triangle" w="med" len="med"/>
                                      </a:ln>
                                    </wps:spPr>
                                    <wps:bodyPr upright="1"/>
                                  </wps:wsp>
                                  <wps:wsp>
                                    <wps:cNvPr id="129" name="直接连接符 129"/>
                                    <wps:cNvCnPr/>
                                    <wps:spPr>
                                      <a:xfrm flipV="1">
                                        <a:off x="17652" y="329777"/>
                                        <a:ext cx="1" cy="454"/>
                                      </a:xfrm>
                                      <a:prstGeom prst="line">
                                        <a:avLst/>
                                      </a:prstGeom>
                                      <a:ln w="9525" cap="flat" cmpd="sng">
                                        <a:solidFill>
                                          <a:srgbClr val="000000"/>
                                        </a:solidFill>
                                        <a:prstDash val="dash"/>
                                        <a:round/>
                                        <a:headEnd type="none" w="med" len="med"/>
                                        <a:tailEnd type="triangle" w="med" len="med"/>
                                      </a:ln>
                                    </wps:spPr>
                                    <wps:bodyPr upright="1"/>
                                  </wps:wsp>
                                  <wps:wsp>
                                    <wps:cNvPr id="130" name="流程图: 过程 130"/>
                                    <wps:cNvSpPr/>
                                    <wps:spPr>
                                      <a:xfrm>
                                        <a:off x="16999" y="331380"/>
                                        <a:ext cx="1304" cy="737"/>
                                      </a:xfrm>
                                      <a:prstGeom prst="flowChartProcess">
                                        <a:avLst/>
                                      </a:prstGeom>
                                      <a:solidFill>
                                        <a:srgbClr val="FFFFFF"/>
                                      </a:solidFill>
                                      <a:ln w="9525" cap="flat" cmpd="sng">
                                        <a:solidFill>
                                          <a:srgbClr val="000000"/>
                                        </a:solidFill>
                                        <a:prstDash val="dash"/>
                                        <a:miter/>
                                        <a:headEnd type="none" w="med" len="med"/>
                                        <a:tailEnd type="none" w="med" len="med"/>
                                      </a:ln>
                                    </wps:spPr>
                                    <wps:txbx>
                                      <w:txbxContent>
                                        <w:p w14:paraId="349393C3">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w:t>
                                          </w:r>
                                          <w:r>
                                            <w:rPr>
                                              <w:rFonts w:hint="eastAsia" w:ascii="Times New Roman" w:cs="Times New Roman"/>
                                              <w:sz w:val="21"/>
                                              <w:szCs w:val="21"/>
                                              <w:lang w:val="en-US" w:eastAsia="zh-CN"/>
                                            </w:rPr>
                                            <w:t>UV灯管、废</w:t>
                                          </w:r>
                                          <w:r>
                                            <w:rPr>
                                              <w:rFonts w:hint="eastAsia" w:ascii="Times New Roman" w:hAnsi="Times New Roman" w:eastAsia="宋体" w:cs="Times New Roman"/>
                                              <w:sz w:val="21"/>
                                              <w:szCs w:val="21"/>
                                              <w:lang w:val="en-US" w:eastAsia="zh-CN"/>
                                            </w:rPr>
                                            <w:t>活性炭</w:t>
                                          </w:r>
                                        </w:p>
                                      </w:txbxContent>
                                    </wps:txbx>
                                    <wps:bodyPr lIns="78236" tIns="39118" rIns="78236" bIns="39118" upright="1"/>
                                  </wps:wsp>
                                  <wps:wsp>
                                    <wps:cNvPr id="131" name="流程图: 过程 131"/>
                                    <wps:cNvSpPr/>
                                    <wps:spPr>
                                      <a:xfrm>
                                        <a:off x="13008" y="329579"/>
                                        <a:ext cx="1376" cy="39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7FA15B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发泡机混合</w:t>
                                          </w:r>
                                        </w:p>
                                      </w:txbxContent>
                                    </wps:txbx>
                                    <wps:bodyPr lIns="78236" tIns="39118" rIns="78236" bIns="39118" upright="1"/>
                                  </wps:wsp>
                                  <wps:wsp>
                                    <wps:cNvPr id="132" name="流程图: 过程 132"/>
                                    <wps:cNvSpPr/>
                                    <wps:spPr>
                                      <a:xfrm>
                                        <a:off x="12439" y="328799"/>
                                        <a:ext cx="1247" cy="406"/>
                                      </a:xfrm>
                                      <a:prstGeom prst="flowChartProcess">
                                        <a:avLst/>
                                      </a:prstGeom>
                                      <a:noFill/>
                                      <a:ln>
                                        <a:noFill/>
                                      </a:ln>
                                    </wps:spPr>
                                    <wps:txbx>
                                      <w:txbxContent>
                                        <w:p w14:paraId="19897F19">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发泡料A料</w:t>
                                          </w:r>
                                        </w:p>
                                      </w:txbxContent>
                                    </wps:txbx>
                                    <wps:bodyPr lIns="78236" tIns="39118" rIns="78236" bIns="39118" upright="1"/>
                                  </wps:wsp>
                                  <wps:wsp>
                                    <wps:cNvPr id="134" name="流程图: 过程 134"/>
                                    <wps:cNvSpPr/>
                                    <wps:spPr>
                                      <a:xfrm>
                                        <a:off x="13714" y="328784"/>
                                        <a:ext cx="1247" cy="406"/>
                                      </a:xfrm>
                                      <a:prstGeom prst="flowChartProcess">
                                        <a:avLst/>
                                      </a:prstGeom>
                                      <a:noFill/>
                                      <a:ln>
                                        <a:noFill/>
                                      </a:ln>
                                    </wps:spPr>
                                    <wps:txbx>
                                      <w:txbxContent>
                                        <w:p w14:paraId="2B1D90E9">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发泡料B料</w:t>
                                          </w:r>
                                        </w:p>
                                      </w:txbxContent>
                                    </wps:txbx>
                                    <wps:bodyPr lIns="78236" tIns="39118" rIns="78236" bIns="39118" upright="1"/>
                                  </wps:wsp>
                                  <wps:wsp>
                                    <wps:cNvPr id="135" name="直接连接符 135"/>
                                    <wps:cNvCnPr/>
                                    <wps:spPr>
                                      <a:xfrm>
                                        <a:off x="13695" y="331677"/>
                                        <a:ext cx="1" cy="454"/>
                                      </a:xfrm>
                                      <a:prstGeom prst="line">
                                        <a:avLst/>
                                      </a:prstGeom>
                                      <a:ln w="9525" cap="flat" cmpd="sng">
                                        <a:solidFill>
                                          <a:srgbClr val="000000"/>
                                        </a:solidFill>
                                        <a:prstDash val="solid"/>
                                        <a:round/>
                                        <a:headEnd type="none" w="med" len="med"/>
                                        <a:tailEnd type="triangle" w="med" len="med"/>
                                      </a:ln>
                                    </wps:spPr>
                                    <wps:bodyPr upright="1"/>
                                  </wps:wsp>
                                  <wps:wsp>
                                    <wps:cNvPr id="136" name="直接连接符 136"/>
                                    <wps:cNvCnPr/>
                                    <wps:spPr>
                                      <a:xfrm>
                                        <a:off x="13696" y="332532"/>
                                        <a:ext cx="1" cy="454"/>
                                      </a:xfrm>
                                      <a:prstGeom prst="line">
                                        <a:avLst/>
                                      </a:prstGeom>
                                      <a:ln w="9525" cap="flat" cmpd="sng">
                                        <a:solidFill>
                                          <a:srgbClr val="000000"/>
                                        </a:solidFill>
                                        <a:prstDash val="solid"/>
                                        <a:round/>
                                        <a:headEnd type="none" w="med" len="med"/>
                                        <a:tailEnd type="triangle" w="med" len="med"/>
                                      </a:ln>
                                    </wps:spPr>
                                    <wps:bodyPr upright="1"/>
                                  </wps:wsp>
                                  <wps:wsp>
                                    <wps:cNvPr id="137" name="直接连接符 137"/>
                                    <wps:cNvCnPr/>
                                    <wps:spPr>
                                      <a:xfrm flipH="1">
                                        <a:off x="13701" y="330807"/>
                                        <a:ext cx="1" cy="454"/>
                                      </a:xfrm>
                                      <a:prstGeom prst="line">
                                        <a:avLst/>
                                      </a:prstGeom>
                                      <a:ln w="9525" cap="flat" cmpd="sng">
                                        <a:solidFill>
                                          <a:srgbClr val="000000"/>
                                        </a:solidFill>
                                        <a:prstDash val="solid"/>
                                        <a:round/>
                                        <a:headEnd type="none" w="med" len="med"/>
                                        <a:tailEnd type="triangle" w="med" len="med"/>
                                      </a:ln>
                                    </wps:spPr>
                                    <wps:bodyPr upright="1"/>
                                  </wps:wsp>
                                  <wps:wsp>
                                    <wps:cNvPr id="138" name="直接连接符 138"/>
                                    <wps:cNvCnPr/>
                                    <wps:spPr>
                                      <a:xfrm flipH="1">
                                        <a:off x="17653" y="330915"/>
                                        <a:ext cx="1" cy="454"/>
                                      </a:xfrm>
                                      <a:prstGeom prst="line">
                                        <a:avLst/>
                                      </a:prstGeom>
                                      <a:ln w="9525" cap="flat" cmpd="sng">
                                        <a:solidFill>
                                          <a:srgbClr val="000000"/>
                                        </a:solidFill>
                                        <a:prstDash val="dash"/>
                                        <a:round/>
                                        <a:headEnd type="none" w="med" len="med"/>
                                        <a:tailEnd type="triangle" w="med" len="med"/>
                                      </a:ln>
                                    </wps:spPr>
                                    <wps:bodyPr upright="1"/>
                                  </wps:wsp>
                                  <wps:wsp>
                                    <wps:cNvPr id="139" name="流程图: 过程 139"/>
                                    <wps:cNvSpPr/>
                                    <wps:spPr>
                                      <a:xfrm>
                                        <a:off x="16908" y="330194"/>
                                        <a:ext cx="1474" cy="737"/>
                                      </a:xfrm>
                                      <a:prstGeom prst="flowChartProcess">
                                        <a:avLst/>
                                      </a:prstGeom>
                                      <a:noFill/>
                                      <a:ln>
                                        <a:noFill/>
                                      </a:ln>
                                    </wps:spPr>
                                    <wps:txbx>
                                      <w:txbxContent>
                                        <w:p w14:paraId="6E446197">
                                          <w:pPr>
                                            <w:spacing w:line="240" w:lineRule="auto"/>
                                            <w:ind w:firstLine="0" w:firstLineChars="0"/>
                                            <w:jc w:val="center"/>
                                            <w:rPr>
                                              <w:rFonts w:hint="default" w:eastAsia="宋体"/>
                                              <w:sz w:val="21"/>
                                              <w:szCs w:val="21"/>
                                              <w:lang w:val="en-US" w:eastAsia="zh-CN"/>
                                            </w:rPr>
                                          </w:pPr>
                                          <w:r>
                                            <w:rPr>
                                              <w:rFonts w:hint="eastAsia" w:eastAsia="宋体"/>
                                              <w:sz w:val="21"/>
                                              <w:szCs w:val="21"/>
                                              <w:lang w:val="en-US" w:eastAsia="zh-CN"/>
                                            </w:rPr>
                                            <w:t>UV光解+二级活性炭吸附</w:t>
                                          </w:r>
                                        </w:p>
                                      </w:txbxContent>
                                    </wps:txbx>
                                    <wps:bodyPr lIns="78236" tIns="39118" rIns="78236" bIns="39118" upright="1"/>
                                  </wps:wsp>
                                  <wps:wsp>
                                    <wps:cNvPr id="140" name="流程图: 过程 140"/>
                                    <wps:cNvSpPr/>
                                    <wps:spPr>
                                      <a:xfrm>
                                        <a:off x="16984" y="329340"/>
                                        <a:ext cx="1304" cy="426"/>
                                      </a:xfrm>
                                      <a:prstGeom prst="flowChartProcess">
                                        <a:avLst/>
                                      </a:prstGeom>
                                      <a:solidFill>
                                        <a:srgbClr val="FFFFFF"/>
                                      </a:solidFill>
                                      <a:ln w="9525" cap="flat" cmpd="sng">
                                        <a:solidFill>
                                          <a:srgbClr val="000000"/>
                                        </a:solidFill>
                                        <a:prstDash val="dash"/>
                                        <a:miter/>
                                        <a:headEnd type="none" w="med" len="med"/>
                                        <a:tailEnd type="none" w="med" len="med"/>
                                      </a:ln>
                                    </wps:spPr>
                                    <wps:txbx>
                                      <w:txbxContent>
                                        <w:p w14:paraId="73796E60">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DA001排放</w:t>
                                          </w:r>
                                        </w:p>
                                      </w:txbxContent>
                                    </wps:txbx>
                                    <wps:bodyPr lIns="78236" tIns="39118" rIns="78236" bIns="39118" upright="1"/>
                                  </wps:wsp>
                                </wpg:grpSp>
                              </wpg:grpSp>
                              <wps:wsp>
                                <wps:cNvPr id="143" name="流程图: 过程 143"/>
                                <wps:cNvSpPr/>
                                <wps:spPr>
                                  <a:xfrm>
                                    <a:off x="9859" y="318647"/>
                                    <a:ext cx="963" cy="406"/>
                                  </a:xfrm>
                                  <a:prstGeom prst="flowChartProcess">
                                    <a:avLst/>
                                  </a:prstGeom>
                                  <a:noFill/>
                                  <a:ln>
                                    <a:noFill/>
                                  </a:ln>
                                </wps:spPr>
                                <wps:txbx>
                                  <w:txbxContent>
                                    <w:p w14:paraId="5FA797E7">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塑料膜</w:t>
                                      </w:r>
                                    </w:p>
                                  </w:txbxContent>
                                </wps:txbx>
                                <wps:bodyPr lIns="78236" tIns="39118" rIns="78236" bIns="39118" upright="1"/>
                              </wps:wsp>
                            </wpg:grpSp>
                            <wps:wsp>
                              <wps:cNvPr id="145" name="直接连接符 145"/>
                              <wps:cNvCnPr/>
                              <wps:spPr>
                                <a:xfrm flipV="1">
                                  <a:off x="13086" y="449926"/>
                                  <a:ext cx="1" cy="389"/>
                                </a:xfrm>
                                <a:prstGeom prst="line">
                                  <a:avLst/>
                                </a:prstGeom>
                                <a:ln w="9525" cap="flat" cmpd="sng">
                                  <a:solidFill>
                                    <a:srgbClr val="000000"/>
                                  </a:solidFill>
                                  <a:prstDash val="dash"/>
                                  <a:headEnd type="none" w="med" len="med"/>
                                  <a:tailEnd type="triangle" w="med" len="med"/>
                                </a:ln>
                              </wps:spPr>
                              <wps:bodyPr upright="1"/>
                            </wps:wsp>
                            <wps:wsp>
                              <wps:cNvPr id="146" name="流程图: 过程 146"/>
                              <wps:cNvSpPr/>
                              <wps:spPr>
                                <a:xfrm>
                                  <a:off x="12729" y="449504"/>
                                  <a:ext cx="707" cy="397"/>
                                </a:xfrm>
                                <a:prstGeom prst="flowChartProcess">
                                  <a:avLst/>
                                </a:prstGeom>
                                <a:solidFill>
                                  <a:srgbClr val="FFFFFF"/>
                                </a:solidFill>
                                <a:ln w="9525" cap="flat" cmpd="sng">
                                  <a:solidFill>
                                    <a:srgbClr val="000000"/>
                                  </a:solidFill>
                                  <a:prstDash val="dash"/>
                                  <a:miter/>
                                  <a:headEnd type="none" w="med" len="med"/>
                                  <a:tailEnd type="none" w="med" len="med"/>
                                </a:ln>
                              </wps:spPr>
                              <wps:txbx>
                                <w:txbxContent>
                                  <w:p w14:paraId="5930A638">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噪声</w:t>
                                    </w:r>
                                  </w:p>
                                </w:txbxContent>
                              </wps:txbx>
                              <wps:bodyPr lIns="78236" tIns="39118" rIns="78236" bIns="39118" upright="1"/>
                            </wps:wsp>
                          </wpg:wgp>
                        </a:graphicData>
                      </a:graphic>
                    </wp:anchor>
                  </w:drawing>
                </mc:Choice>
                <mc:Fallback>
                  <w:pict>
                    <v:group id="_x0000_s1026" o:spid="_x0000_s1026" o:spt="203" style="position:absolute;left:0pt;margin-left:26.3pt;margin-top:6.8pt;height:230.95pt;width:434.4pt;z-index:251668480;mso-width-relative:page;mso-height-relative:page;" coordorigin="7960,448716" coordsize="8688,4619" o:gfxdata="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">
                      <o:lock v:ext="edit" aspectratio="f"/>
                      <v:group id="_x0000_s1026" o:spid="_x0000_s1026" o:spt="203" style="position:absolute;left:7960;top:448716;height:4619;width:8688;" coordorigin="9859,316763" coordsize="8688,4619" o:gfxdata="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kyyISvAAAANwAAAAPAAAAAAAAAAEAIAAAACIAAABkcnMvZG93bnJldi54bWxQ&#10;SwECFAAUAAAACACHTuJAMy8FnjsAAAA5AAAAFQAAAAAAAAABACAAAAALAQAAZHJzL2dyb3Vwc2hh&#10;cGV4bWwueG1sUEsFBgAAAAAGAAYAYAEAAMgDAAAAAA==&#10;">
                        <o:lock v:ext="edit" aspectratio="f"/>
                        <v:group id="_x0000_s1026" o:spid="_x0000_s1026" o:spt="203" style="position:absolute;left:9979;top:316763;height:4619;width:8568;" coordorigin="9814,328784" coordsize="8568,4619" o:gfxdata="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IRuH/27AAAA3AAAAA8AAAAAAAAAAQAgAAAAIgAAAGRycy9kb3ducmV2LnhtbFBL&#10;AQIUABQAAAAIAIdO4kAzLwWeOwAAADkAAAAVAAAAAAAAAAEAIAAAAAoBAABkcnMvZ3JvdXBzaGFw&#10;ZXhtbC54bWxQSwUGAAAAAAYABgBgAQAAxwMAAAAA&#10;">
                          <o:lock v:ext="edit" aspectratio="f"/>
                          <v:shape id="_x0000_s1026" o:spid="_x0000_s1026" o:spt="109" type="#_x0000_t109" style="position:absolute;left:10819;top:331395;height:397;width:1156;" fillcolor="#FFFFFF" filled="t" stroked="t" coordsize="21600,21600" o:gfxdata="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wAByktwAAANsAAAAP&#10;AAAAAAAAAAEAIAAAACIAAABkcnMvZG93bnJldi54bWxQSwECFAAUAAAACACHTuJAMy8FnjsAAAA5&#10;AAAAEAAAAAAAAAABACAAAAAGAQAAZHJzL3NoYXBleG1sLnhtbFBLBQYAAAAABgAGAFsBAACwAwAA&#10;AAA=&#10;">
                            <v:fill on="t" focussize="0,0"/>
                            <v:stroke color="#000000" joinstyle="miter" dashstyle="dash"/>
                            <v:imagedata o:title=""/>
                            <o:lock v:ext="edit" aspectratio="f"/>
                            <v:textbox inset="6.16031496062992pt,3.08015748031496pt,6.16031496062992pt,3.08015748031496pt">
                              <w:txbxContent>
                                <w:p w14:paraId="6AF55D0D">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废边角料</w:t>
                                  </w:r>
                                </w:p>
                              </w:txbxContent>
                            </v:textbox>
                          </v:shape>
                          <v:group id="_x0000_s1026" o:spid="_x0000_s1026" o:spt="203" style="position:absolute;left:9814;top:328784;height:4619;width:8568;" coordorigin="9814,328784" coordsize="8568,4619" o:gfxdata="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0vIGKvAAAANwAAAAPAAAAAAAAAAEAIAAAACIAAABkcnMvZG93bnJldi54bWxQ&#10;SwECFAAUAAAACACHTuJAMy8FnjsAAAA5AAAAFQAAAAAAAAABACAAAAALAQAAZHJzL2dyb3Vwc2hh&#10;cGV4bWwueG1sUEsFBgAAAAAGAAYAYAEAAMgDAAAAAA==&#10;">
                            <o:lock v:ext="edit" aspectratio="f"/>
                            <v:line id="_x0000_s1026" o:spid="_x0000_s1026" o:spt="20" style="position:absolute;left:13707;top:329954;flip:x;height:454;width:1;" filled="f" stroked="t" coordsize="21600,21600" o:gfxdata="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QTWcb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shape id="_x0000_s1026" o:spid="_x0000_s1026" o:spt="109" type="#_x0000_t109" style="position:absolute;left:13067;top:332129;height:397;width:1258;" fillcolor="#FFFFFF" filled="t" stroked="t" coordsize="21600,21600" o:gfxdata="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wk1mK5AAAA2w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inset="6.16031496062992pt,3.08015748031496pt,6.16031496062992pt,3.08015748031496pt">
                                <w:txbxContent>
                                  <w:p w14:paraId="23F2EF3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eastAsia="宋体"/>
                                        <w:sz w:val="21"/>
                                        <w:szCs w:val="21"/>
                                        <w:lang w:val="en-US" w:eastAsia="zh-CN"/>
                                      </w:rPr>
                                      <w:t>包装入库</w:t>
                                    </w:r>
                                  </w:p>
                                </w:txbxContent>
                              </v:textbox>
                            </v:shape>
                            <v:shape id="_x0000_s1026" o:spid="_x0000_s1026" o:spt="109" type="#_x0000_t109" style="position:absolute;left:14583;top:331245;height:397;width:1141;" fillcolor="#FFFFFF" filled="t" stroked="t" coordsize="21600,21600" o:gfxdata="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MYVObbUAAADbAAAADwAA&#10;AAAAAAABACAAAAAiAAAAZHJzL2Rvd25yZXYueG1sUEsBAhQAFAAAAAgAh07iQDMvBZ47AAAAOQAA&#10;ABAAAAAAAAAAAQAgAAAABAEAAGRycy9zaGFwZXhtbC54bWxQSwUGAAAAAAYABgBbAQAArgMAAAAA&#10;">
                              <v:fill on="t" focussize="0,0"/>
                              <v:stroke color="#000000" joinstyle="miter" dashstyle="dash"/>
                              <v:imagedata o:title=""/>
                              <o:lock v:ext="edit" aspectratio="f"/>
                              <v:textbox inset="6.16031496062992pt,3.08015748031496pt,6.16031496062992pt,3.08015748031496pt">
                                <w:txbxContent>
                                  <w:p w14:paraId="5374F052">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废发泡料</w:t>
                                    </w:r>
                                  </w:p>
                                </w:txbxContent>
                              </v:textbox>
                            </v:shape>
                            <v:shape id="_x0000_s1026" o:spid="_x0000_s1026" o:spt="109" type="#_x0000_t109" style="position:absolute;left:13263;top:331259;height:397;width:850;" fillcolor="#FFFFFF" filled="t" stroked="t" coordsize="21600,21600" o:gfxdata="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4Q2b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14:paraId="4C15012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修整</w:t>
                                    </w:r>
                                  </w:p>
                                </w:txbxContent>
                              </v:textbox>
                            </v:shape>
                            <v:shape id="_x0000_s1026" o:spid="_x0000_s1026" o:spt="109" type="#_x0000_t109" style="position:absolute;left:9814;top:330209;height:406;width:721;" fillcolor="#FFFFFF" filled="t" stroked="f" coordsize="21600,21600" o:gfxdata="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4R0c2/&#10;AAAA2wAAAA8AAAAAAAAAAQAgAAAAIgAAAGRycy9kb3ducmV2LnhtbFBLAQIUABQAAAAIAIdO4kAz&#10;LwWeOwAAADkAAAAQAAAAAAAAAAEAIAAAAA4BAABkcnMvc2hhcGV4bWwueG1sUEsFBgAAAAAGAAYA&#10;WwEAALgDAAAAAA==&#10;">
                              <v:fill on="t" focussize="0,0"/>
                              <v:stroke on="f"/>
                              <v:imagedata o:title=""/>
                              <o:lock v:ext="edit" aspectratio="f"/>
                              <v:textbox inset="6.16031496062992pt,3.08015748031496pt,6.16031496062992pt,3.08015748031496pt">
                                <w:txbxContent>
                                  <w:p w14:paraId="3826E375">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钢板</w:t>
                                    </w:r>
                                  </w:p>
                                </w:txbxContent>
                              </v:textbox>
                            </v:shape>
                            <v:shape id="_x0000_s1026" o:spid="_x0000_s1026" o:spt="109" type="#_x0000_t109" style="position:absolute;left:10803;top:330239;height:737;width:1233;" fillcolor="#FFFFFF" filled="t" stroked="t" coordsize="21600,21600" o:gfxdata="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OgKzW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14:paraId="383A3A19">
                                    <w:pPr>
                                      <w:spacing w:line="240" w:lineRule="auto"/>
                                      <w:ind w:firstLine="0" w:firstLineChars="0"/>
                                      <w:jc w:val="center"/>
                                      <w:rPr>
                                        <w:rFonts w:hint="eastAsia" w:eastAsia="宋体"/>
                                        <w:sz w:val="21"/>
                                        <w:szCs w:val="21"/>
                                        <w:lang w:val="en-US" w:eastAsia="zh-CN"/>
                                      </w:rPr>
                                    </w:pPr>
                                    <w:r>
                                      <w:rPr>
                                        <w:rFonts w:hint="eastAsia"/>
                                        <w:sz w:val="21"/>
                                        <w:szCs w:val="21"/>
                                        <w:lang w:val="en-US" w:eastAsia="zh-CN"/>
                                      </w:rPr>
                                      <w:t>折边折弯成型</w:t>
                                    </w:r>
                                  </w:p>
                                </w:txbxContent>
                              </v:textbox>
                            </v:shape>
                            <v:shape id="_x0000_s1026" o:spid="_x0000_s1026" o:spt="109" type="#_x0000_t109" style="position:absolute;left:13008;top:332939;height:464;width:1384;" filled="f" stroked="f" coordsize="21600,21600" o:gfxdata="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zLK1C5AAAA2wAA&#10;AA8AAAAAAAAAAQAgAAAAIgAAAGRycy9kb3ducmV2LnhtbFBLAQIUABQAAAAIAIdO4kAzLwWeOwAA&#10;ADkAAAAQAAAAAAAAAAEAIAAAAAgBAABkcnMvc2hhcGV4bWwueG1sUEsFBgAAAAAGAAYAWwEAALID&#10;AAAAAA==&#10;">
                              <v:fill on="f" focussize="0,0"/>
                              <v:stroke on="f"/>
                              <v:imagedata o:title=""/>
                              <o:lock v:ext="edit" aspectratio="f"/>
                              <v:textbox inset="6.16031496062992pt,3.08015748031496pt,6.16031496062992pt,3.08015748031496pt">
                                <w:txbxContent>
                                  <w:p w14:paraId="45F203D1">
                                    <w:pPr>
                                      <w:spacing w:line="240" w:lineRule="auto"/>
                                      <w:ind w:firstLine="0" w:firstLineChars="0"/>
                                      <w:jc w:val="center"/>
                                      <w:rPr>
                                        <w:rFonts w:hint="default" w:eastAsia="宋体"/>
                                        <w:sz w:val="21"/>
                                        <w:szCs w:val="21"/>
                                        <w:lang w:val="en-US" w:eastAsia="zh-CN"/>
                                      </w:rPr>
                                    </w:pPr>
                                    <w:r>
                                      <w:rPr>
                                        <w:rFonts w:hint="eastAsia" w:eastAsia="宋体"/>
                                        <w:sz w:val="21"/>
                                        <w:szCs w:val="21"/>
                                        <w:lang w:val="en-US" w:eastAsia="zh-CN"/>
                                      </w:rPr>
                                      <w:t>冷库保温板</w:t>
                                    </w:r>
                                  </w:p>
                                </w:txbxContent>
                              </v:textbox>
                            </v:shape>
                            <v:shape id="_x0000_s1026" o:spid="_x0000_s1026" o:spt="109" type="#_x0000_t109" style="position:absolute;left:11058;top:329415;height:419;width:737;" fillcolor="#FFFFFF" filled="t" stroked="t" coordsize="21600,21600" o:gfxdata="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Egc4K5AAAA2wAA&#10;AA8AAAAAAAAAAQAgAAAAIgAAAGRycy9kb3ducmV2LnhtbFBLAQIUABQAAAAIAIdO4kAzLwWeOwAA&#10;ADkAAAAQAAAAAAAAAAEAIAAAAAgBAABkcnMvc2hhcGV4bWwueG1sUEsFBgAAAAAGAAYAWwEAALID&#10;AAAAAA==&#10;">
                              <v:fill on="t" focussize="0,0"/>
                              <v:stroke color="#000000" joinstyle="miter" dashstyle="dash"/>
                              <v:imagedata o:title=""/>
                              <o:lock v:ext="edit" aspectratio="f"/>
                              <v:textbox inset="6.16031496062992pt,3.08015748031496pt,6.16031496062992pt,3.08015748031496pt">
                                <w:txbxContent>
                                  <w:p w14:paraId="6DE419A2">
                                    <w:pPr>
                                      <w:pStyle w:val="36"/>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噪声</w:t>
                                    </w:r>
                                  </w:p>
                                </w:txbxContent>
                              </v:textbox>
                            </v:shape>
                            <v:line id="_x0000_s1026" o:spid="_x0000_s1026" o:spt="20" style="position:absolute;left:10357;top:330602;height:0;width:454;" filled="f" stroked="t" coordsize="21600,21600" o:gfxdata="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mzOhC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_x0000_s1026" o:spid="_x0000_s1026" o:spt="20" style="position:absolute;left:13717;top:329141;flip:x;height:454;width:454;" filled="f" stroked="t" coordsize="21600,21600" o:gfxdata="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CS5V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12037;top:330599;flip:y;height:0;width:454;" filled="f" stroked="t" coordsize="21600,21600" o:gfxdata="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gVGGC/&#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11417;top:330986;height:397;width:1;" filled="f" stroked="t" coordsize="21600,21600" o:gfxdata="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y60dl&#10;wAAAANsAAAAPAAAAAAAAAAEAIAAAACIAAABkcnMvZG93bnJldi54bWxQSwECFAAUAAAACACHTuJA&#10;My8FnjsAAAA5AAAAEAAAAAAAAAABACAAAAAPAQAAZHJzL3NoYXBleG1sLnhtbFBLBQYAAAAABgAG&#10;AFsBAAC5AwAAAAA=&#10;">
                              <v:fill on="f" focussize="0,0"/>
                              <v:stroke color="#000000" joinstyle="round" dashstyle="dash" endarrow="block"/>
                              <v:imagedata o:title=""/>
                              <o:lock v:ext="edit" aspectratio="f"/>
                            </v:line>
                            <v:line id="_x0000_s1026" o:spid="_x0000_s1026" o:spt="20" style="position:absolute;left:11427;top:329837;flip:y;height:417;width:1;" filled="f" stroked="t" coordsize="21600,21600" o:gfxdata="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Bfh5VMtAAAANsAAAAPAAAA&#10;AAAAAAEAIAAAACIAAABkcnMvZG93bnJldi54bWxQSwECFAAUAAAACACHTuJAMy8FnjsAAAA5AAAA&#10;EAAAAAAAAAABACAAAAADAQAAZHJzL3NoYXBleG1sLnhtbFBLBQYAAAAABgAGAFsBAACtAwAAAAA=&#10;">
                              <v:fill on="f" focussize="0,0"/>
                              <v:stroke color="#000000" joinstyle="round" dashstyle="dash" endarrow="block"/>
                              <v:imagedata o:title=""/>
                              <o:lock v:ext="edit" aspectratio="f"/>
                            </v:line>
                            <v:shape id="_x0000_s1026" o:spid="_x0000_s1026" o:spt="109" type="#_x0000_t109" style="position:absolute;left:12483;top:330389;height:397;width:2424;" fillcolor="#FFFFFF" filled="t" stroked="t" coordsize="21600,21600" o:gfxdata="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kYoC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6.16031496062992pt,3.08015748031496pt,6.16031496062992pt,3.08015748031496pt">
                                <w:txbxContent>
                                  <w:p w14:paraId="5CE6B57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eastAsia="宋体"/>
                                        <w:sz w:val="21"/>
                                        <w:szCs w:val="21"/>
                                        <w:lang w:val="en-US" w:eastAsia="zh-CN"/>
                                      </w:rPr>
                                      <w:t>注射发泡、成型</w:t>
                                    </w:r>
                                  </w:p>
                                </w:txbxContent>
                              </v:textbox>
                            </v:shape>
                            <v:line id="_x0000_s1026" o:spid="_x0000_s1026" o:spt="20" style="position:absolute;left:13246;top:329142;height:454;width:454;" filled="f" stroked="t" coordsize="21600,21600" o:gfxdata="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tB+fK/&#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_x0000_s1026" o:spid="_x0000_s1026" o:spt="20" style="position:absolute;left:14118;top:331455;flip:y;height:1;width:454;" filled="f" stroked="t" coordsize="21600,21600" o:gfxdata="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lDE6ugAAANwA&#10;AAAPAAAAAAAAAAEAIAAAACIAAABkcnMvZG93bnJldi54bWxQSwECFAAUAAAACACHTuJAMy8FnjsA&#10;AAA5AAAAEAAAAAAAAAABACAAAAAJAQAAZHJzL3NoYXBleG1sLnhtbFBLBQYAAAAABgAGAFsBAACz&#10;AwAAAAA=&#10;">
                              <v:fill on="f" focussize="0,0"/>
                              <v:stroke color="#000000" joinstyle="round" dashstyle="dash" endarrow="block"/>
                              <v:imagedata o:title=""/>
                              <o:lock v:ext="edit" aspectratio="f"/>
                            </v:line>
                            <v:shape id="_x0000_s1026" o:spid="_x0000_s1026" o:spt="109" type="#_x0000_t109" style="position:absolute;left:15288;top:330195;height:737;width:1247;" fillcolor="#FFFFFF" filled="t" stroked="t" coordsize="21600,21600" o:gfxdata="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OOIILgAAADcAAAA&#10;DwAAAAAAAAABACAAAAAiAAAAZHJzL2Rvd25yZXYueG1sUEsBAhQAFAAAAAgAh07iQDMvBZ47AAAA&#10;OQAAABAAAAAAAAAAAQAgAAAABwEAAGRycy9zaGFwZXhtbC54bWxQSwUGAAAAAAYABgBbAQAAsQMA&#10;AAAA&#10;">
                              <v:fill on="t" focussize="0,0"/>
                              <v:stroke color="#000000" joinstyle="miter" dashstyle="dash"/>
                              <v:imagedata o:title=""/>
                              <o:lock v:ext="edit" aspectratio="f"/>
                              <v:textbox inset="6.16031496062992pt,3.08015748031496pt,6.16031496062992pt,3.08015748031496pt">
                                <w:txbxContent>
                                  <w:p w14:paraId="6CAD3F49">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发泡废气、塑料味</w:t>
                                    </w:r>
                                  </w:p>
                                </w:txbxContent>
                              </v:textbox>
                            </v:shape>
                            <v:line id="_x0000_s1026" o:spid="_x0000_s1026" o:spt="20" style="position:absolute;left:14907;top:330568;height:1;width:397;" filled="f" stroked="t" coordsize="21600,21600" o:gfxdata="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EFDCvQAA&#10;ANwAAAAPAAAAAAAAAAEAIAAAACIAAABkcnMvZG93bnJldi54bWxQSwECFAAUAAAACACHTuJAMy8F&#10;njsAAAA5AAAAEAAAAAAAAAABACAAAAAMAQAAZHJzL3NoYXBleG1sLnhtbFBLBQYAAAAABgAGAFsB&#10;AAC2AwAAAAA=&#10;">
                              <v:fill on="f" focussize="0,0"/>
                              <v:stroke color="#000000" joinstyle="round" dashstyle="dash" endarrow="block"/>
                              <v:imagedata o:title=""/>
                              <o:lock v:ext="edit" aspectratio="f"/>
                            </v:line>
                            <v:line id="_x0000_s1026" o:spid="_x0000_s1026" o:spt="20" style="position:absolute;left:16542;top:330571;flip:y;height:1;width:397;" filled="f" stroked="t" coordsize="21600,21600" o:gfxdata="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lZ6kugAAANwA&#10;AAAPAAAAAAAAAAEAIAAAACIAAABkcnMvZG93bnJldi54bWxQSwECFAAUAAAACACHTuJAMy8FnjsA&#10;AAA5AAAAEAAAAAAAAAABACAAAAAJAQAAZHJzL3NoYXBleG1sLnhtbFBLBQYAAAAABgAGAFsBAACz&#10;AwAAAAA=&#10;">
                              <v:fill on="f" focussize="0,0"/>
                              <v:stroke color="#000000" joinstyle="round" dashstyle="dash" endarrow="block"/>
                              <v:imagedata o:title=""/>
                              <o:lock v:ext="edit" aspectratio="f"/>
                            </v:line>
                            <v:line id="_x0000_s1026" o:spid="_x0000_s1026" o:spt="20" style="position:absolute;left:17652;top:329777;flip:y;height:454;width:1;" filled="f" stroked="t" coordsize="21600,21600" o:gfxdata="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S9k7P7gAAADcAAAA&#10;DwAAAAAAAAABACAAAAAiAAAAZHJzL2Rvd25yZXYueG1sUEsBAhQAFAAAAAgAh07iQDMvBZ47AAAA&#10;OQAAABAAAAAAAAAAAQAgAAAABwEAAGRycy9zaGFwZXhtbC54bWxQSwUGAAAAAAYABgBbAQAAsQMA&#10;AAAA&#10;">
                              <v:fill on="f" focussize="0,0"/>
                              <v:stroke color="#000000" joinstyle="round" dashstyle="dash" endarrow="block"/>
                              <v:imagedata o:title=""/>
                              <o:lock v:ext="edit" aspectratio="f"/>
                            </v:line>
                            <v:shape id="_x0000_s1026" o:spid="_x0000_s1026" o:spt="109" type="#_x0000_t109" style="position:absolute;left:16999;top:331380;height:737;width:1304;" fillcolor="#FFFFFF" filled="t" stroked="t" coordsize="21600,21600" o:gfxdata="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mfIxK8AAAA&#10;3AAAAA8AAAAAAAAAAQAgAAAAIgAAAGRycy9kb3ducmV2LnhtbFBLAQIUABQAAAAIAIdO4kAzLwWe&#10;OwAAADkAAAAQAAAAAAAAAAEAIAAAAAsBAABkcnMvc2hhcGV4bWwueG1sUEsFBgAAAAAGAAYAWwEA&#10;ALUDAAAAAA==&#10;">
                              <v:fill on="t" focussize="0,0"/>
                              <v:stroke color="#000000" joinstyle="miter" dashstyle="dash"/>
                              <v:imagedata o:title=""/>
                              <o:lock v:ext="edit" aspectratio="f"/>
                              <v:textbox inset="6.16031496062992pt,3.08015748031496pt,6.16031496062992pt,3.08015748031496pt">
                                <w:txbxContent>
                                  <w:p w14:paraId="349393C3">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w:t>
                                    </w:r>
                                    <w:r>
                                      <w:rPr>
                                        <w:rFonts w:hint="eastAsia" w:ascii="Times New Roman" w:cs="Times New Roman"/>
                                        <w:sz w:val="21"/>
                                        <w:szCs w:val="21"/>
                                        <w:lang w:val="en-US" w:eastAsia="zh-CN"/>
                                      </w:rPr>
                                      <w:t>UV灯管、废</w:t>
                                    </w:r>
                                    <w:r>
                                      <w:rPr>
                                        <w:rFonts w:hint="eastAsia" w:ascii="Times New Roman" w:hAnsi="Times New Roman" w:eastAsia="宋体" w:cs="Times New Roman"/>
                                        <w:sz w:val="21"/>
                                        <w:szCs w:val="21"/>
                                        <w:lang w:val="en-US" w:eastAsia="zh-CN"/>
                                      </w:rPr>
                                      <w:t>活性炭</w:t>
                                    </w:r>
                                  </w:p>
                                </w:txbxContent>
                              </v:textbox>
                            </v:shape>
                            <v:shape id="_x0000_s1026" o:spid="_x0000_s1026" o:spt="109" type="#_x0000_t109" style="position:absolute;left:13008;top:329579;height:397;width:1376;" fillcolor="#FFFFFF" filled="t" stroked="t" coordsize="21600,21600" o:gfxdata="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epxs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14:paraId="7FA15B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发泡机混合</w:t>
                                    </w:r>
                                  </w:p>
                                </w:txbxContent>
                              </v:textbox>
                            </v:shape>
                            <v:shape id="_x0000_s1026" o:spid="_x0000_s1026" o:spt="109" type="#_x0000_t109" style="position:absolute;left:12439;top:328799;height:406;width:1247;" filled="f" stroked="f" coordsize="21600,21600" o:gfxdata="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Zqu7nb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19897F19">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发泡料A料</w:t>
                                    </w:r>
                                  </w:p>
                                </w:txbxContent>
                              </v:textbox>
                            </v:shape>
                            <v:shape id="_x0000_s1026" o:spid="_x0000_s1026" o:spt="109" type="#_x0000_t109" style="position:absolute;left:13714;top:328784;height:406;width:1247;" filled="f" stroked="f" coordsize="21600,21600" o:gfxdata="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hg6Gcr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2B1D90E9">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发泡料B料</w:t>
                                    </w:r>
                                  </w:p>
                                </w:txbxContent>
                              </v:textbox>
                            </v:shape>
                            <v:line id="_x0000_s1026" o:spid="_x0000_s1026" o:spt="20" style="position:absolute;left:13695;top:331677;height:454;width:1;" filled="f" stroked="t" coordsize="21600,21600" o:gfxdata="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ppeT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13696;top:332532;height:454;width:1;" filled="f" stroked="t" coordsize="21600,21600" o:gfxdata="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IdAnk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13701;top:330807;flip:x;height:454;width:1;" filled="f" stroked="t" coordsize="21600,21600" o:gfxdata="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hqDP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17653;top:330915;flip:x;height:454;width:1;" filled="f" stroked="t" coordsize="21600,21600" o:gfxdata="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UwIebsAAADc&#10;AAAADwAAAAAAAAABACAAAAAiAAAAZHJzL2Rvd25yZXYueG1sUEsBAhQAFAAAAAgAh07iQDMvBZ47&#10;AAAAOQAAABAAAAAAAAAAAQAgAAAACgEAAGRycy9zaGFwZXhtbC54bWxQSwUGAAAAAAYABgBbAQAA&#10;tAMAAAAA&#10;">
                              <v:fill on="f" focussize="0,0"/>
                              <v:stroke color="#000000" joinstyle="round" dashstyle="dash" endarrow="block"/>
                              <v:imagedata o:title=""/>
                              <o:lock v:ext="edit" aspectratio="f"/>
                            </v:line>
                            <v:shape id="_x0000_s1026" o:spid="_x0000_s1026" o:spt="109" type="#_x0000_t109" style="position:absolute;left:16908;top:330194;height:737;width:1474;" filled="f" stroked="f" coordsize="21600,21600" o:gfxdata="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A8p7L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6E446197">
                                    <w:pPr>
                                      <w:spacing w:line="240" w:lineRule="auto"/>
                                      <w:ind w:firstLine="0" w:firstLineChars="0"/>
                                      <w:jc w:val="center"/>
                                      <w:rPr>
                                        <w:rFonts w:hint="default" w:eastAsia="宋体"/>
                                        <w:sz w:val="21"/>
                                        <w:szCs w:val="21"/>
                                        <w:lang w:val="en-US" w:eastAsia="zh-CN"/>
                                      </w:rPr>
                                    </w:pPr>
                                    <w:r>
                                      <w:rPr>
                                        <w:rFonts w:hint="eastAsia" w:eastAsia="宋体"/>
                                        <w:sz w:val="21"/>
                                        <w:szCs w:val="21"/>
                                        <w:lang w:val="en-US" w:eastAsia="zh-CN"/>
                                      </w:rPr>
                                      <w:t>UV光解+二级活性炭吸附</w:t>
                                    </w:r>
                                  </w:p>
                                </w:txbxContent>
                              </v:textbox>
                            </v:shape>
                            <v:shape id="_x0000_s1026" o:spid="_x0000_s1026" o:spt="109" type="#_x0000_t109" style="position:absolute;left:16984;top:329340;height:426;width:1304;" fillcolor="#FFFFFF" filled="t" stroked="t" coordsize="21600,21600" o:gfxdata="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GZUG+8AAAA&#10;3AAAAA8AAAAAAAAAAQAgAAAAIgAAAGRycy9kb3ducmV2LnhtbFBLAQIUABQAAAAIAIdO4kAzLwWe&#10;OwAAADkAAAAQAAAAAAAAAAEAIAAAAAsBAABkcnMvc2hhcGV4bWwueG1sUEsFBgAAAAAGAAYAWwEA&#10;ALUDAAAAAA==&#10;">
                              <v:fill on="t" focussize="0,0"/>
                              <v:stroke color="#000000" joinstyle="miter" dashstyle="dash"/>
                              <v:imagedata o:title=""/>
                              <o:lock v:ext="edit" aspectratio="f"/>
                              <v:textbox inset="6.16031496062992pt,3.08015748031496pt,6.16031496062992pt,3.08015748031496pt">
                                <w:txbxContent>
                                  <w:p w14:paraId="73796E60">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DA001排放</w:t>
                                    </w:r>
                                  </w:p>
                                </w:txbxContent>
                              </v:textbox>
                            </v:shape>
                          </v:group>
                        </v:group>
                        <v:shape id="_x0000_s1026" o:spid="_x0000_s1026" o:spt="109" type="#_x0000_t109" style="position:absolute;left:9859;top:318647;height:406;width:963;" filled="f" stroked="f" coordsize="21600,21600" o:gfxdata="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UeFte7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5FA797E7">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塑料膜</w:t>
                                </w:r>
                              </w:p>
                            </w:txbxContent>
                          </v:textbox>
                        </v:shape>
                      </v:group>
                      <v:line id="_x0000_s1026" o:spid="_x0000_s1026" o:spt="20" style="position:absolute;left:13086;top:449926;flip:y;height:389;width:1;" filled="f" stroked="t" coordsize="21600,21600" o:gfxdata="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XS9SaugAAANwA&#10;AAAPAAAAAAAAAAEAIAAAACIAAABkcnMvZG93bnJldi54bWxQSwECFAAUAAAACACHTuJAMy8FnjsA&#10;AAA5AAAAEAAAAAAAAAABACAAAAAJAQAAZHJzL3NoYXBleG1sLnhtbFBLBQYAAAAABgAGAFsBAACz&#10;AwAAAAA=&#10;">
                        <v:fill on="f" focussize="0,0"/>
                        <v:stroke color="#000000" joinstyle="round" dashstyle="dash" endarrow="block"/>
                        <v:imagedata o:title=""/>
                        <o:lock v:ext="edit" aspectratio="f"/>
                      </v:line>
                      <v:shape id="_x0000_s1026" o:spid="_x0000_s1026" o:spt="109" type="#_x0000_t109" style="position:absolute;left:12729;top:449504;height:397;width:707;" fillcolor="#FFFFFF" filled="t" stroked="t" coordsize="21600,21600" o:gfxdata="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oTxtgLgAAADcAAAA&#10;DwAAAAAAAAABACAAAAAiAAAAZHJzL2Rvd25yZXYueG1sUEsBAhQAFAAAAAgAh07iQDMvBZ47AAAA&#10;OQAAABAAAAAAAAAAAQAgAAAABwEAAGRycy9zaGFwZXhtbC54bWxQSwUGAAAAAAYABgBbAQAAsQMA&#10;AAAA&#10;">
                        <v:fill on="t" focussize="0,0"/>
                        <v:stroke color="#000000" joinstyle="miter" dashstyle="dash"/>
                        <v:imagedata o:title=""/>
                        <o:lock v:ext="edit" aspectratio="f"/>
                        <v:textbox inset="6.16031496062992pt,3.08015748031496pt,6.16031496062992pt,3.08015748031496pt">
                          <w:txbxContent>
                            <w:p w14:paraId="5930A638">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噪声</w:t>
                              </w:r>
                            </w:p>
                          </w:txbxContent>
                        </v:textbox>
                      </v:shape>
                    </v:group>
                  </w:pict>
                </mc:Fallback>
              </mc:AlternateContent>
            </w:r>
          </w:p>
          <w:p w14:paraId="348533C2">
            <w:pPr>
              <w:keepNext w:val="0"/>
              <w:keepLines w:val="0"/>
              <w:widowControl/>
              <w:suppressLineNumbers w:val="0"/>
              <w:jc w:val="center"/>
            </w:pPr>
          </w:p>
          <w:p w14:paraId="6EFFC05C">
            <w:pPr>
              <w:keepNext w:val="0"/>
              <w:keepLines w:val="0"/>
              <w:widowControl/>
              <w:suppressLineNumbers w:val="0"/>
              <w:jc w:val="left"/>
            </w:pPr>
            <w:r>
              <w:rPr>
                <w:rFonts w:hint="default" w:ascii="Times New Roman" w:hAnsi="Times New Roman" w:eastAsia="宋体" w:cs="Times New Roman"/>
                <w:b/>
                <w:bCs/>
                <w:color w:val="000000"/>
                <w:kern w:val="0"/>
                <w:sz w:val="20"/>
                <w:szCs w:val="20"/>
                <w:lang w:val="en-US" w:eastAsia="zh-CN" w:bidi="ar"/>
              </w:rPr>
              <w:t xml:space="preserve"> </w:t>
            </w:r>
          </w:p>
          <w:p w14:paraId="7C90DCE9">
            <w:pPr>
              <w:keepNext w:val="0"/>
              <w:keepLines w:val="0"/>
              <w:widowControl/>
              <w:suppressLineNumbers w:val="0"/>
              <w:jc w:val="left"/>
            </w:pPr>
            <w:r>
              <w:rPr>
                <w:rFonts w:hint="eastAsia" w:ascii="宋体" w:hAnsi="宋体" w:eastAsia="宋体" w:cs="宋体"/>
                <w:b/>
                <w:bCs/>
                <w:color w:val="000000"/>
                <w:kern w:val="0"/>
                <w:sz w:val="20"/>
                <w:szCs w:val="20"/>
                <w:lang w:val="en-US" w:eastAsia="zh-CN" w:bidi="ar"/>
              </w:rPr>
              <w:t xml:space="preserve"> </w:t>
            </w:r>
          </w:p>
          <w:p w14:paraId="0E2E38E1">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14:paraId="2A4B0577">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14:paraId="68E48C85">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14:paraId="77249244">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14:paraId="56F525F5">
            <w:pPr>
              <w:adjustRightInd w:val="0"/>
              <w:snapToGrid w:val="0"/>
              <w:jc w:val="center"/>
              <w:rPr>
                <w:rFonts w:hint="eastAsia" w:ascii="Times New Roman" w:hAnsi="Times New Roman" w:eastAsia="宋体" w:cs="Times New Roman"/>
                <w:b/>
                <w:bCs/>
                <w:color w:val="000000"/>
                <w:kern w:val="0"/>
                <w:sz w:val="24"/>
                <w:szCs w:val="24"/>
                <w:lang w:val="en-US" w:eastAsia="zh-CN" w:bidi="ar"/>
              </w:rPr>
            </w:pPr>
          </w:p>
          <w:p w14:paraId="7FA38AD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kern w:val="0"/>
                <w:sz w:val="24"/>
                <w:szCs w:val="24"/>
                <w:lang w:val="en-US" w:eastAsia="zh-CN" w:bidi="ar"/>
              </w:rPr>
            </w:pPr>
          </w:p>
          <w:p w14:paraId="346916F9">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p>
          <w:p w14:paraId="419DEE8A">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p>
          <w:p w14:paraId="75C5EAD5">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000000"/>
                <w:kern w:val="0"/>
                <w:sz w:val="24"/>
                <w:szCs w:val="24"/>
                <w:lang w:val="en-US" w:eastAsia="zh-CN" w:bidi="ar"/>
              </w:rPr>
            </w:pPr>
          </w:p>
          <w:p w14:paraId="72E4C89E">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color w:val="000000"/>
                <w:kern w:val="0"/>
                <w:sz w:val="24"/>
                <w:szCs w:val="24"/>
                <w:lang w:val="en-US" w:eastAsia="zh-CN" w:bidi="ar"/>
              </w:rPr>
              <w:t>图2-</w:t>
            </w:r>
            <w:r>
              <w:rPr>
                <w:rFonts w:hint="eastAsia" w:ascii="Times New Roman" w:hAnsi="Times New Roman" w:eastAsia="宋体" w:cs="Times New Roman"/>
                <w:b/>
                <w:bCs/>
                <w:color w:val="000000"/>
                <w:kern w:val="0"/>
                <w:sz w:val="24"/>
                <w:szCs w:val="24"/>
                <w:lang w:val="en-US" w:eastAsia="zh-CN" w:bidi="ar"/>
              </w:rPr>
              <w:t>4</w:t>
            </w:r>
            <w:r>
              <w:rPr>
                <w:rFonts w:hint="default" w:ascii="Times New Roman" w:hAnsi="Times New Roman" w:eastAsia="宋体" w:cs="Times New Roman"/>
                <w:b/>
                <w:bCs/>
                <w:color w:val="000000"/>
                <w:kern w:val="0"/>
                <w:sz w:val="24"/>
                <w:szCs w:val="24"/>
                <w:lang w:val="en-US" w:eastAsia="zh-CN" w:bidi="ar"/>
              </w:rPr>
              <w:t>项目生产工艺流程及产污节点图</w:t>
            </w:r>
          </w:p>
          <w:p w14:paraId="6F76C031">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 xml:space="preserve">工艺流程简述： </w:t>
            </w:r>
          </w:p>
          <w:p w14:paraId="613A666E">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（1）</w:t>
            </w:r>
            <w:r>
              <w:rPr>
                <w:rFonts w:hint="eastAsia" w:ascii="Times New Roman" w:hAnsi="Times New Roman" w:eastAsia="宋体" w:cs="Times New Roman"/>
                <w:color w:val="000000"/>
                <w:kern w:val="0"/>
                <w:sz w:val="24"/>
                <w:szCs w:val="24"/>
                <w:lang w:val="en-US" w:eastAsia="zh-CN" w:bidi="ar"/>
              </w:rPr>
              <w:t>面板</w:t>
            </w:r>
            <w:r>
              <w:rPr>
                <w:rFonts w:hint="default" w:ascii="Times New Roman" w:hAnsi="Times New Roman" w:eastAsia="宋体" w:cs="Times New Roman"/>
                <w:color w:val="000000"/>
                <w:kern w:val="0"/>
                <w:sz w:val="24"/>
                <w:szCs w:val="24"/>
                <w:lang w:val="en-US" w:eastAsia="zh-CN" w:bidi="ar"/>
              </w:rPr>
              <w:t xml:space="preserve">成型 </w:t>
            </w:r>
          </w:p>
          <w:p w14:paraId="112A6A42">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外购的不锈钢板使用开卷机、开平机进行开卷下料后使用全自动面板成型机加工成需要的形状，在钢板表面压实一层塑料膜，加工好的板材使用摆式剪板机和折边机、折弯机处理加工。</w:t>
            </w:r>
          </w:p>
          <w:p w14:paraId="179F9891">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该工序产生噪声及废边角料，</w:t>
            </w:r>
            <w:r>
              <w:rPr>
                <w:rFonts w:hint="eastAsia" w:ascii="Times New Roman" w:hAnsi="Times New Roman" w:eastAsia="宋体" w:cs="Times New Roman"/>
                <w:color w:val="000000"/>
                <w:kern w:val="0"/>
                <w:sz w:val="24"/>
                <w:szCs w:val="24"/>
                <w:lang w:val="en-US" w:eastAsia="zh-CN" w:bidi="ar"/>
              </w:rPr>
              <w:t>收集</w:t>
            </w:r>
            <w:r>
              <w:rPr>
                <w:rFonts w:hint="default" w:ascii="Times New Roman" w:hAnsi="Times New Roman" w:eastAsia="宋体" w:cs="Times New Roman"/>
                <w:color w:val="000000"/>
                <w:kern w:val="0"/>
                <w:sz w:val="24"/>
                <w:szCs w:val="24"/>
                <w:lang w:val="en-US" w:eastAsia="zh-CN" w:bidi="ar"/>
              </w:rPr>
              <w:t xml:space="preserve">外售废品回收公司。 </w:t>
            </w:r>
          </w:p>
          <w:p w14:paraId="5B93597A">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（2）注射发泡、成型 </w:t>
            </w:r>
          </w:p>
          <w:p w14:paraId="09638AA9">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将成型的板材放入模具内，使用发泡机将发泡料注射至模具内，A料和B料分别由各自原料罐直接泵送通入2根管道中，管道在末端自动注射机头处合并，混合后的发泡料通过人工移动注射机头注射入模具内板材中，注料时间平均约5分钟，注料后模具口经法兰封堵，原料发生聚合反应发泡成型，并在模具中</w:t>
            </w:r>
            <w:r>
              <w:rPr>
                <w:rFonts w:hint="eastAsia" w:ascii="Times New Roman" w:hAnsi="Times New Roman" w:eastAsia="宋体" w:cs="Times New Roman"/>
                <w:color w:val="000000"/>
                <w:kern w:val="0"/>
                <w:sz w:val="24"/>
                <w:szCs w:val="24"/>
                <w:lang w:val="en-US" w:eastAsia="zh-CN" w:bidi="ar"/>
              </w:rPr>
              <w:t>定型</w:t>
            </w:r>
            <w:r>
              <w:rPr>
                <w:rFonts w:hint="default" w:ascii="Times New Roman" w:hAnsi="Times New Roman" w:eastAsia="宋体" w:cs="Times New Roman"/>
                <w:color w:val="000000"/>
                <w:kern w:val="0"/>
                <w:sz w:val="24"/>
                <w:szCs w:val="24"/>
                <w:lang w:val="en-US" w:eastAsia="zh-CN" w:bidi="ar"/>
              </w:rPr>
              <w:t>。</w:t>
            </w:r>
          </w:p>
          <w:p w14:paraId="4A4CC6B1">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该工序产生发泡废气经</w:t>
            </w:r>
            <w:r>
              <w:rPr>
                <w:rFonts w:hint="eastAsia" w:ascii="Times New Roman" w:hAnsi="Times New Roman" w:eastAsia="宋体" w:cs="Times New Roman"/>
                <w:color w:val="000000"/>
                <w:kern w:val="0"/>
                <w:sz w:val="24"/>
                <w:szCs w:val="24"/>
                <w:lang w:val="en-US" w:eastAsia="zh-CN" w:bidi="ar"/>
              </w:rPr>
              <w:t>工作台</w:t>
            </w:r>
            <w:r>
              <w:rPr>
                <w:rFonts w:hint="default" w:ascii="Times New Roman" w:hAnsi="Times New Roman" w:eastAsia="宋体" w:cs="Times New Roman"/>
                <w:color w:val="000000"/>
                <w:kern w:val="0"/>
                <w:sz w:val="24"/>
                <w:szCs w:val="24"/>
                <w:lang w:val="en-US" w:eastAsia="zh-CN" w:bidi="ar"/>
              </w:rPr>
              <w:t>设置的</w:t>
            </w:r>
            <w:r>
              <w:rPr>
                <w:rFonts w:hint="eastAsia" w:ascii="Times New Roman" w:hAnsi="Times New Roman" w:eastAsia="宋体" w:cs="Times New Roman"/>
                <w:color w:val="000000"/>
                <w:kern w:val="0"/>
                <w:sz w:val="24"/>
                <w:szCs w:val="24"/>
                <w:lang w:val="en-US" w:eastAsia="zh-CN" w:bidi="ar"/>
              </w:rPr>
              <w:t>密闭</w:t>
            </w:r>
            <w:r>
              <w:rPr>
                <w:rFonts w:hint="default" w:ascii="Times New Roman" w:hAnsi="Times New Roman" w:eastAsia="宋体" w:cs="Times New Roman"/>
                <w:color w:val="000000"/>
                <w:kern w:val="0"/>
                <w:sz w:val="24"/>
                <w:szCs w:val="24"/>
                <w:lang w:val="en-US" w:eastAsia="zh-CN" w:bidi="ar"/>
              </w:rPr>
              <w:t>集气罩收集，废气经过管道引入1套“</w:t>
            </w:r>
            <w:r>
              <w:rPr>
                <w:rFonts w:hint="eastAsia" w:ascii="Times New Roman" w:hAnsi="Times New Roman" w:eastAsia="宋体" w:cs="Times New Roman"/>
                <w:color w:val="000000"/>
                <w:kern w:val="0"/>
                <w:sz w:val="24"/>
                <w:szCs w:val="24"/>
                <w:lang w:val="en-US" w:eastAsia="zh-CN" w:bidi="ar"/>
              </w:rPr>
              <w:t>UV光解+</w:t>
            </w:r>
            <w:r>
              <w:rPr>
                <w:rFonts w:hint="default" w:ascii="Times New Roman" w:hAnsi="Times New Roman" w:eastAsia="宋体" w:cs="Times New Roman"/>
                <w:color w:val="000000"/>
                <w:kern w:val="0"/>
                <w:sz w:val="24"/>
                <w:szCs w:val="24"/>
                <w:lang w:val="en-US" w:eastAsia="zh-CN" w:bidi="ar"/>
              </w:rPr>
              <w:t>活性炭吸附”装置处理，后通过1根15</w:t>
            </w:r>
            <w:r>
              <w:rPr>
                <w:rFonts w:hint="eastAsia" w:ascii="Times New Roman" w:hAnsi="Times New Roman" w:eastAsia="宋体" w:cs="Times New Roman"/>
                <w:color w:val="000000"/>
                <w:kern w:val="0"/>
                <w:sz w:val="24"/>
                <w:szCs w:val="24"/>
                <w:lang w:val="en-US" w:eastAsia="zh-CN" w:bidi="ar"/>
              </w:rPr>
              <w:t>.5</w:t>
            </w:r>
            <w:r>
              <w:rPr>
                <w:rFonts w:hint="default" w:ascii="Times New Roman" w:hAnsi="Times New Roman" w:eastAsia="宋体" w:cs="Times New Roman"/>
                <w:color w:val="000000"/>
                <w:kern w:val="0"/>
                <w:sz w:val="24"/>
                <w:szCs w:val="24"/>
                <w:lang w:val="en-US" w:eastAsia="zh-CN" w:bidi="ar"/>
              </w:rPr>
              <w:t xml:space="preserve">m高排气筒DA001排放；废气治理措施产生废活性炭，属于危废，分类暂存于危废间后交由资质单位处置。 </w:t>
            </w:r>
          </w:p>
          <w:p w14:paraId="60E23CEF">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（3）修整 </w:t>
            </w:r>
          </w:p>
          <w:p w14:paraId="63E3D6A8">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熟化后，人工将产品从模具内取出，由于会出现少量发泡料发生聚合反应后溢出的情况，人工使用裁剪刀修整。该过程会产生废发泡料，</w:t>
            </w:r>
            <w:r>
              <w:rPr>
                <w:rFonts w:hint="eastAsia" w:ascii="Times New Roman" w:hAnsi="Times New Roman" w:eastAsia="宋体" w:cs="Times New Roman"/>
                <w:color w:val="000000"/>
                <w:kern w:val="0"/>
                <w:sz w:val="24"/>
                <w:szCs w:val="24"/>
                <w:lang w:val="en-US" w:eastAsia="zh-CN" w:bidi="ar"/>
              </w:rPr>
              <w:t>收集</w:t>
            </w:r>
            <w:r>
              <w:rPr>
                <w:rFonts w:hint="default" w:ascii="Times New Roman" w:hAnsi="Times New Roman" w:eastAsia="宋体" w:cs="Times New Roman"/>
                <w:color w:val="000000"/>
                <w:kern w:val="0"/>
                <w:sz w:val="24"/>
                <w:szCs w:val="24"/>
                <w:lang w:val="en-US" w:eastAsia="zh-CN" w:bidi="ar"/>
              </w:rPr>
              <w:t xml:space="preserve">外售废品回收公司。 </w:t>
            </w:r>
          </w:p>
          <w:p w14:paraId="50E753F2">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（4）包装</w:t>
            </w:r>
            <w:r>
              <w:rPr>
                <w:rFonts w:hint="eastAsia" w:ascii="Times New Roman" w:hAnsi="Times New Roman" w:eastAsia="宋体" w:cs="Times New Roman"/>
                <w:color w:val="000000"/>
                <w:kern w:val="0"/>
                <w:sz w:val="24"/>
                <w:szCs w:val="24"/>
                <w:lang w:val="en-US" w:eastAsia="zh-CN" w:bidi="ar"/>
              </w:rPr>
              <w:t>入库</w:t>
            </w:r>
            <w:r>
              <w:rPr>
                <w:rFonts w:hint="default" w:ascii="Times New Roman" w:hAnsi="Times New Roman" w:eastAsia="宋体" w:cs="Times New Roman"/>
                <w:color w:val="000000"/>
                <w:kern w:val="0"/>
                <w:sz w:val="24"/>
                <w:szCs w:val="24"/>
                <w:lang w:val="en-US" w:eastAsia="zh-CN" w:bidi="ar"/>
              </w:rPr>
              <w:t xml:space="preserve"> </w:t>
            </w:r>
          </w:p>
          <w:p w14:paraId="56BA67B1">
            <w:pPr>
              <w:keepNext w:val="0"/>
              <w:keepLines w:val="0"/>
              <w:pageBreakBefore w:val="0"/>
              <w:kinsoku/>
              <w:wordWrap/>
              <w:overflowPunct/>
              <w:topLinePunct w:val="0"/>
              <w:autoSpaceDE/>
              <w:autoSpaceDN/>
              <w:bidi w:val="0"/>
              <w:adjustRightInd w:val="0"/>
              <w:snapToGrid w:val="0"/>
              <w:spacing w:line="500" w:lineRule="exact"/>
              <w:ind w:firstLine="480" w:firstLineChars="200"/>
              <w:jc w:val="both"/>
              <w:textAlignment w:val="auto"/>
              <w:rPr>
                <w:rFonts w:ascii="Times New Roman" w:hAnsi="Times New Roman" w:cs="Times New Roman"/>
                <w:b/>
                <w:bCs/>
                <w:color w:val="000000"/>
                <w:sz w:val="24"/>
              </w:rPr>
            </w:pPr>
            <w:r>
              <w:rPr>
                <w:rFonts w:hint="default" w:ascii="Times New Roman" w:hAnsi="Times New Roman" w:eastAsia="宋体" w:cs="Times New Roman"/>
                <w:color w:val="000000"/>
                <w:kern w:val="0"/>
                <w:sz w:val="24"/>
                <w:szCs w:val="24"/>
                <w:lang w:val="en-US" w:eastAsia="zh-CN" w:bidi="ar"/>
              </w:rPr>
              <w:t>加工</w:t>
            </w:r>
            <w:r>
              <w:rPr>
                <w:rFonts w:hint="eastAsia" w:ascii="Times New Roman" w:hAnsi="Times New Roman" w:eastAsia="宋体" w:cs="Times New Roman"/>
                <w:color w:val="000000"/>
                <w:kern w:val="0"/>
                <w:sz w:val="24"/>
                <w:szCs w:val="24"/>
                <w:lang w:val="en-US" w:eastAsia="zh-CN" w:bidi="ar"/>
              </w:rPr>
              <w:t>成型</w:t>
            </w:r>
            <w:r>
              <w:rPr>
                <w:rFonts w:hint="default" w:ascii="Times New Roman" w:hAnsi="Times New Roman" w:eastAsia="宋体" w:cs="Times New Roman"/>
                <w:color w:val="000000"/>
                <w:kern w:val="0"/>
                <w:sz w:val="24"/>
                <w:szCs w:val="24"/>
                <w:lang w:val="en-US" w:eastAsia="zh-CN" w:bidi="ar"/>
              </w:rPr>
              <w:t>的</w:t>
            </w:r>
            <w:r>
              <w:rPr>
                <w:rFonts w:hint="eastAsia" w:ascii="Times New Roman" w:hAnsi="Times New Roman" w:eastAsia="宋体" w:cs="Times New Roman"/>
                <w:color w:val="000000"/>
                <w:kern w:val="0"/>
                <w:sz w:val="24"/>
                <w:szCs w:val="24"/>
                <w:lang w:val="en-US" w:eastAsia="zh-CN" w:bidi="ar"/>
              </w:rPr>
              <w:t>保温板</w:t>
            </w:r>
            <w:r>
              <w:rPr>
                <w:rFonts w:hint="default" w:ascii="Times New Roman" w:hAnsi="Times New Roman" w:eastAsia="宋体" w:cs="Times New Roman"/>
                <w:color w:val="000000"/>
                <w:kern w:val="0"/>
                <w:sz w:val="24"/>
                <w:szCs w:val="24"/>
                <w:lang w:val="en-US" w:eastAsia="zh-CN" w:bidi="ar"/>
              </w:rPr>
              <w:t>经</w:t>
            </w:r>
            <w:r>
              <w:rPr>
                <w:rFonts w:hint="eastAsia" w:ascii="Times New Roman" w:hAnsi="Times New Roman" w:eastAsia="宋体" w:cs="Times New Roman"/>
                <w:color w:val="000000"/>
                <w:kern w:val="0"/>
                <w:sz w:val="24"/>
                <w:szCs w:val="24"/>
                <w:lang w:val="en-US" w:eastAsia="zh-CN" w:bidi="ar"/>
              </w:rPr>
              <w:t>人工</w:t>
            </w:r>
            <w:r>
              <w:rPr>
                <w:rFonts w:hint="default" w:ascii="Times New Roman" w:hAnsi="Times New Roman" w:eastAsia="宋体" w:cs="Times New Roman"/>
                <w:color w:val="000000"/>
                <w:kern w:val="0"/>
                <w:sz w:val="24"/>
                <w:szCs w:val="24"/>
                <w:lang w:val="en-US" w:eastAsia="zh-CN" w:bidi="ar"/>
              </w:rPr>
              <w:t>检验</w:t>
            </w:r>
            <w:r>
              <w:rPr>
                <w:rFonts w:hint="eastAsia" w:ascii="Times New Roman" w:hAnsi="Times New Roman" w:eastAsia="宋体" w:cs="Times New Roman"/>
                <w:color w:val="000000"/>
                <w:kern w:val="0"/>
                <w:sz w:val="24"/>
                <w:szCs w:val="24"/>
                <w:lang w:val="en-US" w:eastAsia="zh-CN" w:bidi="ar"/>
              </w:rPr>
              <w:t>尺寸</w:t>
            </w:r>
            <w:r>
              <w:rPr>
                <w:rFonts w:hint="default" w:ascii="Times New Roman" w:hAnsi="Times New Roman" w:eastAsia="宋体" w:cs="Times New Roman"/>
                <w:color w:val="000000"/>
                <w:kern w:val="0"/>
                <w:sz w:val="24"/>
                <w:szCs w:val="24"/>
                <w:lang w:val="en-US" w:eastAsia="zh-CN" w:bidi="ar"/>
              </w:rPr>
              <w:t>合格后包装入库</w:t>
            </w:r>
            <w:r>
              <w:rPr>
                <w:rFonts w:hint="eastAsia" w:ascii="Times New Roman" w:hAnsi="Times New Roman" w:eastAsia="宋体" w:cs="Times New Roman"/>
                <w:color w:val="000000"/>
                <w:kern w:val="0"/>
                <w:sz w:val="24"/>
                <w:szCs w:val="24"/>
                <w:lang w:val="en-US" w:eastAsia="zh-CN" w:bidi="ar"/>
              </w:rPr>
              <w:t>待运</w:t>
            </w:r>
            <w:r>
              <w:rPr>
                <w:rFonts w:hint="default" w:ascii="Times New Roman" w:hAnsi="Times New Roman" w:eastAsia="宋体" w:cs="Times New Roman"/>
                <w:color w:val="000000"/>
                <w:kern w:val="0"/>
                <w:sz w:val="24"/>
                <w:szCs w:val="24"/>
                <w:lang w:val="en-US" w:eastAsia="zh-CN" w:bidi="ar"/>
              </w:rPr>
              <w:t>。</w:t>
            </w:r>
          </w:p>
          <w:p w14:paraId="3C375CBC">
            <w:pPr>
              <w:pStyle w:val="36"/>
              <w:snapToGrid w:val="0"/>
              <w:spacing w:line="500" w:lineRule="exact"/>
              <w:ind w:firstLine="482" w:firstLineChars="200"/>
              <w:rPr>
                <w:rFonts w:ascii="Times New Roman"/>
                <w:b/>
                <w:bCs/>
                <w:szCs w:val="24"/>
              </w:rPr>
            </w:pPr>
            <w:r>
              <w:rPr>
                <w:rFonts w:ascii="Times New Roman"/>
                <w:b/>
                <w:bCs/>
                <w:szCs w:val="24"/>
              </w:rPr>
              <w:t>2、项目物料平衡、水平衡</w:t>
            </w:r>
          </w:p>
          <w:p w14:paraId="76FB1CFC">
            <w:pPr>
              <w:keepNext w:val="0"/>
              <w:keepLines w:val="0"/>
              <w:pageBreakBefore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（1）</w:t>
            </w:r>
            <w:r>
              <w:rPr>
                <w:rFonts w:hint="default" w:ascii="Times New Roman" w:hAnsi="Times New Roman" w:cs="Times New Roman"/>
                <w:b/>
                <w:bCs/>
                <w:sz w:val="24"/>
                <w:szCs w:val="24"/>
                <w:highlight w:val="none"/>
                <w:lang w:val="en-US" w:eastAsia="zh-CN"/>
              </w:rPr>
              <w:t>物料平衡</w:t>
            </w:r>
          </w:p>
          <w:p w14:paraId="4980DA23">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sz w:val="24"/>
                <w:szCs w:val="24"/>
                <w:highlight w:val="none"/>
              </w:rPr>
            </w:pPr>
            <w:r>
              <w:rPr>
                <w:rFonts w:hint="default" w:ascii="Times New Roman" w:hAnsi="Times New Roman" w:eastAsia="宋体" w:cs="Times New Roman"/>
                <w:b/>
                <w:bCs/>
                <w:color w:val="000000"/>
                <w:kern w:val="0"/>
                <w:sz w:val="24"/>
                <w:szCs w:val="24"/>
                <w:highlight w:val="none"/>
                <w:lang w:val="en-US" w:eastAsia="zh-CN" w:bidi="ar"/>
              </w:rPr>
              <w:t>表2-</w:t>
            </w:r>
            <w:r>
              <w:rPr>
                <w:rFonts w:hint="eastAsia" w:ascii="Times New Roman" w:hAnsi="Times New Roman" w:eastAsia="宋体" w:cs="Times New Roman"/>
                <w:b/>
                <w:bCs/>
                <w:color w:val="000000"/>
                <w:kern w:val="0"/>
                <w:sz w:val="24"/>
                <w:szCs w:val="24"/>
                <w:highlight w:val="none"/>
                <w:lang w:val="en-US" w:eastAsia="zh-CN" w:bidi="ar"/>
              </w:rPr>
              <w:t>6项目</w:t>
            </w:r>
            <w:r>
              <w:rPr>
                <w:rFonts w:hint="default" w:ascii="Times New Roman" w:hAnsi="Times New Roman" w:eastAsia="宋体" w:cs="Times New Roman"/>
                <w:b/>
                <w:bCs/>
                <w:color w:val="000000"/>
                <w:kern w:val="0"/>
                <w:sz w:val="24"/>
                <w:szCs w:val="24"/>
                <w:highlight w:val="none"/>
                <w:lang w:val="en-US" w:eastAsia="zh-CN" w:bidi="ar"/>
              </w:rPr>
              <w:t>物料平衡表</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1417"/>
              <w:gridCol w:w="1417"/>
              <w:gridCol w:w="1417"/>
              <w:gridCol w:w="1418"/>
              <w:gridCol w:w="1418"/>
            </w:tblGrid>
            <w:tr w14:paraId="5ED2B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noWrap w:val="0"/>
                  <w:vAlign w:val="center"/>
                </w:tcPr>
                <w:p w14:paraId="5C36350C">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lang w:val="en-US" w:eastAsia="zh-CN" w:bidi="ar"/>
                    </w:rPr>
                    <w:t>输入</w:t>
                  </w:r>
                </w:p>
              </w:tc>
              <w:tc>
                <w:tcPr>
                  <w:tcW w:w="1842" w:type="dxa"/>
                  <w:noWrap w:val="0"/>
                  <w:vAlign w:val="center"/>
                </w:tcPr>
                <w:p w14:paraId="4DC7C821">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t/d</w:t>
                  </w:r>
                </w:p>
              </w:tc>
              <w:tc>
                <w:tcPr>
                  <w:tcW w:w="1842" w:type="dxa"/>
                  <w:noWrap w:val="0"/>
                  <w:vAlign w:val="center"/>
                </w:tcPr>
                <w:p w14:paraId="16987AFC">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lang w:val="en-US" w:eastAsia="zh-CN" w:bidi="ar"/>
                    </w:rPr>
                    <w:t>t/</w:t>
                  </w:r>
                  <w:r>
                    <w:rPr>
                      <w:rFonts w:hint="eastAsia" w:ascii="Times New Roman" w:hAnsi="Times New Roman" w:eastAsia="宋体" w:cs="Times New Roman"/>
                      <w:b w:val="0"/>
                      <w:bCs w:val="0"/>
                      <w:color w:val="000000"/>
                      <w:kern w:val="0"/>
                      <w:sz w:val="21"/>
                      <w:szCs w:val="21"/>
                      <w:lang w:val="en-US" w:eastAsia="zh-CN" w:bidi="ar"/>
                    </w:rPr>
                    <w:t>a</w:t>
                  </w:r>
                </w:p>
              </w:tc>
              <w:tc>
                <w:tcPr>
                  <w:tcW w:w="1842" w:type="dxa"/>
                  <w:noWrap w:val="0"/>
                  <w:vAlign w:val="center"/>
                </w:tcPr>
                <w:p w14:paraId="69FB0628">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lang w:val="en-US" w:eastAsia="zh-CN" w:bidi="ar"/>
                    </w:rPr>
                    <w:t>输出</w:t>
                  </w:r>
                </w:p>
              </w:tc>
              <w:tc>
                <w:tcPr>
                  <w:tcW w:w="1844" w:type="dxa"/>
                  <w:noWrap w:val="0"/>
                  <w:vAlign w:val="center"/>
                </w:tcPr>
                <w:p w14:paraId="1A680BC6">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t/d</w:t>
                  </w:r>
                </w:p>
              </w:tc>
              <w:tc>
                <w:tcPr>
                  <w:tcW w:w="1844" w:type="dxa"/>
                  <w:noWrap w:val="0"/>
                  <w:vAlign w:val="center"/>
                </w:tcPr>
                <w:p w14:paraId="4B5F6474">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lang w:val="en-US" w:eastAsia="zh-CN" w:bidi="ar"/>
                    </w:rPr>
                    <w:t>t/</w:t>
                  </w:r>
                  <w:r>
                    <w:rPr>
                      <w:rFonts w:hint="eastAsia" w:ascii="Times New Roman" w:hAnsi="Times New Roman" w:eastAsia="宋体" w:cs="Times New Roman"/>
                      <w:b w:val="0"/>
                      <w:bCs w:val="0"/>
                      <w:color w:val="000000"/>
                      <w:kern w:val="0"/>
                      <w:sz w:val="21"/>
                      <w:szCs w:val="21"/>
                      <w:lang w:val="en-US" w:eastAsia="zh-CN" w:bidi="ar"/>
                    </w:rPr>
                    <w:t>a</w:t>
                  </w:r>
                </w:p>
              </w:tc>
            </w:tr>
            <w:tr w14:paraId="444DF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noWrap w:val="0"/>
                  <w:vAlign w:val="center"/>
                </w:tcPr>
                <w:p w14:paraId="34089D22">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发泡料A料</w:t>
                  </w:r>
                </w:p>
              </w:tc>
              <w:tc>
                <w:tcPr>
                  <w:tcW w:w="1842" w:type="dxa"/>
                  <w:noWrap w:val="0"/>
                  <w:vAlign w:val="center"/>
                </w:tcPr>
                <w:p w14:paraId="6309AA70">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0.2</w:t>
                  </w:r>
                </w:p>
              </w:tc>
              <w:tc>
                <w:tcPr>
                  <w:tcW w:w="1842" w:type="dxa"/>
                  <w:noWrap w:val="0"/>
                  <w:vAlign w:val="center"/>
                </w:tcPr>
                <w:p w14:paraId="2D3AFC75">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60</w:t>
                  </w:r>
                </w:p>
              </w:tc>
              <w:tc>
                <w:tcPr>
                  <w:tcW w:w="1842" w:type="dxa"/>
                  <w:noWrap w:val="0"/>
                  <w:vAlign w:val="center"/>
                </w:tcPr>
                <w:p w14:paraId="7A53C8E5">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冷库保温板</w:t>
                  </w:r>
                </w:p>
              </w:tc>
              <w:tc>
                <w:tcPr>
                  <w:tcW w:w="1844" w:type="dxa"/>
                  <w:noWrap w:val="0"/>
                  <w:vAlign w:val="center"/>
                </w:tcPr>
                <w:p w14:paraId="11519103">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1.0653</w:t>
                  </w:r>
                </w:p>
              </w:tc>
              <w:tc>
                <w:tcPr>
                  <w:tcW w:w="1844" w:type="dxa"/>
                  <w:noWrap w:val="0"/>
                  <w:vAlign w:val="center"/>
                </w:tcPr>
                <w:p w14:paraId="0BB6EAC9">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319.59</w:t>
                  </w:r>
                </w:p>
              </w:tc>
            </w:tr>
            <w:tr w14:paraId="3554E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noWrap w:val="0"/>
                  <w:vAlign w:val="center"/>
                </w:tcPr>
                <w:p w14:paraId="630974D5">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发泡料B料</w:t>
                  </w:r>
                </w:p>
              </w:tc>
              <w:tc>
                <w:tcPr>
                  <w:tcW w:w="1842" w:type="dxa"/>
                  <w:noWrap w:val="0"/>
                  <w:vAlign w:val="center"/>
                </w:tcPr>
                <w:p w14:paraId="2D72B5BA">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0.2</w:t>
                  </w:r>
                </w:p>
              </w:tc>
              <w:tc>
                <w:tcPr>
                  <w:tcW w:w="1842" w:type="dxa"/>
                  <w:noWrap w:val="0"/>
                  <w:vAlign w:val="center"/>
                </w:tcPr>
                <w:p w14:paraId="50E50EB6">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60</w:t>
                  </w:r>
                </w:p>
              </w:tc>
              <w:tc>
                <w:tcPr>
                  <w:tcW w:w="1842" w:type="dxa"/>
                  <w:noWrap w:val="0"/>
                  <w:vAlign w:val="center"/>
                </w:tcPr>
                <w:p w14:paraId="344E7613">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废边角料</w:t>
                  </w:r>
                </w:p>
              </w:tc>
              <w:tc>
                <w:tcPr>
                  <w:tcW w:w="1844" w:type="dxa"/>
                  <w:noWrap w:val="0"/>
                  <w:vAlign w:val="center"/>
                </w:tcPr>
                <w:p w14:paraId="02AEF199">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0.0068</w:t>
                  </w:r>
                </w:p>
              </w:tc>
              <w:tc>
                <w:tcPr>
                  <w:tcW w:w="1844" w:type="dxa"/>
                  <w:noWrap w:val="0"/>
                  <w:vAlign w:val="center"/>
                </w:tcPr>
                <w:p w14:paraId="5C00AF4E">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2.03</w:t>
                  </w:r>
                </w:p>
              </w:tc>
            </w:tr>
            <w:tr w14:paraId="55D18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noWrap w:val="0"/>
                  <w:vAlign w:val="center"/>
                </w:tcPr>
                <w:p w14:paraId="33BA8440">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钢板</w:t>
                  </w:r>
                </w:p>
              </w:tc>
              <w:tc>
                <w:tcPr>
                  <w:tcW w:w="1842" w:type="dxa"/>
                  <w:noWrap w:val="0"/>
                  <w:vAlign w:val="center"/>
                </w:tcPr>
                <w:p w14:paraId="39B8ABDF">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0.667</w:t>
                  </w:r>
                </w:p>
              </w:tc>
              <w:tc>
                <w:tcPr>
                  <w:tcW w:w="1842" w:type="dxa"/>
                  <w:noWrap w:val="0"/>
                  <w:vAlign w:val="center"/>
                </w:tcPr>
                <w:p w14:paraId="04F34E25">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200</w:t>
                  </w:r>
                </w:p>
              </w:tc>
              <w:tc>
                <w:tcPr>
                  <w:tcW w:w="1842" w:type="dxa"/>
                  <w:noWrap w:val="0"/>
                  <w:vAlign w:val="center"/>
                </w:tcPr>
                <w:p w14:paraId="28193800">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废发泡料</w:t>
                  </w:r>
                </w:p>
              </w:tc>
              <w:tc>
                <w:tcPr>
                  <w:tcW w:w="1844" w:type="dxa"/>
                  <w:noWrap w:val="0"/>
                  <w:vAlign w:val="center"/>
                </w:tcPr>
                <w:p w14:paraId="7C4FCE73">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0.004</w:t>
                  </w:r>
                </w:p>
              </w:tc>
              <w:tc>
                <w:tcPr>
                  <w:tcW w:w="1844" w:type="dxa"/>
                  <w:noWrap w:val="0"/>
                  <w:vAlign w:val="center"/>
                </w:tcPr>
                <w:p w14:paraId="186D00E9">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1.2</w:t>
                  </w:r>
                </w:p>
              </w:tc>
            </w:tr>
            <w:tr w14:paraId="2843C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noWrap w:val="0"/>
                  <w:vAlign w:val="center"/>
                </w:tcPr>
                <w:p w14:paraId="3372CAD4">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塑料膜</w:t>
                  </w:r>
                </w:p>
              </w:tc>
              <w:tc>
                <w:tcPr>
                  <w:tcW w:w="1842" w:type="dxa"/>
                  <w:noWrap w:val="0"/>
                  <w:vAlign w:val="center"/>
                </w:tcPr>
                <w:p w14:paraId="02F6D8D2">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0.01</w:t>
                  </w:r>
                </w:p>
              </w:tc>
              <w:tc>
                <w:tcPr>
                  <w:tcW w:w="1842" w:type="dxa"/>
                  <w:noWrap w:val="0"/>
                  <w:vAlign w:val="center"/>
                </w:tcPr>
                <w:p w14:paraId="2178F961">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3</w:t>
                  </w:r>
                </w:p>
              </w:tc>
              <w:tc>
                <w:tcPr>
                  <w:tcW w:w="1842" w:type="dxa"/>
                  <w:noWrap w:val="0"/>
                  <w:vAlign w:val="center"/>
                </w:tcPr>
                <w:p w14:paraId="5AF1A705">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挥发废气</w:t>
                  </w:r>
                </w:p>
              </w:tc>
              <w:tc>
                <w:tcPr>
                  <w:tcW w:w="1844" w:type="dxa"/>
                  <w:noWrap w:val="0"/>
                  <w:vAlign w:val="center"/>
                </w:tcPr>
                <w:p w14:paraId="2D7404B2">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0.0006</w:t>
                  </w:r>
                </w:p>
              </w:tc>
              <w:tc>
                <w:tcPr>
                  <w:tcW w:w="1844" w:type="dxa"/>
                  <w:noWrap w:val="0"/>
                  <w:vAlign w:val="center"/>
                </w:tcPr>
                <w:p w14:paraId="74641228">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0.18</w:t>
                  </w:r>
                </w:p>
              </w:tc>
            </w:tr>
            <w:tr w14:paraId="5FE63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42" w:type="dxa"/>
                  <w:noWrap w:val="0"/>
                  <w:vAlign w:val="center"/>
                </w:tcPr>
                <w:p w14:paraId="4683FE47">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sz w:val="24"/>
                    </w:rPr>
                    <mc:AlternateContent>
                      <mc:Choice Requires="wpg">
                        <w:drawing>
                          <wp:anchor distT="0" distB="0" distL="114300" distR="114300" simplePos="0" relativeHeight="251670528" behindDoc="0" locked="0" layoutInCell="1" allowOverlap="1">
                            <wp:simplePos x="0" y="0"/>
                            <wp:positionH relativeFrom="column">
                              <wp:posOffset>326390</wp:posOffset>
                            </wp:positionH>
                            <wp:positionV relativeFrom="paragraph">
                              <wp:posOffset>175260</wp:posOffset>
                            </wp:positionV>
                            <wp:extent cx="4619625" cy="2396490"/>
                            <wp:effectExtent l="0" t="0" r="9525" b="0"/>
                            <wp:wrapNone/>
                            <wp:docPr id="173" name="组合 173"/>
                            <wp:cNvGraphicFramePr/>
                            <a:graphic xmlns:a="http://schemas.openxmlformats.org/drawingml/2006/main">
                              <a:graphicData uri="http://schemas.microsoft.com/office/word/2010/wordprocessingGroup">
                                <wpg:wgp>
                                  <wpg:cNvGrpSpPr/>
                                  <wpg:grpSpPr>
                                    <a:xfrm>
                                      <a:off x="0" y="0"/>
                                      <a:ext cx="4619625" cy="2396490"/>
                                      <a:chOff x="9934" y="401334"/>
                                      <a:chExt cx="7275" cy="3774"/>
                                    </a:xfrm>
                                  </wpg:grpSpPr>
                                  <wps:wsp>
                                    <wps:cNvPr id="148" name="流程图: 过程 148"/>
                                    <wps:cNvSpPr/>
                                    <wps:spPr>
                                      <a:xfrm>
                                        <a:off x="10984" y="403184"/>
                                        <a:ext cx="1156" cy="680"/>
                                      </a:xfrm>
                                      <a:prstGeom prst="flowChartProcess">
                                        <a:avLst/>
                                      </a:prstGeom>
                                      <a:solidFill>
                                        <a:srgbClr val="FFFFFF"/>
                                      </a:solidFill>
                                      <a:ln w="9525" cap="flat" cmpd="sng">
                                        <a:solidFill>
                                          <a:srgbClr val="000000"/>
                                        </a:solidFill>
                                        <a:prstDash val="dash"/>
                                        <a:miter/>
                                        <a:headEnd type="none" w="med" len="med"/>
                                        <a:tailEnd type="none" w="med" len="med"/>
                                      </a:ln>
                                    </wps:spPr>
                                    <wps:txbx>
                                      <w:txbxContent>
                                        <w:p w14:paraId="18A81DBC">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废边角料0.0068</w:t>
                                          </w:r>
                                        </w:p>
                                      </w:txbxContent>
                                    </wps:txbx>
                                    <wps:bodyPr lIns="78236" tIns="39118" rIns="78236" bIns="39118" upright="1"/>
                                  </wps:wsp>
                                  <wps:wsp>
                                    <wps:cNvPr id="149" name="流程图: 过程 149"/>
                                    <wps:cNvSpPr/>
                                    <wps:spPr>
                                      <a:xfrm>
                                        <a:off x="13232" y="403783"/>
                                        <a:ext cx="1258" cy="39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413824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包装入库</w:t>
                                          </w:r>
                                        </w:p>
                                      </w:txbxContent>
                                    </wps:txbx>
                                    <wps:bodyPr lIns="78236" tIns="39118" rIns="78236" bIns="39118" upright="1"/>
                                  </wps:wsp>
                                  <wps:wsp>
                                    <wps:cNvPr id="150" name="流程图: 过程 150"/>
                                    <wps:cNvSpPr/>
                                    <wps:spPr>
                                      <a:xfrm>
                                        <a:off x="14748" y="403034"/>
                                        <a:ext cx="1636" cy="454"/>
                                      </a:xfrm>
                                      <a:prstGeom prst="flowChartProcess">
                                        <a:avLst/>
                                      </a:prstGeom>
                                      <a:solidFill>
                                        <a:srgbClr val="FFFFFF"/>
                                      </a:solidFill>
                                      <a:ln w="9525" cap="flat" cmpd="sng">
                                        <a:solidFill>
                                          <a:srgbClr val="000000"/>
                                        </a:solidFill>
                                        <a:prstDash val="dash"/>
                                        <a:miter/>
                                        <a:headEnd type="none" w="med" len="med"/>
                                        <a:tailEnd type="none" w="med" len="med"/>
                                      </a:ln>
                                    </wps:spPr>
                                    <wps:txbx>
                                      <w:txbxContent>
                                        <w:p w14:paraId="107D855A">
                                          <w:pPr>
                                            <w:pStyle w:val="36"/>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废发泡料0.004</w:t>
                                          </w:r>
                                        </w:p>
                                      </w:txbxContent>
                                    </wps:txbx>
                                    <wps:bodyPr lIns="78236" tIns="39118" rIns="78236" bIns="39118" upright="1"/>
                                  </wps:wsp>
                                  <wps:wsp>
                                    <wps:cNvPr id="151" name="流程图: 过程 151"/>
                                    <wps:cNvSpPr/>
                                    <wps:spPr>
                                      <a:xfrm>
                                        <a:off x="13443" y="403063"/>
                                        <a:ext cx="850" cy="39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315C90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修整</w:t>
                                          </w:r>
                                        </w:p>
                                      </w:txbxContent>
                                    </wps:txbx>
                                    <wps:bodyPr lIns="78236" tIns="39118" rIns="78236" bIns="39118" upright="1"/>
                                  </wps:wsp>
                                  <wps:wsp>
                                    <wps:cNvPr id="152" name="流程图: 过程 152"/>
                                    <wps:cNvSpPr/>
                                    <wps:spPr>
                                      <a:xfrm>
                                        <a:off x="9934" y="402208"/>
                                        <a:ext cx="721" cy="661"/>
                                      </a:xfrm>
                                      <a:prstGeom prst="flowChartProcess">
                                        <a:avLst/>
                                      </a:prstGeom>
                                      <a:solidFill>
                                        <a:srgbClr val="FFFFFF"/>
                                      </a:solidFill>
                                      <a:ln>
                                        <a:noFill/>
                                      </a:ln>
                                    </wps:spPr>
                                    <wps:txbx>
                                      <w:txbxContent>
                                        <w:p w14:paraId="3AE303B6">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钢板</w:t>
                                          </w:r>
                                        </w:p>
                                        <w:p w14:paraId="0B82A94D">
                                          <w:pPr>
                                            <w:pStyle w:val="38"/>
                                            <w:tabs>
                                              <w:tab w:val="left" w:pos="0"/>
                                            </w:tabs>
                                            <w:jc w:val="center"/>
                                            <w:rPr>
                                              <w:rFonts w:hint="default" w:ascii="Times New Roman" w:hAnsi="Times New Roman" w:cs="Times New Roman"/>
                                              <w:b w:val="0"/>
                                              <w:bCs w:val="0"/>
                                              <w:lang w:val="en-US" w:eastAsia="zh-CN"/>
                                            </w:rPr>
                                          </w:pPr>
                                          <w:r>
                                            <w:rPr>
                                              <w:rFonts w:hint="default" w:ascii="Times New Roman" w:hAnsi="Times New Roman" w:eastAsia="宋体" w:cs="Times New Roman"/>
                                              <w:b w:val="0"/>
                                              <w:bCs w:val="0"/>
                                              <w:sz w:val="21"/>
                                              <w:szCs w:val="21"/>
                                              <w:lang w:val="en-US" w:eastAsia="zh-CN"/>
                                            </w:rPr>
                                            <w:t>0.667</w:t>
                                          </w:r>
                                        </w:p>
                                      </w:txbxContent>
                                    </wps:txbx>
                                    <wps:bodyPr lIns="78236" tIns="39118" rIns="78236" bIns="39118" upright="1"/>
                                  </wps:wsp>
                                  <wps:wsp>
                                    <wps:cNvPr id="153" name="流程图: 过程 153"/>
                                    <wps:cNvSpPr/>
                                    <wps:spPr>
                                      <a:xfrm>
                                        <a:off x="10968" y="402313"/>
                                        <a:ext cx="1233"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27E18EE6">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面板成型</w:t>
                                          </w:r>
                                        </w:p>
                                      </w:txbxContent>
                                    </wps:txbx>
                                    <wps:bodyPr lIns="78236" tIns="39118" rIns="78236" bIns="39118" upright="1"/>
                                  </wps:wsp>
                                  <wps:wsp>
                                    <wps:cNvPr id="154" name="流程图: 过程 154"/>
                                    <wps:cNvSpPr/>
                                    <wps:spPr>
                                      <a:xfrm>
                                        <a:off x="13173" y="404428"/>
                                        <a:ext cx="1384" cy="680"/>
                                      </a:xfrm>
                                      <a:prstGeom prst="flowChartProcess">
                                        <a:avLst/>
                                      </a:prstGeom>
                                      <a:noFill/>
                                      <a:ln>
                                        <a:noFill/>
                                      </a:ln>
                                    </wps:spPr>
                                    <wps:txbx>
                                      <w:txbxContent>
                                        <w:p w14:paraId="42498852">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冷库保温板</w:t>
                                          </w:r>
                                        </w:p>
                                        <w:p w14:paraId="66B8C5E0">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1.0653</w:t>
                                          </w:r>
                                        </w:p>
                                      </w:txbxContent>
                                    </wps:txbx>
                                    <wps:bodyPr lIns="78236" tIns="39118" rIns="78236" bIns="39118" upright="1"/>
                                  </wps:wsp>
                                  <wps:wsp>
                                    <wps:cNvPr id="155" name="直接连接符 155"/>
                                    <wps:cNvCnPr/>
                                    <wps:spPr>
                                      <a:xfrm>
                                        <a:off x="10522" y="402541"/>
                                        <a:ext cx="454" cy="0"/>
                                      </a:xfrm>
                                      <a:prstGeom prst="line">
                                        <a:avLst/>
                                      </a:prstGeom>
                                      <a:ln w="9525" cap="flat" cmpd="sng">
                                        <a:solidFill>
                                          <a:srgbClr val="000000"/>
                                        </a:solidFill>
                                        <a:prstDash val="solid"/>
                                        <a:round/>
                                        <a:headEnd type="none" w="med" len="med"/>
                                        <a:tailEnd type="triangle" w="med" len="med"/>
                                      </a:ln>
                                    </wps:spPr>
                                    <wps:bodyPr upright="1"/>
                                  </wps:wsp>
                                  <wps:wsp>
                                    <wps:cNvPr id="156" name="直接连接符 156"/>
                                    <wps:cNvCnPr/>
                                    <wps:spPr>
                                      <a:xfrm flipH="1">
                                        <a:off x="13867" y="401875"/>
                                        <a:ext cx="454" cy="454"/>
                                      </a:xfrm>
                                      <a:prstGeom prst="line">
                                        <a:avLst/>
                                      </a:prstGeom>
                                      <a:ln w="9525" cap="flat" cmpd="sng">
                                        <a:solidFill>
                                          <a:srgbClr val="000000"/>
                                        </a:solidFill>
                                        <a:prstDash val="solid"/>
                                        <a:round/>
                                        <a:headEnd type="none" w="med" len="med"/>
                                        <a:tailEnd type="triangle" w="med" len="med"/>
                                      </a:ln>
                                    </wps:spPr>
                                    <wps:bodyPr upright="1"/>
                                  </wps:wsp>
                                  <wps:wsp>
                                    <wps:cNvPr id="157" name="直接连接符 157"/>
                                    <wps:cNvCnPr/>
                                    <wps:spPr>
                                      <a:xfrm flipV="1">
                                        <a:off x="12202" y="402538"/>
                                        <a:ext cx="454" cy="0"/>
                                      </a:xfrm>
                                      <a:prstGeom prst="line">
                                        <a:avLst/>
                                      </a:prstGeom>
                                      <a:ln w="9525" cap="flat" cmpd="sng">
                                        <a:solidFill>
                                          <a:srgbClr val="000000"/>
                                        </a:solidFill>
                                        <a:prstDash val="solid"/>
                                        <a:round/>
                                        <a:headEnd type="none" w="med" len="med"/>
                                        <a:tailEnd type="triangle" w="med" len="med"/>
                                      </a:ln>
                                    </wps:spPr>
                                    <wps:bodyPr upright="1"/>
                                  </wps:wsp>
                                  <wps:wsp>
                                    <wps:cNvPr id="158" name="直接连接符 158"/>
                                    <wps:cNvCnPr/>
                                    <wps:spPr>
                                      <a:xfrm>
                                        <a:off x="11582" y="402790"/>
                                        <a:ext cx="1" cy="397"/>
                                      </a:xfrm>
                                      <a:prstGeom prst="line">
                                        <a:avLst/>
                                      </a:prstGeom>
                                      <a:ln w="9525" cap="flat" cmpd="sng">
                                        <a:solidFill>
                                          <a:srgbClr val="000000"/>
                                        </a:solidFill>
                                        <a:prstDash val="dash"/>
                                        <a:round/>
                                        <a:headEnd type="none" w="med" len="med"/>
                                        <a:tailEnd type="triangle" w="med" len="med"/>
                                      </a:ln>
                                    </wps:spPr>
                                    <wps:bodyPr upright="1"/>
                                  </wps:wsp>
                                  <wps:wsp>
                                    <wps:cNvPr id="159" name="流程图: 过程 159"/>
                                    <wps:cNvSpPr/>
                                    <wps:spPr>
                                      <a:xfrm>
                                        <a:off x="12648" y="402328"/>
                                        <a:ext cx="2424" cy="397"/>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510178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注射发泡、成型、熟化</w:t>
                                          </w:r>
                                        </w:p>
                                      </w:txbxContent>
                                    </wps:txbx>
                                    <wps:bodyPr lIns="78236" tIns="39118" rIns="78236" bIns="39118" upright="1"/>
                                  </wps:wsp>
                                  <wps:wsp>
                                    <wps:cNvPr id="160" name="直接连接符 160"/>
                                    <wps:cNvCnPr/>
                                    <wps:spPr>
                                      <a:xfrm>
                                        <a:off x="13366" y="401876"/>
                                        <a:ext cx="454" cy="454"/>
                                      </a:xfrm>
                                      <a:prstGeom prst="line">
                                        <a:avLst/>
                                      </a:prstGeom>
                                      <a:ln w="9525" cap="flat" cmpd="sng">
                                        <a:solidFill>
                                          <a:srgbClr val="000000"/>
                                        </a:solidFill>
                                        <a:prstDash val="solid"/>
                                        <a:round/>
                                        <a:headEnd type="none" w="med" len="med"/>
                                        <a:tailEnd type="triangle" w="med" len="med"/>
                                      </a:ln>
                                    </wps:spPr>
                                    <wps:bodyPr upright="1"/>
                                  </wps:wsp>
                                  <wps:wsp>
                                    <wps:cNvPr id="162" name="直接连接符 162"/>
                                    <wps:cNvCnPr/>
                                    <wps:spPr>
                                      <a:xfrm flipV="1">
                                        <a:off x="14298" y="403259"/>
                                        <a:ext cx="454" cy="1"/>
                                      </a:xfrm>
                                      <a:prstGeom prst="line">
                                        <a:avLst/>
                                      </a:prstGeom>
                                      <a:ln w="9525" cap="flat" cmpd="sng">
                                        <a:solidFill>
                                          <a:srgbClr val="000000"/>
                                        </a:solidFill>
                                        <a:prstDash val="dash"/>
                                        <a:round/>
                                        <a:headEnd type="none" w="med" len="med"/>
                                        <a:tailEnd type="triangle" w="med" len="med"/>
                                      </a:ln>
                                    </wps:spPr>
                                    <wps:bodyPr upright="1"/>
                                  </wps:wsp>
                                  <wps:wsp>
                                    <wps:cNvPr id="164" name="流程图: 过程 164"/>
                                    <wps:cNvSpPr/>
                                    <wps:spPr>
                                      <a:xfrm>
                                        <a:off x="15528" y="402284"/>
                                        <a:ext cx="1681" cy="454"/>
                                      </a:xfrm>
                                      <a:prstGeom prst="flowChartProcess">
                                        <a:avLst/>
                                      </a:prstGeom>
                                      <a:solidFill>
                                        <a:srgbClr val="FFFFFF"/>
                                      </a:solidFill>
                                      <a:ln w="9525" cap="flat" cmpd="sng">
                                        <a:solidFill>
                                          <a:srgbClr val="000000"/>
                                        </a:solidFill>
                                        <a:prstDash val="dash"/>
                                        <a:miter/>
                                        <a:headEnd type="none" w="med" len="med"/>
                                        <a:tailEnd type="none" w="med" len="med"/>
                                      </a:ln>
                                    </wps:spPr>
                                    <wps:txbx>
                                      <w:txbxContent>
                                        <w:p w14:paraId="4E1C9554">
                                          <w:pPr>
                                            <w:pStyle w:val="36"/>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发泡废气0.0006</w:t>
                                          </w:r>
                                        </w:p>
                                      </w:txbxContent>
                                    </wps:txbx>
                                    <wps:bodyPr lIns="78236" tIns="39118" rIns="78236" bIns="39118" upright="1"/>
                                  </wps:wsp>
                                  <wps:wsp>
                                    <wps:cNvPr id="165" name="直接连接符 165"/>
                                    <wps:cNvCnPr/>
                                    <wps:spPr>
                                      <a:xfrm>
                                        <a:off x="15072" y="402507"/>
                                        <a:ext cx="454" cy="1"/>
                                      </a:xfrm>
                                      <a:prstGeom prst="line">
                                        <a:avLst/>
                                      </a:prstGeom>
                                      <a:ln w="9525" cap="flat" cmpd="sng">
                                        <a:solidFill>
                                          <a:srgbClr val="000000"/>
                                        </a:solidFill>
                                        <a:prstDash val="dash"/>
                                        <a:round/>
                                        <a:headEnd type="none" w="med" len="med"/>
                                        <a:tailEnd type="triangle" w="med" len="med"/>
                                      </a:ln>
                                    </wps:spPr>
                                    <wps:bodyPr upright="1"/>
                                  </wps:wsp>
                                  <wps:wsp>
                                    <wps:cNvPr id="166" name="流程图: 过程 166"/>
                                    <wps:cNvSpPr/>
                                    <wps:spPr>
                                      <a:xfrm>
                                        <a:off x="12559" y="401379"/>
                                        <a:ext cx="1247" cy="680"/>
                                      </a:xfrm>
                                      <a:prstGeom prst="flowChartProcess">
                                        <a:avLst/>
                                      </a:prstGeom>
                                      <a:noFill/>
                                      <a:ln>
                                        <a:noFill/>
                                      </a:ln>
                                    </wps:spPr>
                                    <wps:txbx>
                                      <w:txbxContent>
                                        <w:p w14:paraId="75A080DA">
                                          <w:pPr>
                                            <w:pStyle w:val="36"/>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发泡料A料</w:t>
                                          </w:r>
                                        </w:p>
                                        <w:p w14:paraId="73B69DB8">
                                          <w:pPr>
                                            <w:pStyle w:val="38"/>
                                            <w:tabs>
                                              <w:tab w:val="left" w:pos="0"/>
                                            </w:tabs>
                                            <w:jc w:val="center"/>
                                            <w:rPr>
                                              <w:rFonts w:hint="default" w:ascii="Times New Roman" w:hAnsi="Times New Roman" w:cs="Times New Roman"/>
                                              <w:b w:val="0"/>
                                              <w:bCs w:val="0"/>
                                              <w:lang w:val="en-US" w:eastAsia="zh-CN"/>
                                            </w:rPr>
                                          </w:pPr>
                                          <w:r>
                                            <w:rPr>
                                              <w:rFonts w:hint="default" w:ascii="Times New Roman" w:hAnsi="Times New Roman" w:eastAsia="宋体" w:cs="Times New Roman"/>
                                              <w:b w:val="0"/>
                                              <w:bCs w:val="0"/>
                                              <w:sz w:val="21"/>
                                              <w:szCs w:val="21"/>
                                              <w:lang w:val="en-US" w:eastAsia="zh-CN"/>
                                            </w:rPr>
                                            <w:t>0.2</w:t>
                                          </w:r>
                                        </w:p>
                                      </w:txbxContent>
                                    </wps:txbx>
                                    <wps:bodyPr lIns="78236" tIns="39118" rIns="78236" bIns="39118" upright="1"/>
                                  </wps:wsp>
                                  <wps:wsp>
                                    <wps:cNvPr id="167" name="流程图: 过程 167"/>
                                    <wps:cNvSpPr/>
                                    <wps:spPr>
                                      <a:xfrm>
                                        <a:off x="13864" y="401379"/>
                                        <a:ext cx="1247" cy="680"/>
                                      </a:xfrm>
                                      <a:prstGeom prst="flowChartProcess">
                                        <a:avLst/>
                                      </a:prstGeom>
                                      <a:noFill/>
                                      <a:ln>
                                        <a:noFill/>
                                      </a:ln>
                                    </wps:spPr>
                                    <wps:txbx>
                                      <w:txbxContent>
                                        <w:p w14:paraId="314181B7">
                                          <w:pPr>
                                            <w:pStyle w:val="36"/>
                                            <w:spacing w:line="240" w:lineRule="auto"/>
                                            <w:ind w:firstLine="0" w:firstLineChars="0"/>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发泡料B料</w:t>
                                          </w:r>
                                        </w:p>
                                        <w:p w14:paraId="7190D6DD">
                                          <w:pPr>
                                            <w:pStyle w:val="38"/>
                                            <w:tabs>
                                              <w:tab w:val="left" w:pos="0"/>
                                            </w:tabs>
                                            <w:jc w:val="center"/>
                                            <w:rPr>
                                              <w:rFonts w:hint="default" w:ascii="Times New Roman" w:hAnsi="Times New Roman" w:cs="Times New Roman"/>
                                              <w:b w:val="0"/>
                                              <w:bCs w:val="0"/>
                                              <w:lang w:val="en-US" w:eastAsia="zh-CN"/>
                                            </w:rPr>
                                          </w:pPr>
                                          <w:r>
                                            <w:rPr>
                                              <w:rFonts w:hint="default" w:ascii="Times New Roman" w:hAnsi="Times New Roman" w:eastAsia="宋体" w:cs="Times New Roman"/>
                                              <w:b w:val="0"/>
                                              <w:bCs w:val="0"/>
                                              <w:sz w:val="21"/>
                                              <w:szCs w:val="21"/>
                                              <w:lang w:val="en-US" w:eastAsia="zh-CN"/>
                                            </w:rPr>
                                            <w:t>0.2</w:t>
                                          </w:r>
                                        </w:p>
                                      </w:txbxContent>
                                    </wps:txbx>
                                    <wps:bodyPr lIns="78236" tIns="39118" rIns="78236" bIns="39118" upright="1"/>
                                  </wps:wsp>
                                  <wps:wsp>
                                    <wps:cNvPr id="168" name="直接连接符 168"/>
                                    <wps:cNvCnPr/>
                                    <wps:spPr>
                                      <a:xfrm>
                                        <a:off x="13860" y="403466"/>
                                        <a:ext cx="1" cy="340"/>
                                      </a:xfrm>
                                      <a:prstGeom prst="line">
                                        <a:avLst/>
                                      </a:prstGeom>
                                      <a:ln w="9525" cap="flat" cmpd="sng">
                                        <a:solidFill>
                                          <a:srgbClr val="000000"/>
                                        </a:solidFill>
                                        <a:prstDash val="solid"/>
                                        <a:round/>
                                        <a:headEnd type="none" w="med" len="med"/>
                                        <a:tailEnd type="triangle" w="med" len="med"/>
                                      </a:ln>
                                    </wps:spPr>
                                    <wps:bodyPr upright="1"/>
                                  </wps:wsp>
                                  <wps:wsp>
                                    <wps:cNvPr id="169" name="直接连接符 169"/>
                                    <wps:cNvCnPr/>
                                    <wps:spPr>
                                      <a:xfrm>
                                        <a:off x="13861" y="404186"/>
                                        <a:ext cx="1" cy="340"/>
                                      </a:xfrm>
                                      <a:prstGeom prst="line">
                                        <a:avLst/>
                                      </a:prstGeom>
                                      <a:ln w="9525" cap="flat" cmpd="sng">
                                        <a:solidFill>
                                          <a:srgbClr val="000000"/>
                                        </a:solidFill>
                                        <a:prstDash val="solid"/>
                                        <a:round/>
                                        <a:headEnd type="none" w="med" len="med"/>
                                        <a:tailEnd type="triangle" w="med" len="med"/>
                                      </a:ln>
                                    </wps:spPr>
                                    <wps:bodyPr upright="1"/>
                                  </wps:wsp>
                                  <wps:wsp>
                                    <wps:cNvPr id="170" name="直接连接符 170"/>
                                    <wps:cNvCnPr/>
                                    <wps:spPr>
                                      <a:xfrm flipH="1">
                                        <a:off x="13866" y="402746"/>
                                        <a:ext cx="1" cy="340"/>
                                      </a:xfrm>
                                      <a:prstGeom prst="line">
                                        <a:avLst/>
                                      </a:prstGeom>
                                      <a:ln w="9525" cap="flat" cmpd="sng">
                                        <a:solidFill>
                                          <a:srgbClr val="000000"/>
                                        </a:solidFill>
                                        <a:prstDash val="solid"/>
                                        <a:round/>
                                        <a:headEnd type="none" w="med" len="med"/>
                                        <a:tailEnd type="triangle" w="med" len="med"/>
                                      </a:ln>
                                    </wps:spPr>
                                    <wps:bodyPr upright="1"/>
                                  </wps:wsp>
                                  <wps:wsp>
                                    <wps:cNvPr id="171" name="流程图: 过程 171"/>
                                    <wps:cNvSpPr/>
                                    <wps:spPr>
                                      <a:xfrm>
                                        <a:off x="11149" y="401334"/>
                                        <a:ext cx="906" cy="680"/>
                                      </a:xfrm>
                                      <a:prstGeom prst="flowChartProcess">
                                        <a:avLst/>
                                      </a:prstGeom>
                                      <a:noFill/>
                                      <a:ln>
                                        <a:noFill/>
                                      </a:ln>
                                    </wps:spPr>
                                    <wps:txbx>
                                      <w:txbxContent>
                                        <w:p w14:paraId="5045A11B">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塑料膜</w:t>
                                          </w:r>
                                        </w:p>
                                        <w:p w14:paraId="333156A0">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0.01</w:t>
                                          </w:r>
                                        </w:p>
                                      </w:txbxContent>
                                    </wps:txbx>
                                    <wps:bodyPr lIns="78236" tIns="39118" rIns="78236" bIns="39118" upright="1"/>
                                  </wps:wsp>
                                  <wps:wsp>
                                    <wps:cNvPr id="172" name="直接连接符 172"/>
                                    <wps:cNvCnPr/>
                                    <wps:spPr>
                                      <a:xfrm>
                                        <a:off x="11596" y="401981"/>
                                        <a:ext cx="1" cy="340"/>
                                      </a:xfrm>
                                      <a:prstGeom prst="line">
                                        <a:avLst/>
                                      </a:prstGeom>
                                      <a:ln w="9525" cap="flat" cmpd="sng">
                                        <a:solidFill>
                                          <a:srgbClr val="000000"/>
                                        </a:solidFill>
                                        <a:prstDash val="solid"/>
                                        <a:round/>
                                        <a:headEnd type="none" w="med" len="med"/>
                                        <a:tailEnd type="triangle" w="med" len="med"/>
                                      </a:ln>
                                    </wps:spPr>
                                    <wps:bodyPr upright="1"/>
                                  </wps:wsp>
                                </wpg:wgp>
                              </a:graphicData>
                            </a:graphic>
                          </wp:anchor>
                        </w:drawing>
                      </mc:Choice>
                      <mc:Fallback>
                        <w:pict>
                          <v:group id="_x0000_s1026" o:spid="_x0000_s1026" o:spt="203" style="position:absolute;left:0pt;margin-left:25.7pt;margin-top:13.8pt;height:188.7pt;width:363.75pt;z-index:251670528;mso-width-relative:page;mso-height-relative:page;" coordorigin="9934,401334" coordsize="7275,3774" o:gfxdata="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">
                            <o:lock v:ext="edit" aspectratio="f"/>
                            <v:shape id="_x0000_s1026" o:spid="_x0000_s1026" o:spt="109" type="#_x0000_t109" style="position:absolute;left:10984;top:403184;height:680;width:1156;" fillcolor="#FFFFFF" filled="t" stroked="t" coordsize="21600,21600" o:gfxdata="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vXGm8AAAA&#10;3AAAAA8AAAAAAAAAAQAgAAAAIgAAAGRycy9kb3ducmV2LnhtbFBLAQIUABQAAAAIAIdO4kAzLwWe&#10;OwAAADkAAAAQAAAAAAAAAAEAIAAAAAsBAABkcnMvc2hhcGV4bWwueG1sUEsFBgAAAAAGAAYAWwEA&#10;ALUDAAAAAA==&#10;">
                              <v:fill on="t" focussize="0,0"/>
                              <v:stroke color="#000000" joinstyle="miter" dashstyle="dash"/>
                              <v:imagedata o:title=""/>
                              <o:lock v:ext="edit" aspectratio="f"/>
                              <v:textbox inset="6.16031496062992pt,3.08015748031496pt,6.16031496062992pt,3.08015748031496pt">
                                <w:txbxContent>
                                  <w:p w14:paraId="18A81DBC">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废边角料0.0068</w:t>
                                    </w:r>
                                  </w:p>
                                </w:txbxContent>
                              </v:textbox>
                            </v:shape>
                            <v:shape id="_x0000_s1026" o:spid="_x0000_s1026" o:spt="109" type="#_x0000_t109" style="position:absolute;left:13232;top:403783;height:397;width:1258;" fillcolor="#FFFFFF" filled="t" stroked="t" coordsize="21600,21600" o:gfxdata="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jmg7K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14:paraId="413824B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包装入库</w:t>
                                    </w:r>
                                  </w:p>
                                </w:txbxContent>
                              </v:textbox>
                            </v:shape>
                            <v:shape id="_x0000_s1026" o:spid="_x0000_s1026" o:spt="109" type="#_x0000_t109" style="position:absolute;left:14748;top:403034;height:454;width:1636;" fillcolor="#FFFFFF" filled="t" stroked="t" coordsize="21600,21600" o:gfxdata="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RAxrK8AAAA&#10;3AAAAA8AAAAAAAAAAQAgAAAAIgAAAGRycy9kb3ducmV2LnhtbFBLAQIUABQAAAAIAIdO4kAzLwWe&#10;OwAAADkAAAAQAAAAAAAAAAEAIAAAAAsBAABkcnMvc2hhcGV4bWwueG1sUEsFBgAAAAAGAAYAWwEA&#10;ALUDAAAAAA==&#10;">
                              <v:fill on="t" focussize="0,0"/>
                              <v:stroke color="#000000" joinstyle="miter" dashstyle="dash"/>
                              <v:imagedata o:title=""/>
                              <o:lock v:ext="edit" aspectratio="f"/>
                              <v:textbox inset="6.16031496062992pt,3.08015748031496pt,6.16031496062992pt,3.08015748031496pt">
                                <w:txbxContent>
                                  <w:p w14:paraId="107D855A">
                                    <w:pPr>
                                      <w:pStyle w:val="36"/>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废发泡料0.004</w:t>
                                    </w:r>
                                  </w:p>
                                </w:txbxContent>
                              </v:textbox>
                            </v:shape>
                            <v:shape id="_x0000_s1026" o:spid="_x0000_s1026" o:spt="109" type="#_x0000_t109" style="position:absolute;left:13443;top:403063;height:397;width:850;" fillcolor="#FFFFFF" filled="t" stroked="t" coordsize="21600,21600" o:gfxdata="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YNZQR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14:paraId="315C90A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修整</w:t>
                                    </w:r>
                                  </w:p>
                                </w:txbxContent>
                              </v:textbox>
                            </v:shape>
                            <v:shape id="_x0000_s1026" o:spid="_x0000_s1026" o:spt="109" type="#_x0000_t109" style="position:absolute;left:9934;top:402208;height:661;width:721;" fillcolor="#FFFFFF" filled="t" stroked="f" coordsize="21600,21600" o:gfxdata="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Smh4vQAA&#10;ANwAAAAPAAAAAAAAAAEAIAAAACIAAABkcnMvZG93bnJldi54bWxQSwECFAAUAAAACACHTuJAMy8F&#10;njsAAAA5AAAAEAAAAAAAAAABACAAAAAMAQAAZHJzL3NoYXBleG1sLnhtbFBLBQYAAAAABgAGAFsB&#10;AAC2AwAAAAA=&#10;">
                              <v:fill on="t" focussize="0,0"/>
                              <v:stroke on="f"/>
                              <v:imagedata o:title=""/>
                              <o:lock v:ext="edit" aspectratio="f"/>
                              <v:textbox inset="6.16031496062992pt,3.08015748031496pt,6.16031496062992pt,3.08015748031496pt">
                                <w:txbxContent>
                                  <w:p w14:paraId="3AE303B6">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钢板</w:t>
                                    </w:r>
                                  </w:p>
                                  <w:p w14:paraId="0B82A94D">
                                    <w:pPr>
                                      <w:pStyle w:val="38"/>
                                      <w:tabs>
                                        <w:tab w:val="left" w:pos="0"/>
                                      </w:tabs>
                                      <w:jc w:val="center"/>
                                      <w:rPr>
                                        <w:rFonts w:hint="default" w:ascii="Times New Roman" w:hAnsi="Times New Roman" w:cs="Times New Roman"/>
                                        <w:b w:val="0"/>
                                        <w:bCs w:val="0"/>
                                        <w:lang w:val="en-US" w:eastAsia="zh-CN"/>
                                      </w:rPr>
                                    </w:pPr>
                                    <w:r>
                                      <w:rPr>
                                        <w:rFonts w:hint="default" w:ascii="Times New Roman" w:hAnsi="Times New Roman" w:eastAsia="宋体" w:cs="Times New Roman"/>
                                        <w:b w:val="0"/>
                                        <w:bCs w:val="0"/>
                                        <w:sz w:val="21"/>
                                        <w:szCs w:val="21"/>
                                        <w:lang w:val="en-US" w:eastAsia="zh-CN"/>
                                      </w:rPr>
                                      <w:t>0.667</w:t>
                                    </w:r>
                                  </w:p>
                                </w:txbxContent>
                              </v:textbox>
                            </v:shape>
                            <v:shape id="_x0000_s1026" o:spid="_x0000_s1026" o:spt="109" type="#_x0000_t109" style="position:absolute;left:10968;top:402313;height:454;width:1233;" fillcolor="#FFFFFF" filled="t" stroked="t" coordsize="21600,21600" o:gfxdata="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6uv/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14:paraId="27E18EE6">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面板成型</w:t>
                                    </w:r>
                                  </w:p>
                                </w:txbxContent>
                              </v:textbox>
                            </v:shape>
                            <v:shape id="_x0000_s1026" o:spid="_x0000_s1026" o:spt="109" type="#_x0000_t109" style="position:absolute;left:13173;top:404428;height:680;width:1384;" filled="f" stroked="f" coordsize="21600,21600" o:gfxdata="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9Fj0r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42498852">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冷库保温板</w:t>
                                    </w:r>
                                  </w:p>
                                  <w:p w14:paraId="66B8C5E0">
                                    <w:pPr>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1.0653</w:t>
                                    </w:r>
                                  </w:p>
                                </w:txbxContent>
                              </v:textbox>
                            </v:shape>
                            <v:line id="_x0000_s1026" o:spid="_x0000_s1026" o:spt="20" style="position:absolute;left:10522;top:402541;height:0;width:454;" filled="f" stroked="t" coordsize="21600,21600" o:gfxdata="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eXIz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13867;top:401875;flip:x;height:454;width:454;" filled="f" stroked="t" coordsize="21600,21600" o:gfxdata="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FeD0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12202;top:402538;flip:y;height:0;width:454;" filled="f" stroked="t" coordsize="21600,21600" o:gfxdata="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WUVv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11582;top:402790;height:397;width:1;" filled="f" stroked="t" coordsize="21600,21600" o:gfxdata="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Im3&#10;zcEAAADcAAAADwAAAAAAAAABACAAAAAiAAAAZHJzL2Rvd25yZXYueG1sUEsBAhQAFAAAAAgAh07i&#10;QDMvBZ47AAAAOQAAABAAAAAAAAAAAQAgAAAAEAEAAGRycy9zaGFwZXhtbC54bWxQSwUGAAAAAAYA&#10;BgBbAQAAugMAAAAA&#10;">
                              <v:fill on="f" focussize="0,0"/>
                              <v:stroke color="#000000" joinstyle="round" dashstyle="dash" endarrow="block"/>
                              <v:imagedata o:title=""/>
                              <o:lock v:ext="edit" aspectratio="f"/>
                            </v:line>
                            <v:shape id="_x0000_s1026" o:spid="_x0000_s1026" o:spt="109" type="#_x0000_t109" style="position:absolute;left:12648;top:402328;height:397;width:2424;" fillcolor="#FFFFFF" filled="t" stroked="t" coordsize="21600,21600" o:gfxdata="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mQ5gX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14:paraId="5101783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注射发泡、成型、熟化</w:t>
                                    </w:r>
                                  </w:p>
                                </w:txbxContent>
                              </v:textbox>
                            </v:shape>
                            <v:line id="_x0000_s1026" o:spid="_x0000_s1026" o:spt="20" style="position:absolute;left:13366;top:401876;height:454;width:454;" filled="f" stroked="t" coordsize="21600,21600" o:gfxdata="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7YhsW&#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4298;top:403259;flip:y;height:1;width:454;" filled="f" stroked="t" coordsize="21600,21600" o:gfxdata="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0xcQjrUAAADcAAAADwAA&#10;AAAAAAABACAAAAAiAAAAZHJzL2Rvd25yZXYueG1sUEsBAhQAFAAAAAgAh07iQDMvBZ47AAAAOQAA&#10;ABAAAAAAAAAAAQAgAAAABAEAAGRycy9zaGFwZXhtbC54bWxQSwUGAAAAAAYABgBbAQAArgMAAAAA&#10;">
                              <v:fill on="f" focussize="0,0"/>
                              <v:stroke color="#000000" joinstyle="round" dashstyle="dash" endarrow="block"/>
                              <v:imagedata o:title=""/>
                              <o:lock v:ext="edit" aspectratio="f"/>
                            </v:line>
                            <v:shape id="_x0000_s1026" o:spid="_x0000_s1026" o:spt="109" type="#_x0000_t109" style="position:absolute;left:15528;top:402284;height:454;width:1681;" fillcolor="#FFFFFF" filled="t" stroked="t" coordsize="21600,21600" o:gfxdata="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RcKDLgAAADcAAAA&#10;DwAAAAAAAAABACAAAAAiAAAAZHJzL2Rvd25yZXYueG1sUEsBAhQAFAAAAAgAh07iQDMvBZ47AAAA&#10;OQAAABAAAAAAAAAAAQAgAAAABwEAAGRycy9zaGFwZXhtbC54bWxQSwUGAAAAAAYABgBbAQAAsQMA&#10;AAAA&#10;">
                              <v:fill on="t" focussize="0,0"/>
                              <v:stroke color="#000000" joinstyle="miter" dashstyle="dash"/>
                              <v:imagedata o:title=""/>
                              <o:lock v:ext="edit" aspectratio="f"/>
                              <v:textbox inset="6.16031496062992pt,3.08015748031496pt,6.16031496062992pt,3.08015748031496pt">
                                <w:txbxContent>
                                  <w:p w14:paraId="4E1C9554">
                                    <w:pPr>
                                      <w:pStyle w:val="36"/>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发泡废气0.0006</w:t>
                                    </w:r>
                                  </w:p>
                                </w:txbxContent>
                              </v:textbox>
                            </v:shape>
                            <v:line id="_x0000_s1026" o:spid="_x0000_s1026" o:spt="20" style="position:absolute;left:15072;top:402507;height:1;width:454;" filled="f" stroked="t" coordsize="21600,21600" o:gfxdata="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5NLuvQAA&#10;ANwAAAAPAAAAAAAAAAEAIAAAACIAAABkcnMvZG93bnJldi54bWxQSwECFAAUAAAACACHTuJAMy8F&#10;njsAAAA5AAAAEAAAAAAAAAABACAAAAAMAQAAZHJzL3NoYXBleG1sLnhtbFBLBQYAAAAABgAGAFsB&#10;AAC2AwAAAAA=&#10;">
                              <v:fill on="f" focussize="0,0"/>
                              <v:stroke color="#000000" joinstyle="round" dashstyle="dash" endarrow="block"/>
                              <v:imagedata o:title=""/>
                              <o:lock v:ext="edit" aspectratio="f"/>
                            </v:line>
                            <v:shape id="_x0000_s1026" o:spid="_x0000_s1026" o:spt="109" type="#_x0000_t109" style="position:absolute;left:12559;top:401379;height:680;width:1247;" filled="f" stroked="f" coordsize="21600,21600" o:gfxdata="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iOSg7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75A080DA">
                                    <w:pPr>
                                      <w:pStyle w:val="36"/>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发泡料A料</w:t>
                                    </w:r>
                                  </w:p>
                                  <w:p w14:paraId="73B69DB8">
                                    <w:pPr>
                                      <w:pStyle w:val="38"/>
                                      <w:tabs>
                                        <w:tab w:val="left" w:pos="0"/>
                                      </w:tabs>
                                      <w:jc w:val="center"/>
                                      <w:rPr>
                                        <w:rFonts w:hint="default" w:ascii="Times New Roman" w:hAnsi="Times New Roman" w:cs="Times New Roman"/>
                                        <w:b w:val="0"/>
                                        <w:bCs w:val="0"/>
                                        <w:lang w:val="en-US" w:eastAsia="zh-CN"/>
                                      </w:rPr>
                                    </w:pPr>
                                    <w:r>
                                      <w:rPr>
                                        <w:rFonts w:hint="default" w:ascii="Times New Roman" w:hAnsi="Times New Roman" w:eastAsia="宋体" w:cs="Times New Roman"/>
                                        <w:b w:val="0"/>
                                        <w:bCs w:val="0"/>
                                        <w:sz w:val="21"/>
                                        <w:szCs w:val="21"/>
                                        <w:lang w:val="en-US" w:eastAsia="zh-CN"/>
                                      </w:rPr>
                                      <w:t>0.2</w:t>
                                    </w:r>
                                  </w:p>
                                </w:txbxContent>
                              </v:textbox>
                            </v:shape>
                            <v:shape id="_x0000_s1026" o:spid="_x0000_s1026" o:spt="109" type="#_x0000_t109" style="position:absolute;left:13864;top:401379;height:680;width:1247;" filled="f" stroked="f" coordsize="21600,21600" o:gfxdata="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ZW83GL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314181B7">
                                    <w:pPr>
                                      <w:pStyle w:val="36"/>
                                      <w:spacing w:line="240" w:lineRule="auto"/>
                                      <w:ind w:firstLine="0" w:firstLineChars="0"/>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发泡料B料</w:t>
                                    </w:r>
                                  </w:p>
                                  <w:p w14:paraId="7190D6DD">
                                    <w:pPr>
                                      <w:pStyle w:val="38"/>
                                      <w:tabs>
                                        <w:tab w:val="left" w:pos="0"/>
                                      </w:tabs>
                                      <w:jc w:val="center"/>
                                      <w:rPr>
                                        <w:rFonts w:hint="default" w:ascii="Times New Roman" w:hAnsi="Times New Roman" w:cs="Times New Roman"/>
                                        <w:b w:val="0"/>
                                        <w:bCs w:val="0"/>
                                        <w:lang w:val="en-US" w:eastAsia="zh-CN"/>
                                      </w:rPr>
                                    </w:pPr>
                                    <w:r>
                                      <w:rPr>
                                        <w:rFonts w:hint="default" w:ascii="Times New Roman" w:hAnsi="Times New Roman" w:eastAsia="宋体" w:cs="Times New Roman"/>
                                        <w:b w:val="0"/>
                                        <w:bCs w:val="0"/>
                                        <w:sz w:val="21"/>
                                        <w:szCs w:val="21"/>
                                        <w:lang w:val="en-US" w:eastAsia="zh-CN"/>
                                      </w:rPr>
                                      <w:t>0.2</w:t>
                                    </w:r>
                                  </w:p>
                                </w:txbxContent>
                              </v:textbox>
                            </v:shape>
                            <v:line id="_x0000_s1026" o:spid="_x0000_s1026" o:spt="20" style="position:absolute;left:13860;top:403466;height:340;width:1;" filled="f" stroked="t" coordsize="21600,21600" o:gfxdata="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FBcQ&#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_x0000_s1026" o:spid="_x0000_s1026" o:spt="20" style="position:absolute;left:13861;top:404186;height:340;width:1;" filled="f" stroked="t" coordsize="21600,21600" o:gfxdata="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qWLKL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13866;top:402746;flip:x;height:340;width:1;" filled="f" stroked="t" coordsize="21600,21600" o:gfxdata="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cFgXu/&#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_x0000_s1026" o:spid="_x0000_s1026" o:spt="109" type="#_x0000_t109" style="position:absolute;left:11149;top:401334;height:680;width:906;" filled="f" stroked="f" coordsize="21600,21600" o:gfxdata="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BOcKr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5045A11B">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塑料膜</w:t>
                                    </w:r>
                                  </w:p>
                                  <w:p w14:paraId="333156A0">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0.01</w:t>
                                    </w:r>
                                  </w:p>
                                </w:txbxContent>
                              </v:textbox>
                            </v:shape>
                            <v:line id="_x0000_s1026" o:spid="_x0000_s1026" o:spt="20" style="position:absolute;left:11596;top:401981;height:340;width:1;" filled="f" stroked="t" coordsize="21600,21600" o:gfxdata="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SW2J7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group>
                        </w:pict>
                      </mc:Fallback>
                    </mc:AlternateContent>
                  </w:r>
                  <w:r>
                    <w:rPr>
                      <w:rFonts w:hint="default" w:ascii="Times New Roman" w:hAnsi="Times New Roman" w:eastAsia="宋体" w:cs="Times New Roman"/>
                      <w:b w:val="0"/>
                      <w:bCs w:val="0"/>
                      <w:color w:val="000000"/>
                      <w:kern w:val="0"/>
                      <w:sz w:val="21"/>
                      <w:szCs w:val="21"/>
                      <w:vertAlign w:val="baseline"/>
                      <w:lang w:val="en-US" w:eastAsia="zh-CN" w:bidi="ar"/>
                    </w:rPr>
                    <w:t>合计</w:t>
                  </w:r>
                </w:p>
              </w:tc>
              <w:tc>
                <w:tcPr>
                  <w:tcW w:w="1842" w:type="dxa"/>
                  <w:noWrap w:val="0"/>
                  <w:vAlign w:val="center"/>
                </w:tcPr>
                <w:p w14:paraId="55ACB16F">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eastAsia" w:ascii="Times New Roman" w:hAnsi="Times New Roman" w:eastAsia="宋体" w:cs="Times New Roman"/>
                      <w:b w:val="0"/>
                      <w:bCs w:val="0"/>
                      <w:color w:val="000000"/>
                      <w:kern w:val="0"/>
                      <w:sz w:val="21"/>
                      <w:szCs w:val="21"/>
                      <w:vertAlign w:val="baseline"/>
                      <w:lang w:val="en-US" w:eastAsia="zh-CN" w:bidi="ar"/>
                    </w:rPr>
                    <w:t>1.077</w:t>
                  </w:r>
                </w:p>
              </w:tc>
              <w:tc>
                <w:tcPr>
                  <w:tcW w:w="1842" w:type="dxa"/>
                  <w:noWrap w:val="0"/>
                  <w:vAlign w:val="center"/>
                </w:tcPr>
                <w:p w14:paraId="0B4421A2">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fldChar w:fldCharType="begin"/>
                  </w:r>
                  <w:r>
                    <w:rPr>
                      <w:rFonts w:hint="default" w:ascii="Times New Roman" w:hAnsi="Times New Roman" w:eastAsia="宋体" w:cs="Times New Roman"/>
                      <w:b w:val="0"/>
                      <w:bCs w:val="0"/>
                      <w:color w:val="000000"/>
                      <w:kern w:val="0"/>
                      <w:sz w:val="21"/>
                      <w:szCs w:val="21"/>
                      <w:vertAlign w:val="baseline"/>
                      <w:lang w:val="en-US" w:eastAsia="zh-CN" w:bidi="ar"/>
                    </w:rPr>
                    <w:instrText xml:space="preserve"> = sum(B2:B5) \* MERGEFORMAT </w:instrText>
                  </w:r>
                  <w:r>
                    <w:rPr>
                      <w:rFonts w:hint="default" w:ascii="Times New Roman" w:hAnsi="Times New Roman" w:eastAsia="宋体" w:cs="Times New Roman"/>
                      <w:b w:val="0"/>
                      <w:bCs w:val="0"/>
                      <w:color w:val="000000"/>
                      <w:kern w:val="0"/>
                      <w:sz w:val="21"/>
                      <w:szCs w:val="21"/>
                      <w:vertAlign w:val="baseline"/>
                      <w:lang w:val="en-US" w:eastAsia="zh-CN" w:bidi="ar"/>
                    </w:rPr>
                    <w:fldChar w:fldCharType="separate"/>
                  </w:r>
                  <w:r>
                    <w:rPr>
                      <w:rFonts w:hint="default" w:ascii="Times New Roman" w:hAnsi="Times New Roman" w:eastAsia="宋体" w:cs="Times New Roman"/>
                      <w:b w:val="0"/>
                      <w:bCs w:val="0"/>
                      <w:color w:val="000000"/>
                      <w:kern w:val="0"/>
                      <w:sz w:val="21"/>
                      <w:szCs w:val="21"/>
                      <w:vertAlign w:val="baseline"/>
                      <w:lang w:val="en-US" w:eastAsia="zh-CN" w:bidi="ar"/>
                    </w:rPr>
                    <w:t>323</w:t>
                  </w:r>
                  <w:r>
                    <w:rPr>
                      <w:rFonts w:hint="default" w:ascii="Times New Roman" w:hAnsi="Times New Roman" w:eastAsia="宋体" w:cs="Times New Roman"/>
                      <w:b w:val="0"/>
                      <w:bCs w:val="0"/>
                      <w:color w:val="000000"/>
                      <w:kern w:val="0"/>
                      <w:sz w:val="21"/>
                      <w:szCs w:val="21"/>
                      <w:vertAlign w:val="baseline"/>
                      <w:lang w:val="en-US" w:eastAsia="zh-CN" w:bidi="ar"/>
                    </w:rPr>
                    <w:fldChar w:fldCharType="end"/>
                  </w:r>
                </w:p>
              </w:tc>
              <w:tc>
                <w:tcPr>
                  <w:tcW w:w="1842" w:type="dxa"/>
                  <w:noWrap w:val="0"/>
                  <w:vAlign w:val="center"/>
                </w:tcPr>
                <w:p w14:paraId="7A24BC18">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t>合计</w:t>
                  </w:r>
                </w:p>
              </w:tc>
              <w:tc>
                <w:tcPr>
                  <w:tcW w:w="1844" w:type="dxa"/>
                  <w:noWrap w:val="0"/>
                  <w:vAlign w:val="center"/>
                </w:tcPr>
                <w:p w14:paraId="48B7F93F">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fldChar w:fldCharType="begin"/>
                  </w:r>
                  <w:r>
                    <w:rPr>
                      <w:rFonts w:hint="default" w:ascii="Times New Roman" w:hAnsi="Times New Roman" w:eastAsia="宋体" w:cs="Times New Roman"/>
                      <w:b w:val="0"/>
                      <w:bCs w:val="0"/>
                      <w:color w:val="000000"/>
                      <w:kern w:val="0"/>
                      <w:sz w:val="21"/>
                      <w:szCs w:val="21"/>
                      <w:vertAlign w:val="baseline"/>
                      <w:lang w:val="en-US" w:eastAsia="zh-CN" w:bidi="ar"/>
                    </w:rPr>
                    <w:instrText xml:space="preserve"> = sum(E2:E5) \* MERGEFORMAT </w:instrText>
                  </w:r>
                  <w:r>
                    <w:rPr>
                      <w:rFonts w:hint="default" w:ascii="Times New Roman" w:hAnsi="Times New Roman" w:eastAsia="宋体" w:cs="Times New Roman"/>
                      <w:b w:val="0"/>
                      <w:bCs w:val="0"/>
                      <w:color w:val="000000"/>
                      <w:kern w:val="0"/>
                      <w:sz w:val="21"/>
                      <w:szCs w:val="21"/>
                      <w:vertAlign w:val="baseline"/>
                      <w:lang w:val="en-US" w:eastAsia="zh-CN" w:bidi="ar"/>
                    </w:rPr>
                    <w:fldChar w:fldCharType="separate"/>
                  </w:r>
                  <w:r>
                    <w:rPr>
                      <w:rFonts w:hint="default" w:ascii="Times New Roman" w:hAnsi="Times New Roman" w:eastAsia="宋体" w:cs="Times New Roman"/>
                      <w:b w:val="0"/>
                      <w:bCs w:val="0"/>
                      <w:color w:val="000000"/>
                      <w:kern w:val="0"/>
                      <w:sz w:val="21"/>
                      <w:szCs w:val="21"/>
                      <w:vertAlign w:val="baseline"/>
                      <w:lang w:val="en-US" w:eastAsia="zh-CN" w:bidi="ar"/>
                    </w:rPr>
                    <w:t>1.07</w:t>
                  </w:r>
                  <w:r>
                    <w:rPr>
                      <w:rFonts w:hint="eastAsia" w:ascii="Times New Roman" w:hAnsi="Times New Roman" w:eastAsia="宋体" w:cs="Times New Roman"/>
                      <w:b w:val="0"/>
                      <w:bCs w:val="0"/>
                      <w:color w:val="000000"/>
                      <w:kern w:val="0"/>
                      <w:sz w:val="21"/>
                      <w:szCs w:val="21"/>
                      <w:vertAlign w:val="baseline"/>
                      <w:lang w:val="en-US" w:eastAsia="zh-CN" w:bidi="ar"/>
                    </w:rPr>
                    <w:t>7</w:t>
                  </w:r>
                  <w:r>
                    <w:rPr>
                      <w:rFonts w:hint="default" w:ascii="Times New Roman" w:hAnsi="Times New Roman" w:eastAsia="宋体" w:cs="Times New Roman"/>
                      <w:b w:val="0"/>
                      <w:bCs w:val="0"/>
                      <w:color w:val="000000"/>
                      <w:kern w:val="0"/>
                      <w:sz w:val="21"/>
                      <w:szCs w:val="21"/>
                      <w:vertAlign w:val="baseline"/>
                      <w:lang w:val="en-US" w:eastAsia="zh-CN" w:bidi="ar"/>
                    </w:rPr>
                    <w:fldChar w:fldCharType="end"/>
                  </w:r>
                </w:p>
              </w:tc>
              <w:tc>
                <w:tcPr>
                  <w:tcW w:w="1844" w:type="dxa"/>
                  <w:noWrap w:val="0"/>
                  <w:vAlign w:val="center"/>
                </w:tcPr>
                <w:p w14:paraId="5E28BFB1">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kern w:val="0"/>
                      <w:sz w:val="21"/>
                      <w:szCs w:val="21"/>
                      <w:vertAlign w:val="baseline"/>
                      <w:lang w:val="en-US" w:eastAsia="zh-CN" w:bidi="ar"/>
                    </w:rPr>
                  </w:pPr>
                  <w:r>
                    <w:rPr>
                      <w:rFonts w:hint="default" w:ascii="Times New Roman" w:hAnsi="Times New Roman" w:eastAsia="宋体" w:cs="Times New Roman"/>
                      <w:b w:val="0"/>
                      <w:bCs w:val="0"/>
                      <w:color w:val="000000"/>
                      <w:kern w:val="0"/>
                      <w:sz w:val="21"/>
                      <w:szCs w:val="21"/>
                      <w:vertAlign w:val="baseline"/>
                      <w:lang w:val="en-US" w:eastAsia="zh-CN" w:bidi="ar"/>
                    </w:rPr>
                    <w:fldChar w:fldCharType="begin"/>
                  </w:r>
                  <w:r>
                    <w:rPr>
                      <w:rFonts w:hint="default" w:ascii="Times New Roman" w:hAnsi="Times New Roman" w:eastAsia="宋体" w:cs="Times New Roman"/>
                      <w:b w:val="0"/>
                      <w:bCs w:val="0"/>
                      <w:color w:val="000000"/>
                      <w:kern w:val="0"/>
                      <w:sz w:val="21"/>
                      <w:szCs w:val="21"/>
                      <w:vertAlign w:val="baseline"/>
                      <w:lang w:val="en-US" w:eastAsia="zh-CN" w:bidi="ar"/>
                    </w:rPr>
                    <w:instrText xml:space="preserve"> = sum(F2:F5) \* MERGEFORMAT </w:instrText>
                  </w:r>
                  <w:r>
                    <w:rPr>
                      <w:rFonts w:hint="default" w:ascii="Times New Roman" w:hAnsi="Times New Roman" w:eastAsia="宋体" w:cs="Times New Roman"/>
                      <w:b w:val="0"/>
                      <w:bCs w:val="0"/>
                      <w:color w:val="000000"/>
                      <w:kern w:val="0"/>
                      <w:sz w:val="21"/>
                      <w:szCs w:val="21"/>
                      <w:vertAlign w:val="baseline"/>
                      <w:lang w:val="en-US" w:eastAsia="zh-CN" w:bidi="ar"/>
                    </w:rPr>
                    <w:fldChar w:fldCharType="separate"/>
                  </w:r>
                  <w:r>
                    <w:rPr>
                      <w:rFonts w:hint="default" w:ascii="Times New Roman" w:hAnsi="Times New Roman" w:eastAsia="宋体" w:cs="Times New Roman"/>
                      <w:b w:val="0"/>
                      <w:bCs w:val="0"/>
                      <w:color w:val="000000"/>
                      <w:kern w:val="0"/>
                      <w:sz w:val="21"/>
                      <w:szCs w:val="21"/>
                      <w:vertAlign w:val="baseline"/>
                      <w:lang w:val="en-US" w:eastAsia="zh-CN" w:bidi="ar"/>
                    </w:rPr>
                    <w:t>323</w:t>
                  </w:r>
                  <w:r>
                    <w:rPr>
                      <w:rFonts w:hint="default" w:ascii="Times New Roman" w:hAnsi="Times New Roman" w:eastAsia="宋体" w:cs="Times New Roman"/>
                      <w:b w:val="0"/>
                      <w:bCs w:val="0"/>
                      <w:color w:val="000000"/>
                      <w:kern w:val="0"/>
                      <w:sz w:val="21"/>
                      <w:szCs w:val="21"/>
                      <w:vertAlign w:val="baseline"/>
                      <w:lang w:val="en-US" w:eastAsia="zh-CN" w:bidi="ar"/>
                    </w:rPr>
                    <w:fldChar w:fldCharType="end"/>
                  </w:r>
                </w:p>
              </w:tc>
            </w:tr>
          </w:tbl>
          <w:p w14:paraId="10EB5EC6">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720" w:firstLineChars="300"/>
              <w:jc w:val="both"/>
              <w:textAlignment w:val="auto"/>
              <w:rPr>
                <w:rFonts w:hint="default" w:ascii="Times New Roman" w:hAnsi="Times New Roman" w:eastAsia="宋体" w:cs="Times New Roman"/>
                <w:b w:val="0"/>
                <w:bCs w:val="0"/>
                <w:color w:val="000000"/>
                <w:kern w:val="0"/>
                <w:sz w:val="24"/>
                <w:szCs w:val="24"/>
                <w:vertAlign w:val="baseline"/>
                <w:lang w:val="en-US" w:eastAsia="zh-CN" w:bidi="ar"/>
              </w:rPr>
            </w:pPr>
          </w:p>
          <w:p w14:paraId="37BDE003">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eastAsia" w:ascii="宋体" w:hAnsi="宋体" w:eastAsia="宋体" w:cs="宋体"/>
                <w:b/>
                <w:bCs/>
                <w:color w:val="000000"/>
                <w:kern w:val="0"/>
                <w:sz w:val="24"/>
                <w:szCs w:val="24"/>
                <w:lang w:val="en-US" w:eastAsia="zh-CN" w:bidi="ar"/>
              </w:rPr>
            </w:pPr>
          </w:p>
          <w:p w14:paraId="783FBCD8">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eastAsia" w:ascii="宋体" w:hAnsi="宋体" w:eastAsia="宋体" w:cs="宋体"/>
                <w:b/>
                <w:bCs/>
                <w:color w:val="000000"/>
                <w:kern w:val="0"/>
                <w:sz w:val="24"/>
                <w:szCs w:val="24"/>
                <w:lang w:val="en-US" w:eastAsia="zh-CN" w:bidi="ar"/>
              </w:rPr>
            </w:pPr>
          </w:p>
          <w:p w14:paraId="22B65D4B">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eastAsia" w:ascii="宋体" w:hAnsi="宋体" w:eastAsia="宋体" w:cs="宋体"/>
                <w:b/>
                <w:bCs/>
                <w:color w:val="000000"/>
                <w:kern w:val="0"/>
                <w:sz w:val="24"/>
                <w:szCs w:val="24"/>
                <w:lang w:val="en-US" w:eastAsia="zh-CN" w:bidi="ar"/>
              </w:rPr>
            </w:pPr>
          </w:p>
          <w:p w14:paraId="77D370C6">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eastAsia" w:ascii="宋体" w:hAnsi="宋体" w:eastAsia="宋体" w:cs="宋体"/>
                <w:b/>
                <w:bCs/>
                <w:color w:val="000000"/>
                <w:kern w:val="0"/>
                <w:sz w:val="24"/>
                <w:szCs w:val="24"/>
                <w:lang w:val="en-US" w:eastAsia="zh-CN" w:bidi="ar"/>
              </w:rPr>
            </w:pPr>
          </w:p>
          <w:p w14:paraId="3D17BD53">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eastAsia" w:ascii="宋体" w:hAnsi="宋体" w:eastAsia="宋体" w:cs="宋体"/>
                <w:b/>
                <w:bCs/>
                <w:color w:val="000000"/>
                <w:kern w:val="0"/>
                <w:sz w:val="24"/>
                <w:szCs w:val="24"/>
                <w:lang w:val="en-US" w:eastAsia="zh-CN" w:bidi="ar"/>
              </w:rPr>
            </w:pPr>
          </w:p>
          <w:p w14:paraId="15962832">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rFonts w:hint="eastAsia" w:ascii="宋体" w:hAnsi="宋体" w:eastAsia="宋体" w:cs="宋体"/>
                <w:b/>
                <w:bCs/>
                <w:color w:val="000000"/>
                <w:kern w:val="0"/>
                <w:sz w:val="24"/>
                <w:szCs w:val="24"/>
                <w:lang w:val="en-US" w:eastAsia="zh-CN" w:bidi="ar"/>
              </w:rPr>
            </w:pPr>
          </w:p>
          <w:p w14:paraId="4DE6CA71">
            <w:pPr>
              <w:keepNext w:val="0"/>
              <w:keepLines w:val="0"/>
              <w:pageBreakBefore w:val="0"/>
              <w:widowControl/>
              <w:suppressLineNumbers w:val="0"/>
              <w:kinsoku/>
              <w:wordWrap/>
              <w:overflowPunct/>
              <w:topLinePunct w:val="0"/>
              <w:autoSpaceDE/>
              <w:autoSpaceDN/>
              <w:bidi w:val="0"/>
              <w:adjustRightInd w:val="0"/>
              <w:snapToGrid w:val="0"/>
              <w:spacing w:line="500" w:lineRule="exact"/>
              <w:jc w:val="center"/>
              <w:textAlignment w:val="auto"/>
              <w:rPr>
                <w:sz w:val="24"/>
                <w:szCs w:val="24"/>
              </w:rPr>
            </w:pPr>
            <w:r>
              <w:rPr>
                <w:rFonts w:hint="eastAsia" w:ascii="宋体" w:hAnsi="宋体" w:eastAsia="宋体" w:cs="宋体"/>
                <w:b/>
                <w:bCs/>
                <w:color w:val="000000"/>
                <w:kern w:val="0"/>
                <w:sz w:val="24"/>
                <w:szCs w:val="24"/>
                <w:lang w:val="en-US" w:eastAsia="zh-CN" w:bidi="ar"/>
              </w:rPr>
              <w:t>图</w:t>
            </w:r>
            <w:r>
              <w:rPr>
                <w:rFonts w:hint="default" w:ascii="Times New Roman" w:hAnsi="Times New Roman" w:eastAsia="宋体" w:cs="Times New Roman"/>
                <w:b/>
                <w:bCs/>
                <w:color w:val="000000"/>
                <w:kern w:val="0"/>
                <w:sz w:val="24"/>
                <w:szCs w:val="24"/>
                <w:lang w:val="en-US" w:eastAsia="zh-CN" w:bidi="ar"/>
              </w:rPr>
              <w:t>2-</w:t>
            </w:r>
            <w:r>
              <w:rPr>
                <w:rFonts w:hint="eastAsia" w:ascii="Times New Roman" w:hAnsi="Times New Roman" w:eastAsia="宋体" w:cs="Times New Roman"/>
                <w:b/>
                <w:bCs/>
                <w:color w:val="000000"/>
                <w:kern w:val="0"/>
                <w:sz w:val="24"/>
                <w:szCs w:val="24"/>
                <w:lang w:val="en-US" w:eastAsia="zh-CN" w:bidi="ar"/>
              </w:rPr>
              <w:t>1</w:t>
            </w:r>
            <w:r>
              <w:rPr>
                <w:rFonts w:hint="eastAsia" w:ascii="宋体" w:hAnsi="宋体" w:eastAsia="宋体" w:cs="宋体"/>
                <w:b/>
                <w:bCs/>
                <w:color w:val="000000"/>
                <w:kern w:val="0"/>
                <w:sz w:val="24"/>
                <w:szCs w:val="24"/>
                <w:lang w:val="en-US" w:eastAsia="zh-CN" w:bidi="ar"/>
              </w:rPr>
              <w:t>项目物料平衡图（单位：</w:t>
            </w:r>
            <w:r>
              <w:rPr>
                <w:rFonts w:hint="default" w:ascii="Times New Roman" w:hAnsi="Times New Roman" w:eastAsia="宋体" w:cs="Times New Roman"/>
                <w:b/>
                <w:bCs/>
                <w:color w:val="000000"/>
                <w:kern w:val="0"/>
                <w:sz w:val="24"/>
                <w:szCs w:val="24"/>
                <w:lang w:val="en-US" w:eastAsia="zh-CN" w:bidi="ar"/>
              </w:rPr>
              <w:t>t/d</w:t>
            </w:r>
            <w:r>
              <w:rPr>
                <w:rFonts w:hint="eastAsia" w:ascii="宋体" w:hAnsi="宋体" w:eastAsia="宋体" w:cs="宋体"/>
                <w:b/>
                <w:bCs/>
                <w:color w:val="000000"/>
                <w:kern w:val="0"/>
                <w:sz w:val="24"/>
                <w:szCs w:val="24"/>
                <w:lang w:val="en-US" w:eastAsia="zh-CN" w:bidi="ar"/>
              </w:rPr>
              <w:t>）</w:t>
            </w:r>
          </w:p>
          <w:p w14:paraId="16A41E64">
            <w:pPr>
              <w:keepNext w:val="0"/>
              <w:keepLines w:val="0"/>
              <w:pageBreakBefore w:val="0"/>
              <w:kinsoku/>
              <w:wordWrap/>
              <w:overflowPunct/>
              <w:topLinePunct w:val="0"/>
              <w:autoSpaceDE/>
              <w:autoSpaceDN/>
              <w:bidi w:val="0"/>
              <w:adjustRightInd w:val="0"/>
              <w:snapToGrid w:val="0"/>
              <w:spacing w:line="500" w:lineRule="exact"/>
              <w:ind w:firstLine="482" w:firstLineChars="200"/>
              <w:jc w:val="both"/>
              <w:textAlignment w:val="auto"/>
              <w:rPr>
                <w:rFonts w:hint="default"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highlight w:val="none"/>
                <w:lang w:val="en-US" w:eastAsia="zh-CN"/>
              </w:rPr>
              <w:t>（2）</w:t>
            </w:r>
            <w:r>
              <w:rPr>
                <w:rFonts w:hint="default" w:ascii="Times New Roman" w:hAnsi="Times New Roman" w:cs="Times New Roman"/>
                <w:b/>
                <w:bCs/>
                <w:sz w:val="24"/>
                <w:szCs w:val="24"/>
                <w:highlight w:val="none"/>
                <w:lang w:val="en-US" w:eastAsia="zh-CN"/>
              </w:rPr>
              <w:t>水平衡</w:t>
            </w:r>
          </w:p>
          <w:p w14:paraId="0D19416E">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cs="Times New Roman"/>
                <w:sz w:val="24"/>
                <w:szCs w:val="24"/>
              </w:rPr>
            </w:pPr>
            <w:r>
              <w:rPr>
                <w:rFonts w:hint="eastAsia" w:ascii="Times New Roman" w:hAnsi="Times New Roman" w:eastAsia="宋体" w:cs="Times New Roman"/>
                <w:color w:val="000000"/>
                <w:kern w:val="0"/>
                <w:sz w:val="24"/>
                <w:szCs w:val="24"/>
                <w:lang w:val="en-US" w:eastAsia="zh-CN" w:bidi="ar"/>
              </w:rPr>
              <w:t>结合生产工艺特点，</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营运期仅有生活用水，无生产用水，具体</w:t>
            </w:r>
            <w:r>
              <w:rPr>
                <w:rFonts w:hint="default" w:ascii="Times New Roman" w:hAnsi="Times New Roman" w:eastAsia="宋体" w:cs="Times New Roman"/>
                <w:color w:val="000000"/>
                <w:kern w:val="0"/>
                <w:sz w:val="24"/>
                <w:szCs w:val="24"/>
                <w:lang w:val="en-US" w:eastAsia="zh-CN" w:bidi="ar"/>
              </w:rPr>
              <w:t>情况见下表。</w:t>
            </w:r>
          </w:p>
          <w:p w14:paraId="53070B2A">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表2-</w:t>
            </w:r>
            <w:r>
              <w:rPr>
                <w:rFonts w:hint="eastAsia" w:ascii="Times New Roman" w:hAnsi="Times New Roman" w:cs="Times New Roman"/>
                <w:b/>
                <w:color w:val="000000"/>
                <w:sz w:val="24"/>
                <w:szCs w:val="24"/>
                <w:lang w:val="en-US" w:eastAsia="zh-CN"/>
              </w:rPr>
              <w:t>7</w:t>
            </w:r>
            <w:r>
              <w:rPr>
                <w:rFonts w:hint="default" w:ascii="Times New Roman" w:hAnsi="Times New Roman" w:cs="Times New Roman"/>
                <w:b/>
                <w:color w:val="000000"/>
                <w:sz w:val="24"/>
                <w:szCs w:val="24"/>
              </w:rPr>
              <w:t>项目水平衡表</w:t>
            </w:r>
          </w:p>
          <w:tbl>
            <w:tblPr>
              <w:tblStyle w:val="29"/>
              <w:tblW w:w="41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409"/>
              <w:gridCol w:w="1669"/>
              <w:gridCol w:w="2147"/>
              <w:gridCol w:w="1821"/>
            </w:tblGrid>
            <w:tr w14:paraId="3A10C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8" w:type="pct"/>
                  <w:noWrap w:val="0"/>
                  <w:vAlign w:val="center"/>
                </w:tcPr>
                <w:p w14:paraId="4CB8319C">
                  <w:pPr>
                    <w:adjustRightInd w:val="0"/>
                    <w:snapToGrid w:val="0"/>
                    <w:spacing w:line="240" w:lineRule="auto"/>
                    <w:ind w:firstLine="0" w:firstLineChars="0"/>
                    <w:jc w:val="center"/>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序号</w:t>
                  </w:r>
                </w:p>
              </w:tc>
              <w:tc>
                <w:tcPr>
                  <w:tcW w:w="909" w:type="pct"/>
                  <w:noWrap w:val="0"/>
                  <w:vAlign w:val="center"/>
                </w:tcPr>
                <w:p w14:paraId="58858CF3">
                  <w:pPr>
                    <w:adjustRightInd w:val="0"/>
                    <w:snapToGrid w:val="0"/>
                    <w:spacing w:line="240" w:lineRule="auto"/>
                    <w:ind w:firstLine="0" w:firstLineChars="0"/>
                    <w:jc w:val="center"/>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用排水单位</w:t>
                  </w:r>
                </w:p>
              </w:tc>
              <w:tc>
                <w:tcPr>
                  <w:tcW w:w="1078" w:type="pct"/>
                  <w:noWrap w:val="0"/>
                  <w:vAlign w:val="center"/>
                </w:tcPr>
                <w:p w14:paraId="7B27A043">
                  <w:pPr>
                    <w:adjustRightInd w:val="0"/>
                    <w:snapToGrid w:val="0"/>
                    <w:spacing w:line="240" w:lineRule="auto"/>
                    <w:ind w:firstLine="0" w:firstLineChars="0"/>
                    <w:jc w:val="center"/>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用水量（m</w:t>
                  </w:r>
                  <w:r>
                    <w:rPr>
                      <w:rFonts w:hint="default" w:ascii="Times New Roman" w:hAnsi="Times New Roman" w:eastAsia="宋体" w:cs="Times New Roman"/>
                      <w:bCs/>
                      <w:color w:val="000000"/>
                      <w:sz w:val="21"/>
                      <w:szCs w:val="21"/>
                      <w:vertAlign w:val="superscript"/>
                    </w:rPr>
                    <w:t>3</w:t>
                  </w:r>
                  <w:r>
                    <w:rPr>
                      <w:rFonts w:hint="default" w:ascii="Times New Roman" w:hAnsi="Times New Roman" w:eastAsia="宋体" w:cs="Times New Roman"/>
                      <w:bCs/>
                      <w:color w:val="000000"/>
                      <w:sz w:val="21"/>
                      <w:szCs w:val="21"/>
                    </w:rPr>
                    <w:t>/</w:t>
                  </w:r>
                  <w:r>
                    <w:rPr>
                      <w:rFonts w:hint="default" w:ascii="Times New Roman" w:hAnsi="Times New Roman" w:eastAsia="宋体" w:cs="Times New Roman"/>
                      <w:bCs/>
                      <w:color w:val="000000"/>
                      <w:sz w:val="21"/>
                      <w:szCs w:val="21"/>
                      <w:lang w:val="en-US" w:eastAsia="zh-CN"/>
                    </w:rPr>
                    <w:t>d</w:t>
                  </w:r>
                  <w:r>
                    <w:rPr>
                      <w:rFonts w:hint="default" w:ascii="Times New Roman" w:hAnsi="Times New Roman" w:eastAsia="宋体" w:cs="Times New Roman"/>
                      <w:bCs/>
                      <w:color w:val="000000"/>
                      <w:sz w:val="21"/>
                      <w:szCs w:val="21"/>
                    </w:rPr>
                    <w:t>）</w:t>
                  </w:r>
                </w:p>
              </w:tc>
              <w:tc>
                <w:tcPr>
                  <w:tcW w:w="1386" w:type="pct"/>
                  <w:noWrap w:val="0"/>
                  <w:vAlign w:val="center"/>
                </w:tcPr>
                <w:p w14:paraId="166B2550">
                  <w:pPr>
                    <w:adjustRightInd w:val="0"/>
                    <w:snapToGrid w:val="0"/>
                    <w:spacing w:line="240" w:lineRule="auto"/>
                    <w:ind w:firstLine="0" w:firstLineChars="0"/>
                    <w:jc w:val="center"/>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污水产生量（m</w:t>
                  </w:r>
                  <w:r>
                    <w:rPr>
                      <w:rFonts w:hint="default" w:ascii="Times New Roman" w:hAnsi="Times New Roman" w:eastAsia="宋体" w:cs="Times New Roman"/>
                      <w:bCs/>
                      <w:color w:val="000000"/>
                      <w:sz w:val="21"/>
                      <w:szCs w:val="21"/>
                      <w:vertAlign w:val="superscript"/>
                    </w:rPr>
                    <w:t>3</w:t>
                  </w:r>
                  <w:r>
                    <w:rPr>
                      <w:rFonts w:hint="default" w:ascii="Times New Roman" w:hAnsi="Times New Roman" w:eastAsia="宋体" w:cs="Times New Roman"/>
                      <w:bCs/>
                      <w:color w:val="000000"/>
                      <w:sz w:val="21"/>
                      <w:szCs w:val="21"/>
                    </w:rPr>
                    <w:t>/</w:t>
                  </w:r>
                  <w:r>
                    <w:rPr>
                      <w:rFonts w:hint="default" w:ascii="Times New Roman" w:hAnsi="Times New Roman" w:eastAsia="宋体" w:cs="Times New Roman"/>
                      <w:bCs/>
                      <w:color w:val="000000"/>
                      <w:sz w:val="21"/>
                      <w:szCs w:val="21"/>
                      <w:lang w:val="en-US" w:eastAsia="zh-CN"/>
                    </w:rPr>
                    <w:t>d</w:t>
                  </w:r>
                  <w:r>
                    <w:rPr>
                      <w:rFonts w:hint="default" w:ascii="Times New Roman" w:hAnsi="Times New Roman" w:eastAsia="宋体" w:cs="Times New Roman"/>
                      <w:bCs/>
                      <w:color w:val="000000"/>
                      <w:sz w:val="21"/>
                      <w:szCs w:val="21"/>
                    </w:rPr>
                    <w:t>）</w:t>
                  </w:r>
                </w:p>
              </w:tc>
              <w:tc>
                <w:tcPr>
                  <w:tcW w:w="1176" w:type="pct"/>
                  <w:noWrap w:val="0"/>
                  <w:vAlign w:val="center"/>
                </w:tcPr>
                <w:p w14:paraId="75381231">
                  <w:pPr>
                    <w:adjustRightInd w:val="0"/>
                    <w:snapToGrid w:val="0"/>
                    <w:spacing w:line="240" w:lineRule="auto"/>
                    <w:ind w:firstLine="0" w:firstLineChars="0"/>
                    <w:jc w:val="center"/>
                    <w:rPr>
                      <w:rFonts w:hint="default" w:ascii="Times New Roman" w:hAnsi="Times New Roman" w:eastAsia="宋体" w:cs="Times New Roman"/>
                      <w:bCs/>
                      <w:color w:val="000000"/>
                      <w:sz w:val="21"/>
                      <w:szCs w:val="21"/>
                    </w:rPr>
                  </w:pPr>
                  <w:r>
                    <w:rPr>
                      <w:rFonts w:hint="default" w:ascii="Times New Roman" w:hAnsi="Times New Roman" w:eastAsia="宋体" w:cs="Times New Roman"/>
                      <w:bCs/>
                      <w:color w:val="000000"/>
                      <w:sz w:val="21"/>
                      <w:szCs w:val="21"/>
                    </w:rPr>
                    <w:t>损耗量（m</w:t>
                  </w:r>
                  <w:r>
                    <w:rPr>
                      <w:rFonts w:hint="default" w:ascii="Times New Roman" w:hAnsi="Times New Roman" w:eastAsia="宋体" w:cs="Times New Roman"/>
                      <w:bCs/>
                      <w:color w:val="000000"/>
                      <w:sz w:val="21"/>
                      <w:szCs w:val="21"/>
                      <w:vertAlign w:val="superscript"/>
                    </w:rPr>
                    <w:t>3</w:t>
                  </w:r>
                  <w:r>
                    <w:rPr>
                      <w:rFonts w:hint="default" w:ascii="Times New Roman" w:hAnsi="Times New Roman" w:eastAsia="宋体" w:cs="Times New Roman"/>
                      <w:bCs/>
                      <w:color w:val="000000"/>
                      <w:sz w:val="21"/>
                      <w:szCs w:val="21"/>
                    </w:rPr>
                    <w:t>/</w:t>
                  </w:r>
                  <w:r>
                    <w:rPr>
                      <w:rFonts w:hint="default" w:ascii="Times New Roman" w:hAnsi="Times New Roman" w:eastAsia="宋体" w:cs="Times New Roman"/>
                      <w:bCs/>
                      <w:color w:val="000000"/>
                      <w:sz w:val="21"/>
                      <w:szCs w:val="21"/>
                      <w:lang w:val="en-US" w:eastAsia="zh-CN"/>
                    </w:rPr>
                    <w:t>d</w:t>
                  </w:r>
                  <w:r>
                    <w:rPr>
                      <w:rFonts w:hint="default" w:ascii="Times New Roman" w:hAnsi="Times New Roman" w:eastAsia="宋体" w:cs="Times New Roman"/>
                      <w:bCs/>
                      <w:color w:val="000000"/>
                      <w:sz w:val="21"/>
                      <w:szCs w:val="21"/>
                    </w:rPr>
                    <w:t>）</w:t>
                  </w:r>
                </w:p>
              </w:tc>
            </w:tr>
            <w:tr w14:paraId="2058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8" w:type="pct"/>
                  <w:noWrap w:val="0"/>
                  <w:vAlign w:val="center"/>
                </w:tcPr>
                <w:p w14:paraId="59E3F84F">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w:t>
                  </w:r>
                </w:p>
              </w:tc>
              <w:tc>
                <w:tcPr>
                  <w:tcW w:w="909" w:type="pct"/>
                  <w:noWrap w:val="0"/>
                  <w:vAlign w:val="center"/>
                </w:tcPr>
                <w:p w14:paraId="3330C3E1">
                  <w:pPr>
                    <w:adjustRightInd w:val="0"/>
                    <w:snapToGrid w:val="0"/>
                    <w:spacing w:line="240" w:lineRule="auto"/>
                    <w:ind w:firstLine="0" w:firstLineChars="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员工生活</w:t>
                  </w:r>
                </w:p>
              </w:tc>
              <w:tc>
                <w:tcPr>
                  <w:tcW w:w="1078" w:type="pct"/>
                  <w:noWrap w:val="0"/>
                  <w:vAlign w:val="center"/>
                </w:tcPr>
                <w:p w14:paraId="3DD5E753">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4.5</w:t>
                  </w:r>
                </w:p>
              </w:tc>
              <w:tc>
                <w:tcPr>
                  <w:tcW w:w="1386" w:type="pct"/>
                  <w:noWrap w:val="0"/>
                  <w:vAlign w:val="center"/>
                </w:tcPr>
                <w:p w14:paraId="5F7683C9">
                  <w:pPr>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3.8</w:t>
                  </w:r>
                </w:p>
              </w:tc>
              <w:tc>
                <w:tcPr>
                  <w:tcW w:w="1176" w:type="pct"/>
                  <w:noWrap w:val="0"/>
                  <w:vAlign w:val="center"/>
                </w:tcPr>
                <w:p w14:paraId="019E1FB0">
                  <w:pPr>
                    <w:adjustRightInd w:val="0"/>
                    <w:snapToGrid w:val="0"/>
                    <w:spacing w:line="240" w:lineRule="auto"/>
                    <w:ind w:firstLine="0" w:firstLineChars="0"/>
                    <w:jc w:val="center"/>
                    <w:rPr>
                      <w:rFonts w:hint="default" w:ascii="Times New Roman" w:hAnsi="Times New Roman" w:eastAsia="宋体" w:cs="Times New Roman"/>
                      <w:bCs/>
                      <w:sz w:val="21"/>
                      <w:szCs w:val="21"/>
                      <w:lang w:val="en-US" w:eastAsia="zh-CN"/>
                    </w:rPr>
                  </w:pPr>
                  <w:r>
                    <w:rPr>
                      <w:rFonts w:hint="eastAsia" w:ascii="Times New Roman" w:hAnsi="Times New Roman" w:eastAsia="宋体" w:cs="Times New Roman"/>
                      <w:bCs/>
                      <w:sz w:val="21"/>
                      <w:szCs w:val="21"/>
                      <w:lang w:val="en-US" w:eastAsia="zh-CN"/>
                    </w:rPr>
                    <w:t>0.7</w:t>
                  </w:r>
                </w:p>
              </w:tc>
            </w:tr>
          </w:tbl>
          <w:p w14:paraId="20311A6D">
            <w:pPr>
              <w:adjustRightInd w:val="0"/>
              <w:snapToGrid w:val="0"/>
              <w:spacing w:line="500" w:lineRule="exact"/>
              <w:ind w:firstLine="480" w:firstLineChars="200"/>
              <w:jc w:val="both"/>
              <w:rPr>
                <w:rFonts w:hint="eastAsia"/>
                <w:b/>
                <w:bCs/>
                <w:highlight w:val="none"/>
                <w:lang w:val="en-US" w:eastAsia="zh-CN"/>
              </w:rPr>
            </w:pPr>
            <w:r>
              <w:rPr>
                <w:sz w:val="24"/>
              </w:rPr>
              <mc:AlternateContent>
                <mc:Choice Requires="wpg">
                  <w:drawing>
                    <wp:anchor distT="0" distB="0" distL="114300" distR="114300" simplePos="0" relativeHeight="251669504" behindDoc="0" locked="0" layoutInCell="1" allowOverlap="1">
                      <wp:simplePos x="0" y="0"/>
                      <wp:positionH relativeFrom="column">
                        <wp:posOffset>514985</wp:posOffset>
                      </wp:positionH>
                      <wp:positionV relativeFrom="paragraph">
                        <wp:posOffset>102870</wp:posOffset>
                      </wp:positionV>
                      <wp:extent cx="4968240" cy="866775"/>
                      <wp:effectExtent l="0" t="4445" r="3175" b="5080"/>
                      <wp:wrapNone/>
                      <wp:docPr id="189" name="组合 189"/>
                      <wp:cNvGraphicFramePr/>
                      <a:graphic xmlns:a="http://schemas.openxmlformats.org/drawingml/2006/main">
                        <a:graphicData uri="http://schemas.microsoft.com/office/word/2010/wordprocessingGroup">
                          <wpg:wgp>
                            <wpg:cNvGrpSpPr/>
                            <wpg:grpSpPr>
                              <a:xfrm>
                                <a:off x="0" y="0"/>
                                <a:ext cx="4968240" cy="866775"/>
                                <a:chOff x="10444" y="315579"/>
                                <a:chExt cx="7824" cy="1365"/>
                              </a:xfrm>
                            </wpg:grpSpPr>
                            <wps:wsp>
                              <wps:cNvPr id="174" name="直接连接符 174"/>
                              <wps:cNvCnPr/>
                              <wps:spPr>
                                <a:xfrm>
                                  <a:off x="11242" y="316422"/>
                                  <a:ext cx="454" cy="0"/>
                                </a:xfrm>
                                <a:prstGeom prst="line">
                                  <a:avLst/>
                                </a:prstGeom>
                                <a:ln w="9525" cap="flat" cmpd="sng">
                                  <a:solidFill>
                                    <a:srgbClr val="000000"/>
                                  </a:solidFill>
                                  <a:prstDash val="solid"/>
                                  <a:round/>
                                  <a:headEnd type="none" w="med" len="med"/>
                                  <a:tailEnd type="triangle" w="med" len="med"/>
                                </a:ln>
                              </wps:spPr>
                              <wps:bodyPr upright="1"/>
                            </wps:wsp>
                            <wps:wsp>
                              <wps:cNvPr id="175" name="直接连接符 175"/>
                              <wps:cNvCnPr/>
                              <wps:spPr>
                                <a:xfrm>
                                  <a:off x="14362" y="316422"/>
                                  <a:ext cx="454" cy="0"/>
                                </a:xfrm>
                                <a:prstGeom prst="line">
                                  <a:avLst/>
                                </a:prstGeom>
                                <a:ln w="9525" cap="flat" cmpd="sng">
                                  <a:solidFill>
                                    <a:srgbClr val="000000"/>
                                  </a:solidFill>
                                  <a:prstDash val="solid"/>
                                  <a:round/>
                                  <a:headEnd type="none" w="med" len="med"/>
                                  <a:tailEnd type="triangle" w="med" len="med"/>
                                </a:ln>
                              </wps:spPr>
                              <wps:bodyPr upright="1"/>
                            </wps:wsp>
                            <wpg:grpSp>
                              <wpg:cNvPr id="188" name="组合 188"/>
                              <wpg:cNvGrpSpPr/>
                              <wpg:grpSpPr>
                                <a:xfrm>
                                  <a:off x="10444" y="315579"/>
                                  <a:ext cx="7824" cy="1365"/>
                                  <a:chOff x="9949" y="316149"/>
                                  <a:chExt cx="7824" cy="1365"/>
                                </a:xfrm>
                              </wpg:grpSpPr>
                              <wps:wsp>
                                <wps:cNvPr id="176" name="流程图: 过程 176"/>
                                <wps:cNvSpPr/>
                                <wps:spPr>
                                  <a:xfrm>
                                    <a:off x="9949" y="316779"/>
                                    <a:ext cx="915" cy="406"/>
                                  </a:xfrm>
                                  <a:prstGeom prst="flowChartProcess">
                                    <a:avLst/>
                                  </a:prstGeom>
                                  <a:noFill/>
                                  <a:ln>
                                    <a:noFill/>
                                  </a:ln>
                                </wps:spPr>
                                <wps:txbx>
                                  <w:txbxContent>
                                    <w:p w14:paraId="29DBA997">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新鲜水</w:t>
                                      </w:r>
                                    </w:p>
                                  </w:txbxContent>
                                </wps:txbx>
                                <wps:bodyPr lIns="78236" tIns="39118" rIns="78236" bIns="39118" upright="1"/>
                              </wps:wsp>
                              <wps:wsp>
                                <wps:cNvPr id="177" name="流程图: 过程 177"/>
                                <wps:cNvSpPr/>
                                <wps:spPr>
                                  <a:xfrm>
                                    <a:off x="16639" y="316494"/>
                                    <a:ext cx="1134" cy="1020"/>
                                  </a:xfrm>
                                  <a:prstGeom prst="flowChartProcess">
                                    <a:avLst/>
                                  </a:prstGeom>
                                  <a:solidFill>
                                    <a:srgbClr val="FFFFFF"/>
                                  </a:solidFill>
                                  <a:ln>
                                    <a:noFill/>
                                  </a:ln>
                                </wps:spPr>
                                <wps:txbx>
                                  <w:txbxContent>
                                    <w:p w14:paraId="5DAC3884">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老城污水处理厂（西区）</w:t>
                                      </w:r>
                                    </w:p>
                                  </w:txbxContent>
                                </wps:txbx>
                                <wps:bodyPr lIns="78236" tIns="39118" rIns="78236" bIns="39118" upright="1"/>
                              </wps:wsp>
                              <wps:wsp>
                                <wps:cNvPr id="178" name="流程图: 过程 178"/>
                                <wps:cNvSpPr/>
                                <wps:spPr>
                                  <a:xfrm>
                                    <a:off x="11193" y="316764"/>
                                    <a:ext cx="1113"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170BA78D">
                                      <w:pPr>
                                        <w:spacing w:line="240" w:lineRule="auto"/>
                                        <w:ind w:firstLine="0" w:firstLineChars="0"/>
                                        <w:jc w:val="center"/>
                                        <w:rPr>
                                          <w:rFonts w:hint="default"/>
                                          <w:sz w:val="21"/>
                                          <w:szCs w:val="21"/>
                                          <w:lang w:val="en-US"/>
                                        </w:rPr>
                                      </w:pPr>
                                      <w:r>
                                        <w:rPr>
                                          <w:rFonts w:hint="eastAsia"/>
                                          <w:sz w:val="21"/>
                                          <w:szCs w:val="21"/>
                                          <w:lang w:val="en-US" w:eastAsia="zh-CN"/>
                                        </w:rPr>
                                        <w:t>生活用水</w:t>
                                      </w:r>
                                    </w:p>
                                  </w:txbxContent>
                                </wps:txbx>
                                <wps:bodyPr lIns="78236" tIns="39118" rIns="78236" bIns="39118" upright="1"/>
                              </wps:wsp>
                              <wps:wsp>
                                <wps:cNvPr id="179" name="流程图: 过程 179"/>
                                <wps:cNvSpPr/>
                                <wps:spPr>
                                  <a:xfrm>
                                    <a:off x="12753" y="316749"/>
                                    <a:ext cx="1113"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64634FEE">
                                      <w:pPr>
                                        <w:spacing w:line="240" w:lineRule="auto"/>
                                        <w:ind w:firstLine="0" w:firstLineChars="0"/>
                                        <w:jc w:val="center"/>
                                        <w:rPr>
                                          <w:rFonts w:hint="default"/>
                                          <w:sz w:val="21"/>
                                          <w:szCs w:val="21"/>
                                          <w:lang w:val="en-US"/>
                                        </w:rPr>
                                      </w:pPr>
                                      <w:r>
                                        <w:rPr>
                                          <w:rFonts w:hint="eastAsia"/>
                                          <w:sz w:val="21"/>
                                          <w:szCs w:val="21"/>
                                          <w:lang w:val="en-US" w:eastAsia="zh-CN"/>
                                        </w:rPr>
                                        <w:t>生活污水</w:t>
                                      </w:r>
                                    </w:p>
                                  </w:txbxContent>
                                </wps:txbx>
                                <wps:bodyPr lIns="78236" tIns="39118" rIns="78236" bIns="39118" upright="1"/>
                              </wps:wsp>
                              <wps:wsp>
                                <wps:cNvPr id="180" name="流程图: 过程 180"/>
                                <wps:cNvSpPr/>
                                <wps:spPr>
                                  <a:xfrm>
                                    <a:off x="14313" y="316764"/>
                                    <a:ext cx="1382"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14:paraId="06654009">
                                      <w:pPr>
                                        <w:spacing w:line="240" w:lineRule="auto"/>
                                        <w:ind w:firstLine="0" w:firstLineChars="0"/>
                                        <w:jc w:val="center"/>
                                        <w:rPr>
                                          <w:rFonts w:hint="default"/>
                                          <w:sz w:val="21"/>
                                          <w:szCs w:val="21"/>
                                          <w:lang w:val="en-US"/>
                                        </w:rPr>
                                      </w:pPr>
                                      <w:r>
                                        <w:rPr>
                                          <w:rFonts w:hint="eastAsia"/>
                                          <w:sz w:val="21"/>
                                          <w:szCs w:val="21"/>
                                          <w:lang w:val="en-US" w:eastAsia="zh-CN"/>
                                        </w:rPr>
                                        <w:t>三级化粪池</w:t>
                                      </w:r>
                                    </w:p>
                                  </w:txbxContent>
                                </wps:txbx>
                                <wps:bodyPr lIns="78236" tIns="39118" rIns="78236" bIns="39118" upright="1"/>
                              </wps:wsp>
                              <wps:wsp>
                                <wps:cNvPr id="181" name="流程图: 过程 181"/>
                                <wps:cNvSpPr/>
                                <wps:spPr>
                                  <a:xfrm>
                                    <a:off x="15603" y="316689"/>
                                    <a:ext cx="1171" cy="633"/>
                                  </a:xfrm>
                                  <a:prstGeom prst="flowChartProcess">
                                    <a:avLst/>
                                  </a:prstGeom>
                                  <a:noFill/>
                                  <a:ln>
                                    <a:noFill/>
                                  </a:ln>
                                </wps:spPr>
                                <wps:txbx>
                                  <w:txbxContent>
                                    <w:p w14:paraId="292A3774">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sz w:val="21"/>
                                          <w:szCs w:val="21"/>
                                          <w:lang w:val="en-US"/>
                                        </w:rPr>
                                      </w:pPr>
                                      <w:r>
                                        <w:rPr>
                                          <w:rFonts w:hint="eastAsia"/>
                                          <w:sz w:val="21"/>
                                          <w:szCs w:val="21"/>
                                          <w:lang w:val="en-US" w:eastAsia="zh-CN"/>
                                        </w:rPr>
                                        <w:t>市政污水管网</w:t>
                                      </w:r>
                                    </w:p>
                                  </w:txbxContent>
                                </wps:txbx>
                                <wps:bodyPr lIns="78236" tIns="39118" rIns="78236" bIns="39118" upright="1"/>
                              </wps:wsp>
                              <wps:wsp>
                                <wps:cNvPr id="182" name="直接连接符 182"/>
                                <wps:cNvCnPr/>
                                <wps:spPr>
                                  <a:xfrm>
                                    <a:off x="12307" y="316992"/>
                                    <a:ext cx="454" cy="0"/>
                                  </a:xfrm>
                                  <a:prstGeom prst="line">
                                    <a:avLst/>
                                  </a:prstGeom>
                                  <a:ln w="9525" cap="flat" cmpd="sng">
                                    <a:solidFill>
                                      <a:srgbClr val="000000"/>
                                    </a:solidFill>
                                    <a:prstDash val="solid"/>
                                    <a:round/>
                                    <a:headEnd type="none" w="med" len="med"/>
                                    <a:tailEnd type="triangle" w="med" len="med"/>
                                  </a:ln>
                                </wps:spPr>
                                <wps:bodyPr upright="1"/>
                              </wps:wsp>
                              <wps:wsp>
                                <wps:cNvPr id="183" name="直接连接符 183"/>
                                <wps:cNvCnPr/>
                                <wps:spPr>
                                  <a:xfrm>
                                    <a:off x="15697" y="317002"/>
                                    <a:ext cx="1077" cy="0"/>
                                  </a:xfrm>
                                  <a:prstGeom prst="line">
                                    <a:avLst/>
                                  </a:prstGeom>
                                  <a:ln w="9525" cap="flat" cmpd="sng">
                                    <a:solidFill>
                                      <a:srgbClr val="000000"/>
                                    </a:solidFill>
                                    <a:prstDash val="solid"/>
                                    <a:round/>
                                    <a:headEnd type="none" w="med" len="med"/>
                                    <a:tailEnd type="triangle" w="med" len="med"/>
                                  </a:ln>
                                </wps:spPr>
                                <wps:bodyPr upright="1"/>
                              </wps:wsp>
                              <wps:wsp>
                                <wps:cNvPr id="184" name="直接连接符 184"/>
                                <wps:cNvCnPr/>
                                <wps:spPr>
                                  <a:xfrm flipV="1">
                                    <a:off x="12507" y="316572"/>
                                    <a:ext cx="1" cy="417"/>
                                  </a:xfrm>
                                  <a:prstGeom prst="line">
                                    <a:avLst/>
                                  </a:prstGeom>
                                  <a:ln w="9525" cap="flat" cmpd="sng">
                                    <a:solidFill>
                                      <a:srgbClr val="000000"/>
                                    </a:solidFill>
                                    <a:prstDash val="dash"/>
                                    <a:round/>
                                    <a:headEnd type="none" w="med" len="med"/>
                                    <a:tailEnd type="triangle" w="med" len="med"/>
                                  </a:ln>
                                </wps:spPr>
                                <wps:bodyPr upright="1"/>
                              </wps:wsp>
                              <wps:wsp>
                                <wps:cNvPr id="185" name="流程图: 过程 185"/>
                                <wps:cNvSpPr/>
                                <wps:spPr>
                                  <a:xfrm>
                                    <a:off x="11973" y="316149"/>
                                    <a:ext cx="1038" cy="419"/>
                                  </a:xfrm>
                                  <a:prstGeom prst="flowChartProcess">
                                    <a:avLst/>
                                  </a:prstGeom>
                                  <a:solidFill>
                                    <a:srgbClr val="FFFFFF"/>
                                  </a:solidFill>
                                  <a:ln w="9525" cap="flat" cmpd="sng">
                                    <a:solidFill>
                                      <a:srgbClr val="000000"/>
                                    </a:solidFill>
                                    <a:prstDash val="dash"/>
                                    <a:miter/>
                                    <a:headEnd type="none" w="med" len="med"/>
                                    <a:tailEnd type="none" w="med" len="med"/>
                                  </a:ln>
                                </wps:spPr>
                                <wps:txbx>
                                  <w:txbxContent>
                                    <w:p w14:paraId="7D8F06CA">
                                      <w:pPr>
                                        <w:pStyle w:val="36"/>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sz w:val="21"/>
                                          <w:szCs w:val="21"/>
                                        </w:rPr>
                                        <w:t>损耗</w:t>
                                      </w:r>
                                      <w:r>
                                        <w:rPr>
                                          <w:rFonts w:hint="eastAsia" w:ascii="Times New Roman" w:hAnsi="Times New Roman" w:cs="Times New Roman"/>
                                          <w:sz w:val="21"/>
                                          <w:szCs w:val="21"/>
                                          <w:lang w:val="en-US" w:eastAsia="zh-CN"/>
                                        </w:rPr>
                                        <w:t>0.7</w:t>
                                      </w:r>
                                    </w:p>
                                  </w:txbxContent>
                                </wps:txbx>
                                <wps:bodyPr lIns="78236" tIns="39118" rIns="78236" bIns="39118" upright="1"/>
                              </wps:wsp>
                              <wps:wsp>
                                <wps:cNvPr id="186" name="流程图: 可选过程 186"/>
                                <wps:cNvSpPr/>
                                <wps:spPr>
                                  <a:xfrm>
                                    <a:off x="10608" y="316669"/>
                                    <a:ext cx="567" cy="353"/>
                                  </a:xfrm>
                                  <a:prstGeom prst="flowChartAlternateProcess">
                                    <a:avLst/>
                                  </a:prstGeom>
                                  <a:noFill/>
                                  <a:ln>
                                    <a:noFill/>
                                  </a:ln>
                                </wps:spPr>
                                <wps:txbx>
                                  <w:txbxContent>
                                    <w:p w14:paraId="2B4BA004">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4.5</w:t>
                                      </w:r>
                                    </w:p>
                                  </w:txbxContent>
                                </wps:txbx>
                                <wps:bodyPr lIns="78236" tIns="39118" rIns="78236" bIns="39118" upright="1"/>
                              </wps:wsp>
                              <wps:wsp>
                                <wps:cNvPr id="187" name="流程图: 可选过程 187"/>
                                <wps:cNvSpPr/>
                                <wps:spPr>
                                  <a:xfrm>
                                    <a:off x="13788" y="316669"/>
                                    <a:ext cx="567" cy="353"/>
                                  </a:xfrm>
                                  <a:prstGeom prst="flowChartAlternateProcess">
                                    <a:avLst/>
                                  </a:prstGeom>
                                  <a:noFill/>
                                  <a:ln>
                                    <a:noFill/>
                                  </a:ln>
                                </wps:spPr>
                                <wps:txbx>
                                  <w:txbxContent>
                                    <w:p w14:paraId="784C57D4">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3.8</w:t>
                                      </w:r>
                                    </w:p>
                                  </w:txbxContent>
                                </wps:txbx>
                                <wps:bodyPr lIns="78236" tIns="39118" rIns="78236" bIns="39118" upright="1"/>
                              </wps:wsp>
                            </wpg:grpSp>
                          </wpg:wgp>
                        </a:graphicData>
                      </a:graphic>
                    </wp:anchor>
                  </w:drawing>
                </mc:Choice>
                <mc:Fallback>
                  <w:pict>
                    <v:group id="_x0000_s1026" o:spid="_x0000_s1026" o:spt="203" style="position:absolute;left:0pt;margin-left:40.55pt;margin-top:8.1pt;height:68.25pt;width:391.2pt;z-index:251669504;mso-width-relative:page;mso-height-relative:page;" coordorigin="10444,315579" coordsize="7824,1365" o:gfxdata="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">
                      <o:lock v:ext="edit" aspectratio="f"/>
                      <v:line id="_x0000_s1026" o:spid="_x0000_s1026" o:spt="20" style="position:absolute;left:11242;top:316422;height:0;width:454;" filled="f" stroked="t" coordsize="21600,21600" o:gfxdata="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BgIvI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14362;top:316422;height:0;width:454;" filled="f" stroked="t" coordsize="21600,21600" o:gfxdata="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zC5T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group id="_x0000_s1026" o:spid="_x0000_s1026" o:spt="203" style="position:absolute;left:10444;top:315579;height:1365;width:7824;" coordorigin="9949,316149" coordsize="7824,1365" o:gfxdata="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4/ko2+AAAA3AAAAA8AAAAAAAAAAQAgAAAAIgAAAGRycy9kb3ducmV2Lnht&#10;bFBLAQIUABQAAAAIAIdO4kAzLwWeOwAAADkAAAAVAAAAAAAAAAEAIAAAAA0BAABkcnMvZ3JvdXBz&#10;aGFwZXhtbC54bWxQSwUGAAAAAAYABgBgAQAAygMAAAAA&#10;">
                        <o:lock v:ext="edit" aspectratio="f"/>
                        <v:shape id="_x0000_s1026" o:spid="_x0000_s1026" o:spt="109" type="#_x0000_t109" style="position:absolute;left:9949;top:316779;height:406;width:915;" filled="f" stroked="f" coordsize="21600,21600" o:gfxdata="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j/oEXr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29DBA997">
                                <w:pPr>
                                  <w:pStyle w:val="36"/>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新鲜水</w:t>
                                </w:r>
                              </w:p>
                            </w:txbxContent>
                          </v:textbox>
                        </v:shape>
                        <v:shape id="_x0000_s1026" o:spid="_x0000_s1026" o:spt="109" type="#_x0000_t109" style="position:absolute;left:16639;top:316494;height:1020;width:1134;" fillcolor="#FFFFFF" filled="t" stroked="f" coordsize="21600,21600" o:gfxdata="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iJeAvQAA&#10;ANwAAAAPAAAAAAAAAAEAIAAAACIAAABkcnMvZG93bnJldi54bWxQSwECFAAUAAAACACHTuJAMy8F&#10;njsAAAA5AAAAEAAAAAAAAAABACAAAAAMAQAAZHJzL3NoYXBleG1sLnhtbFBLBQYAAAAABgAGAFsB&#10;AAC2AwAAAAA=&#10;">
                          <v:fill on="t" focussize="0,0"/>
                          <v:stroke on="f"/>
                          <v:imagedata o:title=""/>
                          <o:lock v:ext="edit" aspectratio="f"/>
                          <v:textbox inset="6.16031496062992pt,3.08015748031496pt,6.16031496062992pt,3.08015748031496pt">
                            <w:txbxContent>
                              <w:p w14:paraId="5DAC3884">
                                <w:pPr>
                                  <w:pStyle w:val="36"/>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老城污水处理厂（西区）</w:t>
                                </w:r>
                              </w:p>
                            </w:txbxContent>
                          </v:textbox>
                        </v:shape>
                        <v:shape id="_x0000_s1026" o:spid="_x0000_s1026" o:spt="109" type="#_x0000_t109" style="position:absolute;left:11193;top:316764;height:454;width:1113;" fillcolor="#FFFFFF" filled="t" stroked="t" coordsize="21600,21600" o:gfxdata="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rph7L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14:paraId="170BA78D">
                                <w:pPr>
                                  <w:spacing w:line="240" w:lineRule="auto"/>
                                  <w:ind w:firstLine="0" w:firstLineChars="0"/>
                                  <w:jc w:val="center"/>
                                  <w:rPr>
                                    <w:rFonts w:hint="default"/>
                                    <w:sz w:val="21"/>
                                    <w:szCs w:val="21"/>
                                    <w:lang w:val="en-US"/>
                                  </w:rPr>
                                </w:pPr>
                                <w:r>
                                  <w:rPr>
                                    <w:rFonts w:hint="eastAsia"/>
                                    <w:sz w:val="21"/>
                                    <w:szCs w:val="21"/>
                                    <w:lang w:val="en-US" w:eastAsia="zh-CN"/>
                                  </w:rPr>
                                  <w:t>生活用水</w:t>
                                </w:r>
                              </w:p>
                            </w:txbxContent>
                          </v:textbox>
                        </v:shape>
                        <v:shape id="_x0000_s1026" o:spid="_x0000_s1026" o:spt="109" type="#_x0000_t109" style="position:absolute;left:12753;top:316749;height:454;width:1113;" fillcolor="#FFFFFF" filled="t" stroked="t" coordsize="21600,21600" o:gfxdata="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t9sR3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14:paraId="64634FEE">
                                <w:pPr>
                                  <w:spacing w:line="240" w:lineRule="auto"/>
                                  <w:ind w:firstLine="0" w:firstLineChars="0"/>
                                  <w:jc w:val="center"/>
                                  <w:rPr>
                                    <w:rFonts w:hint="default"/>
                                    <w:sz w:val="21"/>
                                    <w:szCs w:val="21"/>
                                    <w:lang w:val="en-US"/>
                                  </w:rPr>
                                </w:pPr>
                                <w:r>
                                  <w:rPr>
                                    <w:rFonts w:hint="eastAsia"/>
                                    <w:sz w:val="21"/>
                                    <w:szCs w:val="21"/>
                                    <w:lang w:val="en-US" w:eastAsia="zh-CN"/>
                                  </w:rPr>
                                  <w:t>生活污水</w:t>
                                </w:r>
                              </w:p>
                            </w:txbxContent>
                          </v:textbox>
                        </v:shape>
                        <v:shape id="_x0000_s1026" o:spid="_x0000_s1026" o:spt="109" type="#_x0000_t109" style="position:absolute;left:14313;top:316764;height:454;width:1382;" fillcolor="#FFFFFF" filled="t" stroked="t" coordsize="21600,21600" o:gfxdata="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Rkdzb4A&#10;AADcAAAADwAAAAAAAAABACAAAAAiAAAAZHJzL2Rvd25yZXYueG1sUEsBAhQAFAAAAAgAh07iQDMv&#10;BZ47AAAAOQAAABAAAAAAAAAAAQAgAAAADQEAAGRycy9zaGFwZXhtbC54bWxQSwUGAAAAAAYABgBb&#10;AQAAtwMAAAAA&#10;">
                          <v:fill on="t" focussize="0,0"/>
                          <v:stroke color="#000000" joinstyle="miter"/>
                          <v:imagedata o:title=""/>
                          <o:lock v:ext="edit" aspectratio="f"/>
                          <v:textbox inset="6.16031496062992pt,3.08015748031496pt,6.16031496062992pt,3.08015748031496pt">
                            <w:txbxContent>
                              <w:p w14:paraId="06654009">
                                <w:pPr>
                                  <w:spacing w:line="240" w:lineRule="auto"/>
                                  <w:ind w:firstLine="0" w:firstLineChars="0"/>
                                  <w:jc w:val="center"/>
                                  <w:rPr>
                                    <w:rFonts w:hint="default"/>
                                    <w:sz w:val="21"/>
                                    <w:szCs w:val="21"/>
                                    <w:lang w:val="en-US"/>
                                  </w:rPr>
                                </w:pPr>
                                <w:r>
                                  <w:rPr>
                                    <w:rFonts w:hint="eastAsia"/>
                                    <w:sz w:val="21"/>
                                    <w:szCs w:val="21"/>
                                    <w:lang w:val="en-US" w:eastAsia="zh-CN"/>
                                  </w:rPr>
                                  <w:t>三级化粪池</w:t>
                                </w:r>
                              </w:p>
                            </w:txbxContent>
                          </v:textbox>
                        </v:shape>
                        <v:shape id="_x0000_s1026" o:spid="_x0000_s1026" o:spt="109" type="#_x0000_t109" style="position:absolute;left:15603;top:316689;height:633;width:1171;" filled="f" stroked="f" coordsize="21600,21600" o:gfxdata="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NcbsDb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292A3774">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sz w:val="21"/>
                                    <w:szCs w:val="21"/>
                                    <w:lang w:val="en-US"/>
                                  </w:rPr>
                                </w:pPr>
                                <w:r>
                                  <w:rPr>
                                    <w:rFonts w:hint="eastAsia"/>
                                    <w:sz w:val="21"/>
                                    <w:szCs w:val="21"/>
                                    <w:lang w:val="en-US" w:eastAsia="zh-CN"/>
                                  </w:rPr>
                                  <w:t>市政污水管网</w:t>
                                </w:r>
                              </w:p>
                            </w:txbxContent>
                          </v:textbox>
                        </v:shape>
                        <v:line id="_x0000_s1026" o:spid="_x0000_s1026" o:spt="20" style="position:absolute;left:12307;top:316992;height:0;width:454;" filled="f" stroked="t" coordsize="21600,21600" o:gfxdata="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TwxgC8AAAA&#10;3A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_x0000_s1026" o:spid="_x0000_s1026" o:spt="20" style="position:absolute;left:15697;top:317002;height:0;width:1077;" filled="f" stroked="t" coordsize="21600,21600" o:gfxdata="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vGOb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_x0000_s1026" o:spid="_x0000_s1026" o:spt="20" style="position:absolute;left:12507;top:316572;flip:y;height:417;width:1;" filled="f" stroked="t" coordsize="21600,21600" o:gfxdata="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g77Lm7UAAADcAAAADwAA&#10;AAAAAAABACAAAAAiAAAAZHJzL2Rvd25yZXYueG1sUEsBAhQAFAAAAAgAh07iQDMvBZ47AAAAOQAA&#10;ABAAAAAAAAAAAQAgAAAABAEAAGRycy9zaGFwZXhtbC54bWxQSwUGAAAAAAYABgBbAQAArgMAAAAA&#10;">
                          <v:fill on="f" focussize="0,0"/>
                          <v:stroke color="#000000" joinstyle="round" dashstyle="dash" endarrow="block"/>
                          <v:imagedata o:title=""/>
                          <o:lock v:ext="edit" aspectratio="f"/>
                        </v:line>
                        <v:shape id="_x0000_s1026" o:spid="_x0000_s1026" o:spt="109" type="#_x0000_t109" style="position:absolute;left:11973;top:316149;height:419;width:1038;" fillcolor="#FFFFFF" filled="t" stroked="t" coordsize="21600,21600" o:gfxdata="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qldJbbgAAADcAAAA&#10;DwAAAAAAAAABACAAAAAiAAAAZHJzL2Rvd25yZXYueG1sUEsBAhQAFAAAAAgAh07iQDMvBZ47AAAA&#10;OQAAABAAAAAAAAAAAQAgAAAABwEAAGRycy9zaGFwZXhtbC54bWxQSwUGAAAAAAYABgBbAQAAsQMA&#10;AAAA&#10;">
                          <v:fill on="t" focussize="0,0"/>
                          <v:stroke color="#000000" joinstyle="miter" dashstyle="dash"/>
                          <v:imagedata o:title=""/>
                          <o:lock v:ext="edit" aspectratio="f"/>
                          <v:textbox inset="6.16031496062992pt,3.08015748031496pt,6.16031496062992pt,3.08015748031496pt">
                            <w:txbxContent>
                              <w:p w14:paraId="7D8F06CA">
                                <w:pPr>
                                  <w:pStyle w:val="36"/>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sz w:val="21"/>
                                    <w:szCs w:val="21"/>
                                  </w:rPr>
                                  <w:t>损耗</w:t>
                                </w:r>
                                <w:r>
                                  <w:rPr>
                                    <w:rFonts w:hint="eastAsia" w:ascii="Times New Roman" w:hAnsi="Times New Roman" w:cs="Times New Roman"/>
                                    <w:sz w:val="21"/>
                                    <w:szCs w:val="21"/>
                                    <w:lang w:val="en-US" w:eastAsia="zh-CN"/>
                                  </w:rPr>
                                  <w:t>0.7</w:t>
                                </w:r>
                              </w:p>
                            </w:txbxContent>
                          </v:textbox>
                        </v:shape>
                        <v:shape id="_x0000_s1026" o:spid="_x0000_s1026" o:spt="176" type="#_x0000_t176" style="position:absolute;left:10608;top:316669;height:353;width:567;" filled="f" stroked="f" coordsize="21600,21600" o:gfxdata="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pS+GgLgAAADcAAAA&#10;DwAAAAAAAAABACAAAAAiAAAAZHJzL2Rvd25yZXYueG1sUEsBAhQAFAAAAAgAh07iQDMvBZ47AAAA&#10;OQAAABAAAAAAAAAAAQAgAAAABwEAAGRycy9zaGFwZXhtbC54bWxQSwUGAAAAAAYABgBbAQAAsQMA&#10;AAAA&#10;">
                          <v:fill on="f" focussize="0,0"/>
                          <v:stroke on="f"/>
                          <v:imagedata o:title=""/>
                          <o:lock v:ext="edit" aspectratio="f"/>
                          <v:textbox inset="6.16031496062992pt,3.08015748031496pt,6.16031496062992pt,3.08015748031496pt">
                            <w:txbxContent>
                              <w:p w14:paraId="2B4BA004">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4.5</w:t>
                                </w:r>
                              </w:p>
                            </w:txbxContent>
                          </v:textbox>
                        </v:shape>
                        <v:shape id="_x0000_s1026" o:spid="_x0000_s1026" o:spt="176" type="#_x0000_t176" style="position:absolute;left:13788;top:316669;height:353;width:567;" filled="f" stroked="f" coordsize="21600,21600" o:gfxdata="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KYyMbtwAAANwAAAAP&#10;AAAAAAAAAAEAIAAAACIAAABkcnMvZG93bnJldi54bWxQSwECFAAUAAAACACHTuJAMy8FnjsAAAA5&#10;AAAAEAAAAAAAAAABACAAAAAGAQAAZHJzL3NoYXBleG1sLnhtbFBLBQYAAAAABgAGAFsBAACwAwAA&#10;AAA=&#10;">
                          <v:fill on="f" focussize="0,0"/>
                          <v:stroke on="f"/>
                          <v:imagedata o:title=""/>
                          <o:lock v:ext="edit" aspectratio="f"/>
                          <v:textbox inset="6.16031496062992pt,3.08015748031496pt,6.16031496062992pt,3.08015748031496pt">
                            <w:txbxContent>
                              <w:p w14:paraId="784C57D4">
                                <w:pPr>
                                  <w:adjustRightInd w:val="0"/>
                                  <w:snapToGrid w:val="0"/>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3.8</w:t>
                                </w:r>
                              </w:p>
                            </w:txbxContent>
                          </v:textbox>
                        </v:shape>
                      </v:group>
                    </v:group>
                  </w:pict>
                </mc:Fallback>
              </mc:AlternateContent>
            </w:r>
          </w:p>
          <w:p w14:paraId="05978586">
            <w:pPr>
              <w:keepNext w:val="0"/>
              <w:keepLines w:val="0"/>
              <w:pageBreakBefore w:val="0"/>
              <w:widowControl w:val="0"/>
              <w:kinsoku/>
              <w:wordWrap/>
              <w:overflowPunct/>
              <w:topLinePunct w:val="0"/>
              <w:autoSpaceDE/>
              <w:autoSpaceDN/>
              <w:bidi w:val="0"/>
              <w:adjustRightInd w:val="0"/>
              <w:snapToGrid w:val="0"/>
              <w:spacing w:line="500" w:lineRule="exact"/>
              <w:ind w:firstLine="0" w:firstLineChars="0"/>
              <w:jc w:val="center"/>
              <w:textAlignment w:val="auto"/>
              <w:rPr>
                <w:rFonts w:hint="eastAsia"/>
                <w:b/>
                <w:color w:val="000000"/>
                <w:sz w:val="24"/>
                <w:szCs w:val="24"/>
                <w:lang w:val="en-US" w:eastAsia="zh-CN"/>
              </w:rPr>
            </w:pPr>
          </w:p>
          <w:p w14:paraId="27FE0859">
            <w:pPr>
              <w:pStyle w:val="73"/>
              <w:adjustRightInd w:val="0"/>
              <w:snapToGrid w:val="0"/>
              <w:spacing w:line="500" w:lineRule="exact"/>
              <w:ind w:firstLine="0" w:firstLineChars="0"/>
              <w:jc w:val="center"/>
              <w:rPr>
                <w:rFonts w:hint="eastAsia"/>
                <w:b/>
                <w:color w:val="000000"/>
                <w:sz w:val="24"/>
                <w:szCs w:val="24"/>
                <w:lang w:val="en-US" w:eastAsia="zh-CN"/>
              </w:rPr>
            </w:pPr>
          </w:p>
          <w:p w14:paraId="1FABF8F8">
            <w:pPr>
              <w:pStyle w:val="73"/>
              <w:adjustRightInd w:val="0"/>
              <w:snapToGrid w:val="0"/>
              <w:spacing w:line="500" w:lineRule="exact"/>
              <w:ind w:firstLine="0" w:firstLineChars="0"/>
              <w:jc w:val="center"/>
              <w:rPr>
                <w:rFonts w:cs="Times New Roman"/>
                <w:b/>
                <w:bCs/>
              </w:rPr>
            </w:pPr>
            <w:r>
              <w:rPr>
                <w:rFonts w:hint="eastAsia"/>
                <w:b/>
                <w:color w:val="000000"/>
                <w:sz w:val="24"/>
                <w:szCs w:val="24"/>
                <w:lang w:val="en-US" w:eastAsia="zh-CN"/>
              </w:rPr>
              <w:t>图</w:t>
            </w:r>
            <w:r>
              <w:rPr>
                <w:rFonts w:hint="eastAsia"/>
                <w:b/>
                <w:color w:val="000000"/>
                <w:sz w:val="24"/>
                <w:szCs w:val="24"/>
              </w:rPr>
              <w:t>2-</w:t>
            </w:r>
            <w:r>
              <w:rPr>
                <w:rFonts w:hint="eastAsia"/>
                <w:b/>
                <w:color w:val="000000"/>
                <w:sz w:val="24"/>
                <w:szCs w:val="24"/>
                <w:lang w:val="en-US" w:eastAsia="zh-CN"/>
              </w:rPr>
              <w:t>2</w:t>
            </w:r>
            <w:r>
              <w:rPr>
                <w:b/>
                <w:color w:val="000000"/>
                <w:sz w:val="24"/>
                <w:szCs w:val="24"/>
              </w:rPr>
              <w:t>项目水平衡</w:t>
            </w:r>
            <w:r>
              <w:rPr>
                <w:rFonts w:hint="eastAsia"/>
                <w:b/>
                <w:color w:val="000000"/>
                <w:sz w:val="24"/>
                <w:szCs w:val="24"/>
                <w:lang w:val="en-US" w:eastAsia="zh-CN"/>
              </w:rPr>
              <w:t>图</w:t>
            </w:r>
            <w:r>
              <w:rPr>
                <w:rFonts w:hint="default" w:ascii="Times New Roman" w:hAnsi="Times New Roman" w:eastAsia="宋体" w:cs="Times New Roman"/>
                <w:b/>
                <w:bCs w:val="0"/>
                <w:color w:val="000000"/>
                <w:sz w:val="24"/>
                <w:szCs w:val="24"/>
              </w:rPr>
              <w:t>（m</w:t>
            </w:r>
            <w:r>
              <w:rPr>
                <w:rFonts w:hint="default" w:ascii="Times New Roman" w:hAnsi="Times New Roman" w:eastAsia="宋体" w:cs="Times New Roman"/>
                <w:b/>
                <w:bCs w:val="0"/>
                <w:color w:val="000000"/>
                <w:sz w:val="24"/>
                <w:szCs w:val="24"/>
                <w:vertAlign w:val="superscript"/>
              </w:rPr>
              <w:t>3</w:t>
            </w:r>
            <w:r>
              <w:rPr>
                <w:rFonts w:hint="default" w:ascii="Times New Roman" w:hAnsi="Times New Roman" w:eastAsia="宋体" w:cs="Times New Roman"/>
                <w:b/>
                <w:bCs w:val="0"/>
                <w:color w:val="000000"/>
                <w:sz w:val="24"/>
                <w:szCs w:val="24"/>
              </w:rPr>
              <w:t>/</w:t>
            </w:r>
            <w:r>
              <w:rPr>
                <w:rFonts w:hint="default" w:ascii="Times New Roman" w:hAnsi="Times New Roman" w:eastAsia="宋体" w:cs="Times New Roman"/>
                <w:b/>
                <w:bCs w:val="0"/>
                <w:color w:val="000000"/>
                <w:sz w:val="24"/>
                <w:szCs w:val="24"/>
                <w:lang w:val="en-US" w:eastAsia="zh-CN"/>
              </w:rPr>
              <w:t>d</w:t>
            </w:r>
            <w:r>
              <w:rPr>
                <w:rFonts w:hint="default" w:ascii="Times New Roman" w:hAnsi="Times New Roman" w:eastAsia="宋体" w:cs="Times New Roman"/>
                <w:b/>
                <w:bCs w:val="0"/>
                <w:color w:val="000000"/>
                <w:sz w:val="24"/>
                <w:szCs w:val="24"/>
              </w:rPr>
              <w:t>）</w:t>
            </w:r>
          </w:p>
          <w:p w14:paraId="312AFD55">
            <w:pPr>
              <w:pStyle w:val="36"/>
              <w:snapToGrid w:val="0"/>
              <w:spacing w:line="500" w:lineRule="exact"/>
              <w:ind w:firstLine="482" w:firstLineChars="200"/>
              <w:rPr>
                <w:rFonts w:hint="default" w:ascii="Times New Roman" w:hAnsi="Times New Roman" w:cs="Times New Roman"/>
                <w:b/>
                <w:bCs/>
                <w:szCs w:val="24"/>
                <w:highlight w:val="none"/>
              </w:rPr>
            </w:pPr>
            <w:r>
              <w:rPr>
                <w:rFonts w:hint="default" w:ascii="Times New Roman" w:hAnsi="Times New Roman" w:cs="Times New Roman"/>
                <w:b/>
                <w:bCs/>
                <w:szCs w:val="24"/>
                <w:highlight w:val="none"/>
              </w:rPr>
              <w:t>3、</w:t>
            </w:r>
            <w:r>
              <w:rPr>
                <w:rFonts w:hint="default" w:ascii="Times New Roman" w:hAnsi="Times New Roman" w:cs="Times New Roman"/>
                <w:b/>
                <w:bCs/>
                <w:szCs w:val="24"/>
                <w:highlight w:val="none"/>
                <w:lang w:val="en-US" w:eastAsia="zh-CN"/>
              </w:rPr>
              <w:t>项目</w:t>
            </w:r>
            <w:r>
              <w:rPr>
                <w:rFonts w:hint="default" w:ascii="Times New Roman" w:hAnsi="Times New Roman" w:cs="Times New Roman"/>
                <w:b/>
                <w:bCs/>
                <w:szCs w:val="24"/>
                <w:highlight w:val="none"/>
              </w:rPr>
              <w:t>主要污染物及防治措施</w:t>
            </w:r>
          </w:p>
          <w:p w14:paraId="59457274">
            <w:pPr>
              <w:adjustRightInd w:val="0"/>
              <w:snapToGrid w:val="0"/>
              <w:spacing w:line="500" w:lineRule="exact"/>
              <w:ind w:firstLine="482" w:firstLineChars="200"/>
              <w:rPr>
                <w:rFonts w:hint="default" w:ascii="Times New Roman" w:hAnsi="Times New Roman" w:eastAsia="宋体" w:cs="Times New Roman"/>
                <w:b/>
                <w:bCs/>
                <w:sz w:val="24"/>
              </w:rPr>
            </w:pPr>
            <w:r>
              <w:rPr>
                <w:rFonts w:hint="default" w:ascii="Times New Roman" w:hAnsi="Times New Roman" w:eastAsia="宋体" w:cs="Times New Roman"/>
                <w:b/>
                <w:bCs/>
                <w:sz w:val="24"/>
              </w:rPr>
              <w:t>（1）废水</w:t>
            </w:r>
          </w:p>
          <w:p w14:paraId="5E780701">
            <w:pPr>
              <w:widowControl/>
              <w:adjustRightInd w:val="0"/>
              <w:snapToGrid w:val="0"/>
              <w:spacing w:line="500" w:lineRule="exact"/>
              <w:ind w:firstLine="440" w:firstLineChars="200"/>
              <w:jc w:val="left"/>
              <w:rPr>
                <w:rFonts w:hint="default" w:ascii="Times New Roman" w:hAnsi="Times New Roman" w:eastAsia="宋体" w:cs="Times New Roman"/>
                <w:bCs/>
                <w:spacing w:val="-10"/>
                <w:sz w:val="24"/>
                <w:szCs w:val="24"/>
                <w:lang w:val="en-US" w:eastAsia="zh-CN"/>
              </w:rPr>
            </w:pPr>
            <w:r>
              <w:rPr>
                <w:rFonts w:hint="default" w:ascii="Times New Roman" w:hAnsi="Times New Roman" w:eastAsia="宋体" w:cs="Times New Roman"/>
                <w:bCs/>
                <w:spacing w:val="-10"/>
                <w:sz w:val="24"/>
                <w:szCs w:val="24"/>
              </w:rPr>
              <w:t>项目营运期</w:t>
            </w:r>
            <w:r>
              <w:rPr>
                <w:rFonts w:hint="default" w:ascii="Times New Roman" w:hAnsi="Times New Roman" w:eastAsia="宋体" w:cs="Times New Roman"/>
                <w:bCs/>
                <w:spacing w:val="-10"/>
                <w:sz w:val="24"/>
                <w:szCs w:val="24"/>
                <w:lang w:val="en-US" w:eastAsia="zh-CN"/>
              </w:rPr>
              <w:t>废水</w:t>
            </w:r>
            <w:r>
              <w:rPr>
                <w:rFonts w:hint="default" w:ascii="Times New Roman" w:hAnsi="Times New Roman" w:eastAsia="宋体" w:cs="Times New Roman"/>
                <w:bCs/>
                <w:spacing w:val="-10"/>
                <w:sz w:val="24"/>
                <w:szCs w:val="24"/>
              </w:rPr>
              <w:t>主要为</w:t>
            </w:r>
            <w:r>
              <w:rPr>
                <w:rFonts w:hint="default" w:ascii="Times New Roman" w:hAnsi="Times New Roman" w:eastAsia="宋体" w:cs="Times New Roman"/>
                <w:bCs/>
                <w:spacing w:val="-10"/>
                <w:sz w:val="24"/>
                <w:szCs w:val="24"/>
                <w:lang w:eastAsia="zh-CN"/>
              </w:rPr>
              <w:t>：</w:t>
            </w:r>
            <w:r>
              <w:rPr>
                <w:rFonts w:hint="default" w:ascii="Times New Roman" w:hAnsi="Times New Roman" w:eastAsia="宋体" w:cs="Times New Roman"/>
                <w:bCs/>
                <w:spacing w:val="-10"/>
                <w:sz w:val="24"/>
                <w:szCs w:val="24"/>
                <w:lang w:val="en-US" w:eastAsia="zh-CN"/>
              </w:rPr>
              <w:t>工作</w:t>
            </w:r>
            <w:r>
              <w:rPr>
                <w:rFonts w:hint="default" w:ascii="Times New Roman" w:hAnsi="Times New Roman" w:eastAsia="宋体" w:cs="Times New Roman"/>
                <w:bCs/>
                <w:spacing w:val="-10"/>
                <w:sz w:val="24"/>
                <w:szCs w:val="24"/>
              </w:rPr>
              <w:t>人员生活</w:t>
            </w:r>
            <w:r>
              <w:rPr>
                <w:rFonts w:hint="default" w:ascii="Times New Roman" w:hAnsi="Times New Roman" w:eastAsia="宋体" w:cs="Times New Roman"/>
                <w:bCs/>
                <w:spacing w:val="-10"/>
                <w:sz w:val="24"/>
                <w:szCs w:val="24"/>
                <w:lang w:val="en-US" w:eastAsia="zh-CN"/>
              </w:rPr>
              <w:t>污水，无生产废水产排。项目营运期车间和设备仅人工清扫，无需用水清洗；发泡定型采用自然成型，无需用水冷却。项目厂房内仅设置值班室（不涉及产排污），员工办公依托厂区现有办公楼。</w:t>
            </w:r>
            <w:r>
              <w:rPr>
                <w:rFonts w:hint="default" w:ascii="Times New Roman" w:hAnsi="Times New Roman" w:eastAsia="宋体" w:cs="Times New Roman"/>
                <w:bCs/>
                <w:spacing w:val="-10"/>
                <w:sz w:val="24"/>
                <w:szCs w:val="24"/>
              </w:rPr>
              <w:t>生活污</w:t>
            </w:r>
            <w:r>
              <w:rPr>
                <w:rFonts w:hint="default" w:ascii="Times New Roman" w:hAnsi="Times New Roman" w:eastAsia="宋体" w:cs="Times New Roman"/>
                <w:bCs/>
                <w:spacing w:val="-10"/>
                <w:sz w:val="24"/>
                <w:szCs w:val="24"/>
                <w:lang w:val="en-US" w:eastAsia="zh-CN"/>
              </w:rPr>
              <w:t>水依托厂内三级化粪池，后接入市政污水管网，排入老城污水处理厂（西区）深度处理。</w:t>
            </w:r>
          </w:p>
          <w:p w14:paraId="604975B2">
            <w:pPr>
              <w:adjustRightInd w:val="0"/>
              <w:snapToGrid w:val="0"/>
              <w:spacing w:line="500" w:lineRule="exact"/>
              <w:ind w:firstLine="482" w:firstLineChars="200"/>
              <w:rPr>
                <w:rFonts w:hint="default" w:ascii="Times New Roman" w:hAnsi="Times New Roman" w:eastAsia="宋体" w:cs="Times New Roman"/>
                <w:b/>
                <w:bCs/>
                <w:sz w:val="24"/>
              </w:rPr>
            </w:pPr>
            <w:r>
              <w:rPr>
                <w:rFonts w:hint="default" w:ascii="Times New Roman" w:hAnsi="Times New Roman" w:eastAsia="宋体" w:cs="Times New Roman"/>
                <w:b/>
                <w:bCs/>
                <w:sz w:val="24"/>
              </w:rPr>
              <w:t>（2）废气</w:t>
            </w:r>
          </w:p>
          <w:p w14:paraId="6EC67033">
            <w:pPr>
              <w:keepNext w:val="0"/>
              <w:keepLines w:val="0"/>
              <w:pageBreakBefore w:val="0"/>
              <w:widowControl/>
              <w:suppressLineNumbers w:val="0"/>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项目营运期主要废气为：发泡废气、发泡料储罐呼吸废气以及生产过程塑料异味，主要污染物以非甲烷总烃计及臭气浓度。项目通过采用密闭发泡设备、集气罩，发泡废气由集气罩收集，经“UV光解+二级活性炭吸附”后通过15.5m高（DA001）排气筒达标排放。</w:t>
            </w:r>
          </w:p>
          <w:p w14:paraId="763FB39A">
            <w:pPr>
              <w:adjustRightInd w:val="0"/>
              <w:snapToGrid w:val="0"/>
              <w:spacing w:line="500" w:lineRule="exact"/>
              <w:ind w:firstLine="482" w:firstLineChars="200"/>
              <w:rPr>
                <w:rFonts w:hint="default" w:ascii="Times New Roman" w:hAnsi="Times New Roman" w:eastAsia="宋体" w:cs="Times New Roman"/>
                <w:b/>
                <w:bCs/>
                <w:sz w:val="24"/>
              </w:rPr>
            </w:pPr>
            <w:r>
              <w:rPr>
                <w:rFonts w:hint="default" w:ascii="Times New Roman" w:hAnsi="Times New Roman" w:eastAsia="宋体" w:cs="Times New Roman"/>
                <w:b/>
                <w:bCs/>
                <w:sz w:val="24"/>
              </w:rPr>
              <w:t>（3）噪声</w:t>
            </w:r>
          </w:p>
          <w:p w14:paraId="04DA1010">
            <w:pPr>
              <w:adjustRightInd w:val="0"/>
              <w:snapToGrid w:val="0"/>
              <w:spacing w:line="500" w:lineRule="exact"/>
              <w:ind w:firstLine="480" w:firstLineChars="200"/>
              <w:rPr>
                <w:rFonts w:hint="default" w:ascii="Times New Roman" w:hAnsi="Times New Roman" w:eastAsia="宋体" w:cs="Times New Roman"/>
                <w:b/>
                <w:bCs/>
                <w:sz w:val="24"/>
              </w:rPr>
            </w:pPr>
            <w:r>
              <w:rPr>
                <w:rFonts w:hint="default" w:ascii="Times New Roman" w:hAnsi="Times New Roman" w:eastAsia="宋体" w:cs="Times New Roman"/>
                <w:b w:val="0"/>
                <w:bCs w:val="0"/>
                <w:i w:val="0"/>
                <w:iCs w:val="0"/>
                <w:color w:val="000000"/>
                <w:sz w:val="24"/>
                <w:szCs w:val="24"/>
              </w:rPr>
              <w:t>项目</w:t>
            </w:r>
            <w:r>
              <w:rPr>
                <w:rFonts w:hint="default" w:ascii="Times New Roman" w:hAnsi="Times New Roman" w:eastAsia="宋体" w:cs="Times New Roman"/>
                <w:sz w:val="24"/>
              </w:rPr>
              <w:t>营运期</w:t>
            </w:r>
            <w:r>
              <w:rPr>
                <w:rFonts w:hint="default" w:ascii="Times New Roman" w:hAnsi="Times New Roman" w:eastAsia="宋体" w:cs="Times New Roman"/>
                <w:b w:val="0"/>
                <w:bCs w:val="0"/>
                <w:i w:val="0"/>
                <w:iCs w:val="0"/>
                <w:color w:val="000000"/>
                <w:sz w:val="24"/>
                <w:szCs w:val="24"/>
              </w:rPr>
              <w:t>主要</w:t>
            </w:r>
            <w:r>
              <w:rPr>
                <w:rFonts w:hint="default" w:ascii="Times New Roman" w:hAnsi="Times New Roman" w:eastAsia="宋体" w:cs="Times New Roman"/>
                <w:b w:val="0"/>
                <w:bCs w:val="0"/>
                <w:i w:val="0"/>
                <w:iCs w:val="0"/>
                <w:color w:val="000000"/>
                <w:sz w:val="24"/>
                <w:szCs w:val="24"/>
                <w:lang w:val="en-US" w:eastAsia="zh-CN"/>
              </w:rPr>
              <w:t>噪</w:t>
            </w:r>
            <w:r>
              <w:rPr>
                <w:rFonts w:hint="default" w:ascii="Times New Roman" w:hAnsi="Times New Roman" w:eastAsia="宋体" w:cs="Times New Roman"/>
                <w:b w:val="0"/>
                <w:bCs w:val="0"/>
                <w:i w:val="0"/>
                <w:iCs w:val="0"/>
                <w:color w:val="000000"/>
                <w:sz w:val="24"/>
                <w:szCs w:val="24"/>
              </w:rPr>
              <w:t>声源为</w:t>
            </w:r>
            <w:r>
              <w:rPr>
                <w:rFonts w:hint="default" w:ascii="Times New Roman" w:hAnsi="Times New Roman" w:eastAsia="宋体" w:cs="Times New Roman"/>
                <w:b w:val="0"/>
                <w:bCs w:val="0"/>
                <w:i w:val="0"/>
                <w:iCs w:val="0"/>
                <w:color w:val="000000"/>
                <w:sz w:val="24"/>
                <w:szCs w:val="24"/>
                <w:lang w:val="en-US" w:eastAsia="zh-CN"/>
              </w:rPr>
              <w:t>：开卷机、开平机、折边机、剪板机、发泡机、压模机及风机</w:t>
            </w:r>
            <w:r>
              <w:rPr>
                <w:rFonts w:hint="default" w:ascii="Times New Roman" w:hAnsi="Times New Roman" w:eastAsia="宋体" w:cs="Times New Roman"/>
                <w:color w:val="000000"/>
                <w:kern w:val="0"/>
                <w:sz w:val="24"/>
                <w:szCs w:val="24"/>
                <w:lang w:val="en-US" w:eastAsia="zh-CN" w:bidi="ar"/>
              </w:rPr>
              <w:t>等</w:t>
            </w:r>
            <w:r>
              <w:rPr>
                <w:rFonts w:hint="default" w:ascii="Times New Roman" w:hAnsi="Times New Roman" w:eastAsia="宋体" w:cs="Times New Roman"/>
                <w:b w:val="0"/>
                <w:bCs w:val="0"/>
                <w:i w:val="0"/>
                <w:iCs w:val="0"/>
                <w:color w:val="000000"/>
                <w:sz w:val="24"/>
                <w:szCs w:val="24"/>
                <w:lang w:val="en-US" w:eastAsia="zh-CN"/>
              </w:rPr>
              <w:t>设备噪声。项目主要声源均在生产车间内，通过采取</w:t>
            </w:r>
            <w:r>
              <w:rPr>
                <w:rFonts w:hint="default" w:ascii="Times New Roman" w:hAnsi="Times New Roman" w:eastAsia="宋体" w:cs="Times New Roman"/>
                <w:color w:val="000000"/>
                <w:kern w:val="0"/>
                <w:sz w:val="24"/>
                <w:szCs w:val="24"/>
                <w:lang w:val="en-US" w:eastAsia="zh-CN" w:bidi="ar"/>
              </w:rPr>
              <w:t>厂房车间隔音；选用低噪声的设备；加装设备基底减振垫片；在设备连接口处采用软连接等措施，降低噪声产生及排放。</w:t>
            </w:r>
          </w:p>
          <w:p w14:paraId="3CA6E5B1">
            <w:pPr>
              <w:adjustRightInd w:val="0"/>
              <w:snapToGrid w:val="0"/>
              <w:spacing w:line="500" w:lineRule="exact"/>
              <w:ind w:firstLine="482" w:firstLineChars="200"/>
              <w:rPr>
                <w:rFonts w:hint="default" w:ascii="Times New Roman" w:hAnsi="Times New Roman" w:eastAsia="宋体" w:cs="Times New Roman"/>
                <w:b/>
                <w:bCs/>
                <w:sz w:val="24"/>
              </w:rPr>
            </w:pPr>
            <w:r>
              <w:rPr>
                <w:rFonts w:hint="default" w:ascii="Times New Roman" w:hAnsi="Times New Roman" w:eastAsia="宋体" w:cs="Times New Roman"/>
                <w:b/>
                <w:bCs/>
                <w:sz w:val="24"/>
              </w:rPr>
              <w:t>（4）固废</w:t>
            </w:r>
          </w:p>
          <w:p w14:paraId="2666A307">
            <w:pPr>
              <w:pStyle w:val="73"/>
              <w:adjustRightInd w:val="0"/>
              <w:snapToGrid w:val="0"/>
              <w:spacing w:line="500" w:lineRule="exact"/>
              <w:ind w:firstLine="480"/>
              <w:rPr>
                <w:rFonts w:hint="default" w:ascii="Times New Roman" w:hAnsi="Times New Roman" w:eastAsia="宋体" w:cs="Times New Roman"/>
                <w:b w:val="0"/>
                <w:bCs w:val="0"/>
                <w:kern w:val="2"/>
                <w:sz w:val="24"/>
                <w:szCs w:val="24"/>
                <w:lang w:val="zh-CN" w:eastAsia="zh-CN" w:bidi="ar-SA"/>
              </w:rPr>
            </w:pPr>
            <w:r>
              <w:rPr>
                <w:rFonts w:hint="default" w:ascii="Times New Roman" w:hAnsi="Times New Roman" w:eastAsia="宋体" w:cs="Times New Roman"/>
                <w:sz w:val="24"/>
                <w:szCs w:val="24"/>
                <w:lang w:val="zh-CN"/>
              </w:rPr>
              <w:t>项目营运期产生的</w:t>
            </w:r>
            <w:r>
              <w:rPr>
                <w:rFonts w:hint="default" w:ascii="Times New Roman" w:hAnsi="Times New Roman" w:eastAsia="宋体" w:cs="Times New Roman"/>
                <w:sz w:val="24"/>
                <w:szCs w:val="24"/>
                <w:lang w:val="en-US" w:eastAsia="zh-CN"/>
              </w:rPr>
              <w:t>一般</w:t>
            </w:r>
            <w:r>
              <w:rPr>
                <w:rFonts w:hint="default" w:ascii="Times New Roman" w:hAnsi="Times New Roman" w:eastAsia="宋体" w:cs="Times New Roman"/>
                <w:sz w:val="24"/>
                <w:szCs w:val="24"/>
                <w:lang w:val="zh-CN"/>
              </w:rPr>
              <w:t>固废</w:t>
            </w: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val="en-US" w:eastAsia="zh-CN"/>
              </w:rPr>
              <w:t>为：</w:t>
            </w:r>
            <w:r>
              <w:rPr>
                <w:rFonts w:hint="default" w:ascii="Times New Roman" w:hAnsi="Times New Roman" w:eastAsia="宋体" w:cs="Times New Roman"/>
                <w:sz w:val="24"/>
                <w:szCs w:val="24"/>
                <w:lang w:val="zh-CN"/>
              </w:rPr>
              <w:t>员工生活垃圾、</w:t>
            </w:r>
            <w:r>
              <w:rPr>
                <w:rFonts w:hint="default" w:ascii="Times New Roman" w:hAnsi="Times New Roman" w:eastAsia="宋体" w:cs="Times New Roman"/>
                <w:sz w:val="24"/>
                <w:szCs w:val="24"/>
                <w:lang w:val="en-US" w:eastAsia="zh-CN"/>
              </w:rPr>
              <w:t>废发泡料、废边角料</w:t>
            </w:r>
            <w:r>
              <w:rPr>
                <w:rFonts w:hint="default" w:ascii="Times New Roman" w:hAnsi="Times New Roman" w:eastAsia="宋体" w:cs="Times New Roman"/>
                <w:sz w:val="24"/>
                <w:szCs w:val="24"/>
                <w:lang w:val="zh-CN"/>
              </w:rPr>
              <w:t>和</w:t>
            </w:r>
            <w:r>
              <w:rPr>
                <w:rFonts w:hint="default" w:ascii="Times New Roman" w:hAnsi="Times New Roman" w:eastAsia="宋体" w:cs="Times New Roman"/>
                <w:sz w:val="24"/>
                <w:szCs w:val="24"/>
                <w:lang w:val="en-US" w:eastAsia="zh-CN"/>
              </w:rPr>
              <w:t>危险废物：</w:t>
            </w:r>
            <w:r>
              <w:rPr>
                <w:rFonts w:hint="default" w:ascii="Times New Roman" w:hAnsi="Times New Roman" w:eastAsia="宋体" w:cs="Times New Roman"/>
                <w:sz w:val="24"/>
                <w:szCs w:val="24"/>
                <w:lang w:val="zh-CN"/>
              </w:rPr>
              <w:t>设备维修</w:t>
            </w:r>
            <w:r>
              <w:rPr>
                <w:rFonts w:hint="default" w:ascii="Times New Roman" w:hAnsi="Times New Roman" w:eastAsia="宋体" w:cs="Times New Roman"/>
                <w:sz w:val="24"/>
                <w:szCs w:val="24"/>
                <w:lang w:val="en-US" w:eastAsia="zh-CN"/>
              </w:rPr>
              <w:t>的</w:t>
            </w:r>
            <w:r>
              <w:rPr>
                <w:rFonts w:hint="default" w:ascii="Times New Roman" w:hAnsi="Times New Roman" w:eastAsia="宋体" w:cs="Times New Roman"/>
                <w:sz w:val="24"/>
                <w:szCs w:val="24"/>
                <w:lang w:val="zh-CN"/>
              </w:rPr>
              <w:t>废机油</w:t>
            </w:r>
            <w:r>
              <w:rPr>
                <w:rFonts w:hint="default" w:ascii="Times New Roman" w:hAnsi="Times New Roman" w:eastAsia="宋体" w:cs="Times New Roman"/>
                <w:sz w:val="24"/>
                <w:szCs w:val="24"/>
                <w:lang w:val="en-US" w:eastAsia="zh-CN"/>
              </w:rPr>
              <w:t>、废气治理措施的</w:t>
            </w:r>
            <w:r>
              <w:rPr>
                <w:rFonts w:hint="default" w:ascii="Times New Roman" w:hAnsi="Times New Roman" w:cs="Times New Roman"/>
                <w:sz w:val="24"/>
                <w:szCs w:val="24"/>
                <w:lang w:val="en-US" w:eastAsia="zh-CN"/>
              </w:rPr>
              <w:t>废UV灯管和</w:t>
            </w:r>
            <w:r>
              <w:rPr>
                <w:rFonts w:hint="default" w:ascii="Times New Roman" w:hAnsi="Times New Roman" w:eastAsia="宋体" w:cs="Times New Roman"/>
                <w:sz w:val="24"/>
                <w:szCs w:val="24"/>
                <w:lang w:val="en-US" w:eastAsia="zh-CN"/>
              </w:rPr>
              <w:t>废活性炭</w:t>
            </w:r>
            <w:r>
              <w:rPr>
                <w:rFonts w:hint="default" w:ascii="Times New Roman" w:hAnsi="Times New Roman" w:eastAsia="宋体" w:cs="Times New Roman"/>
                <w:sz w:val="24"/>
                <w:szCs w:val="24"/>
                <w:lang w:val="zh-CN"/>
              </w:rPr>
              <w:t>。</w:t>
            </w:r>
            <w:r>
              <w:rPr>
                <w:rFonts w:hint="default" w:ascii="Times New Roman" w:hAnsi="Times New Roman" w:eastAsia="宋体" w:cs="Times New Roman"/>
                <w:b w:val="0"/>
                <w:bCs w:val="0"/>
                <w:kern w:val="2"/>
                <w:sz w:val="24"/>
                <w:szCs w:val="24"/>
                <w:lang w:val="en-US" w:eastAsia="zh-CN" w:bidi="ar-SA"/>
              </w:rPr>
              <w:t>项目员工生活垃圾自行收集，交由当地环卫部门清运；废发泡料和废边角料分类收集，外售废品回收公司；危险废物（废机油、</w:t>
            </w:r>
            <w:r>
              <w:rPr>
                <w:rFonts w:hint="default" w:ascii="Times New Roman" w:hAnsi="Times New Roman" w:cs="Times New Roman"/>
                <w:sz w:val="24"/>
                <w:szCs w:val="24"/>
                <w:lang w:val="en-US" w:eastAsia="zh-CN"/>
              </w:rPr>
              <w:t>废UV灯管、</w:t>
            </w:r>
            <w:r>
              <w:rPr>
                <w:rFonts w:hint="default" w:ascii="Times New Roman" w:hAnsi="Times New Roman" w:eastAsia="宋体" w:cs="Times New Roman"/>
                <w:b w:val="0"/>
                <w:bCs w:val="0"/>
                <w:kern w:val="2"/>
                <w:sz w:val="24"/>
                <w:szCs w:val="24"/>
                <w:lang w:val="en-US" w:eastAsia="zh-CN" w:bidi="ar-SA"/>
              </w:rPr>
              <w:t>废活性炭）等分类收集暂存于危废间，交由海南腾先环保科技有限责任公司（资质单位）处置。</w:t>
            </w:r>
          </w:p>
          <w:p w14:paraId="021F7F3A">
            <w:pPr>
              <w:pStyle w:val="38"/>
              <w:adjustRightInd w:val="0"/>
              <w:snapToGrid w:val="0"/>
              <w:spacing w:line="500" w:lineRule="exact"/>
              <w:ind w:firstLine="482" w:firstLineChars="200"/>
              <w:rPr>
                <w:rFonts w:ascii="Times New Roman" w:hAnsi="Times New Roman" w:eastAsia="宋体" w:cs="Times New Roman"/>
                <w:sz w:val="24"/>
                <w:szCs w:val="24"/>
              </w:rPr>
            </w:pPr>
            <w:r>
              <w:rPr>
                <w:rFonts w:ascii="Times New Roman" w:hAnsi="Times New Roman" w:eastAsia="宋体" w:cs="Times New Roman"/>
                <w:sz w:val="24"/>
                <w:szCs w:val="24"/>
              </w:rPr>
              <w:t>4、其他环保措施</w:t>
            </w:r>
          </w:p>
          <w:p w14:paraId="0D609051">
            <w:pPr>
              <w:pStyle w:val="3"/>
              <w:adjustRightInd w:val="0"/>
              <w:snapToGrid w:val="0"/>
              <w:spacing w:before="0" w:after="0" w:line="500" w:lineRule="exact"/>
              <w:ind w:firstLine="482" w:firstLineChars="200"/>
              <w:outlineLvl w:val="1"/>
              <w:rPr>
                <w:rFonts w:ascii="Times New Roman" w:hAnsi="Times New Roman" w:eastAsia="宋体" w:cs="Times New Roman"/>
                <w:sz w:val="24"/>
                <w:szCs w:val="24"/>
              </w:rPr>
            </w:pPr>
            <w:r>
              <w:rPr>
                <w:rFonts w:ascii="Times New Roman" w:hAnsi="Times New Roman" w:eastAsia="宋体" w:cs="Times New Roman"/>
                <w:sz w:val="24"/>
                <w:szCs w:val="24"/>
              </w:rPr>
              <w:t>（1）施工期环境保护措施落实情况</w:t>
            </w:r>
          </w:p>
          <w:p w14:paraId="4C8D2867">
            <w:pPr>
              <w:tabs>
                <w:tab w:val="left" w:pos="6120"/>
                <w:tab w:val="left" w:pos="6840"/>
              </w:tabs>
              <w:adjustRightInd w:val="0"/>
              <w:snapToGrid w:val="0"/>
              <w:spacing w:line="500" w:lineRule="exact"/>
              <w:ind w:firstLine="480" w:firstLineChars="200"/>
              <w:rPr>
                <w:rFonts w:ascii="Times New Roman" w:hAnsi="Times New Roman" w:eastAsia="宋体" w:cs="Times New Roman"/>
                <w:sz w:val="24"/>
                <w:lang w:bidi="ar"/>
              </w:rPr>
            </w:pPr>
            <w:r>
              <w:rPr>
                <w:rFonts w:ascii="Times New Roman" w:hAnsi="Times New Roman" w:eastAsia="宋体" w:cs="Times New Roman"/>
                <w:sz w:val="24"/>
                <w:lang w:bidi="ar"/>
              </w:rPr>
              <w:t>项目</w:t>
            </w:r>
            <w:r>
              <w:rPr>
                <w:rFonts w:hint="eastAsia" w:ascii="Times New Roman" w:hAnsi="Times New Roman" w:eastAsia="宋体" w:cs="Times New Roman"/>
                <w:sz w:val="24"/>
                <w:lang w:val="en-US" w:eastAsia="zh-CN" w:bidi="ar"/>
              </w:rPr>
              <w:t>施工期建设内容简单，</w:t>
            </w:r>
            <w:r>
              <w:rPr>
                <w:rFonts w:ascii="Times New Roman" w:hAnsi="Times New Roman" w:eastAsia="宋体" w:cs="Times New Roman"/>
                <w:sz w:val="24"/>
                <w:lang w:bidi="ar"/>
              </w:rPr>
              <w:t>使用已有厂房车间建设，仅需完成内部建设。包括场地清理、</w:t>
            </w:r>
            <w:r>
              <w:rPr>
                <w:rFonts w:hint="eastAsia" w:ascii="Times New Roman" w:hAnsi="Times New Roman" w:eastAsia="宋体" w:cs="Times New Roman"/>
                <w:sz w:val="24"/>
                <w:lang w:val="en-US" w:eastAsia="zh-CN" w:bidi="ar"/>
              </w:rPr>
              <w:t>车间隔断</w:t>
            </w:r>
            <w:r>
              <w:rPr>
                <w:rFonts w:ascii="Times New Roman" w:hAnsi="Times New Roman" w:eastAsia="宋体" w:cs="Times New Roman"/>
                <w:sz w:val="24"/>
                <w:lang w:bidi="ar"/>
              </w:rPr>
              <w:t>、装饰装修及设备安装，无需进行大规模土方开挖。施工期间产生少量的扬尘、施工废水、噪声和施工垃圾，通过采取有效防治措施</w:t>
            </w:r>
            <w:r>
              <w:rPr>
                <w:rFonts w:ascii="Times New Roman" w:hAnsi="Times New Roman" w:eastAsia="宋体" w:cs="Times New Roman"/>
                <w:sz w:val="24"/>
              </w:rPr>
              <w:t>将不利影响降到最低。项目建设期间落实了环评报告和环评批复提出的施工期环境保护要求，施工期结束未遗留环保问题，未受到相关环保投诉。</w:t>
            </w:r>
          </w:p>
          <w:p w14:paraId="5E53D201">
            <w:pPr>
              <w:pStyle w:val="38"/>
              <w:adjustRightInd w:val="0"/>
              <w:snapToGrid w:val="0"/>
              <w:spacing w:line="500" w:lineRule="exact"/>
              <w:ind w:firstLine="482" w:firstLineChars="200"/>
              <w:rPr>
                <w:rFonts w:ascii="Times New Roman" w:hAnsi="Times New Roman" w:eastAsia="宋体" w:cs="Times New Roman"/>
                <w:sz w:val="24"/>
                <w:szCs w:val="24"/>
              </w:rPr>
            </w:pPr>
            <w:r>
              <w:rPr>
                <w:rFonts w:ascii="Times New Roman" w:hAnsi="Times New Roman" w:eastAsia="宋体" w:cs="Times New Roman"/>
                <w:sz w:val="24"/>
                <w:szCs w:val="24"/>
              </w:rPr>
              <w:t>（2）环境管理</w:t>
            </w:r>
          </w:p>
          <w:p w14:paraId="50AC615B">
            <w:pPr>
              <w:pStyle w:val="4"/>
              <w:keepNext w:val="0"/>
              <w:keepLines w:val="0"/>
              <w:widowControl/>
              <w:tabs>
                <w:tab w:val="left" w:pos="2126"/>
              </w:tabs>
              <w:adjustRightInd w:val="0"/>
              <w:snapToGrid w:val="0"/>
              <w:spacing w:line="500" w:lineRule="exact"/>
              <w:ind w:firstLine="482" w:firstLineChars="200"/>
              <w:outlineLvl w:val="2"/>
              <w:rPr>
                <w:rFonts w:ascii="Times New Roman" w:hAnsi="Times New Roman" w:eastAsia="宋体" w:cs="Times New Roman"/>
                <w:sz w:val="24"/>
                <w:szCs w:val="24"/>
              </w:rPr>
            </w:pPr>
            <w:bookmarkStart w:id="10" w:name="_Toc2413"/>
            <w:bookmarkStart w:id="11" w:name="_Toc1328"/>
            <w:r>
              <w:rPr>
                <w:rFonts w:ascii="Times New Roman" w:hAnsi="Times New Roman" w:eastAsia="宋体" w:cs="Times New Roman"/>
                <w:sz w:val="24"/>
                <w:szCs w:val="24"/>
              </w:rPr>
              <w:t>1）环境管理机构设置</w:t>
            </w:r>
            <w:bookmarkEnd w:id="10"/>
            <w:bookmarkEnd w:id="11"/>
          </w:p>
          <w:p w14:paraId="001FB69B">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由于企业员工数量有限，由生产管理人员兼职环保管理人员，负责环保设施的正常运行、维护管理工作。</w:t>
            </w:r>
          </w:p>
          <w:p w14:paraId="5BAD03EA">
            <w:pPr>
              <w:pStyle w:val="4"/>
              <w:keepNext w:val="0"/>
              <w:keepLines w:val="0"/>
              <w:widowControl/>
              <w:tabs>
                <w:tab w:val="left" w:pos="2126"/>
              </w:tabs>
              <w:adjustRightInd w:val="0"/>
              <w:snapToGrid w:val="0"/>
              <w:spacing w:line="500" w:lineRule="exact"/>
              <w:ind w:firstLine="482" w:firstLineChars="200"/>
              <w:outlineLvl w:val="2"/>
              <w:rPr>
                <w:rFonts w:ascii="Times New Roman" w:hAnsi="Times New Roman" w:eastAsia="宋体" w:cs="Times New Roman"/>
                <w:sz w:val="24"/>
                <w:szCs w:val="24"/>
              </w:rPr>
            </w:pPr>
            <w:bookmarkStart w:id="12" w:name="_Toc29439"/>
            <w:bookmarkStart w:id="13" w:name="_Toc19299"/>
            <w:r>
              <w:rPr>
                <w:rFonts w:ascii="Times New Roman" w:hAnsi="Times New Roman" w:eastAsia="宋体" w:cs="Times New Roman"/>
                <w:sz w:val="24"/>
                <w:szCs w:val="24"/>
              </w:rPr>
              <w:t>2）环境管理机构职责</w:t>
            </w:r>
            <w:bookmarkEnd w:id="12"/>
            <w:bookmarkEnd w:id="13"/>
          </w:p>
          <w:p w14:paraId="177C1D46">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①编制、提出营运期的环境保护计划；</w:t>
            </w:r>
          </w:p>
          <w:p w14:paraId="0F7BD28F">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②贯彻落实国家和地方的环境保护法律、法规、政策和标准，直接接受行业主管部门及生态环境部门的监督、领导，配合环境主管部门做好环保工作；</w:t>
            </w:r>
          </w:p>
          <w:p w14:paraId="1C498068">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③负责区域内所有环保设施的日常运行管理，保障各环保设施的正常运行，并对环保设施的改进提出积极的建议；</w:t>
            </w:r>
          </w:p>
          <w:p w14:paraId="4ACFE20F">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④负责对校内人员进行环保宣传教育工作及检查、监督各岗位环保制度的执行情况。</w:t>
            </w:r>
          </w:p>
          <w:p w14:paraId="24202FD8">
            <w:pPr>
              <w:pStyle w:val="4"/>
              <w:keepNext w:val="0"/>
              <w:keepLines w:val="0"/>
              <w:widowControl/>
              <w:tabs>
                <w:tab w:val="left" w:pos="2126"/>
              </w:tabs>
              <w:adjustRightInd w:val="0"/>
              <w:snapToGrid w:val="0"/>
              <w:spacing w:line="500" w:lineRule="exact"/>
              <w:ind w:firstLine="482" w:firstLineChars="200"/>
              <w:outlineLvl w:val="2"/>
              <w:rPr>
                <w:rFonts w:ascii="Times New Roman" w:hAnsi="Times New Roman" w:eastAsia="宋体" w:cs="Times New Roman"/>
                <w:sz w:val="24"/>
                <w:szCs w:val="24"/>
              </w:rPr>
            </w:pPr>
            <w:bookmarkStart w:id="14" w:name="_Toc8244"/>
            <w:bookmarkStart w:id="15" w:name="_Toc24940"/>
            <w:r>
              <w:rPr>
                <w:rFonts w:ascii="Times New Roman" w:hAnsi="Times New Roman" w:eastAsia="宋体" w:cs="Times New Roman"/>
                <w:sz w:val="24"/>
                <w:szCs w:val="24"/>
              </w:rPr>
              <w:t>3）环境管理措施</w:t>
            </w:r>
            <w:bookmarkEnd w:id="14"/>
            <w:bookmarkEnd w:id="15"/>
          </w:p>
          <w:p w14:paraId="01D83582">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①根据国家环保政策、标准及环境监测要求，制定本项目营运期环保管理规章制度、各种污染物排放控制指标；</w:t>
            </w:r>
          </w:p>
          <w:p w14:paraId="5E896D01">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②负责本项目内所有环保设施的日常运行管理，保障各环保设施的正常运行，并对环保设施的改进提出积极的建议；</w:t>
            </w:r>
          </w:p>
          <w:p w14:paraId="5927A2B8">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③在现有规章制度的基础上，建立健全环境档案管理与保密制度、污染防治设施设计技术改进及运行资料、污染源调查技术档案、环境监测及评价资料等。</w:t>
            </w:r>
          </w:p>
          <w:p w14:paraId="609A5824">
            <w:pPr>
              <w:autoSpaceDE w:val="0"/>
              <w:autoSpaceDN w:val="0"/>
              <w:adjustRightInd w:val="0"/>
              <w:snapToGrid w:val="0"/>
              <w:spacing w:line="500" w:lineRule="exact"/>
              <w:ind w:firstLine="482" w:firstLineChars="200"/>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（3）监测计划</w:t>
            </w:r>
          </w:p>
          <w:p w14:paraId="1C343B1E">
            <w:pPr>
              <w:widowControl/>
              <w:adjustRightInd w:val="0"/>
              <w:snapToGrid w:val="0"/>
              <w:spacing w:line="5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根据环评及批复文件要求，制定企业自行监测方案如下。</w:t>
            </w:r>
          </w:p>
          <w:p w14:paraId="1ACC9FCE">
            <w:pPr>
              <w:pStyle w:val="59"/>
              <w:adjustRightInd w:val="0"/>
              <w:snapToGrid w:val="0"/>
              <w:spacing w:line="500" w:lineRule="exact"/>
              <w:ind w:left="0" w:leftChars="0" w:firstLine="0" w:firstLineChars="0"/>
              <w:rPr>
                <w:rFonts w:ascii="Times New Roman" w:hAnsi="Times New Roman" w:eastAsia="宋体" w:cs="Times New Roman"/>
                <w:szCs w:val="24"/>
              </w:rPr>
            </w:pPr>
            <w:r>
              <w:rPr>
                <w:rFonts w:ascii="Times New Roman" w:hAnsi="Times New Roman" w:eastAsia="宋体" w:cs="Times New Roman"/>
                <w:szCs w:val="24"/>
              </w:rPr>
              <w:t>表3-</w:t>
            </w:r>
            <w:r>
              <w:rPr>
                <w:rFonts w:hint="eastAsia" w:ascii="Times New Roman" w:hAnsi="Times New Roman" w:eastAsia="宋体" w:cs="Times New Roman"/>
                <w:szCs w:val="24"/>
              </w:rPr>
              <w:t>3</w:t>
            </w:r>
            <w:r>
              <w:rPr>
                <w:rFonts w:ascii="Times New Roman" w:hAnsi="Times New Roman" w:eastAsia="宋体" w:cs="Times New Roman"/>
                <w:szCs w:val="24"/>
              </w:rPr>
              <w:t>废气自行监测计划表</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2"/>
              <w:gridCol w:w="1740"/>
              <w:gridCol w:w="1395"/>
              <w:gridCol w:w="2070"/>
              <w:gridCol w:w="1497"/>
            </w:tblGrid>
            <w:tr w14:paraId="1D469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5"/>
                  <w:tcBorders>
                    <w:top w:val="single" w:color="auto" w:sz="4" w:space="0"/>
                    <w:left w:val="single" w:color="auto" w:sz="4" w:space="0"/>
                    <w:bottom w:val="single" w:color="auto" w:sz="4" w:space="0"/>
                    <w:right w:val="single" w:color="auto" w:sz="4" w:space="0"/>
                  </w:tcBorders>
                  <w:noWrap w:val="0"/>
                  <w:vAlign w:val="center"/>
                </w:tcPr>
                <w:p w14:paraId="22A7BF31">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napToGrid/>
                      <w:kern w:val="0"/>
                      <w:sz w:val="21"/>
                      <w:szCs w:val="21"/>
                      <w:lang w:val="en-US" w:eastAsia="zh-CN" w:bidi="ar"/>
                    </w:rPr>
                  </w:pPr>
                  <w:r>
                    <w:rPr>
                      <w:rFonts w:hint="default" w:ascii="Times New Roman" w:hAnsi="Times New Roman" w:eastAsia="宋体" w:cs="Times New Roman"/>
                      <w:snapToGrid/>
                      <w:kern w:val="0"/>
                      <w:sz w:val="21"/>
                      <w:szCs w:val="21"/>
                      <w:lang w:val="en-US" w:eastAsia="zh-CN" w:bidi="ar"/>
                    </w:rPr>
                    <w:t>有组织排放</w:t>
                  </w:r>
                </w:p>
              </w:tc>
            </w:tr>
            <w:tr w14:paraId="50A9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2" w:type="dxa"/>
                  <w:tcBorders>
                    <w:top w:val="single" w:color="auto" w:sz="4" w:space="0"/>
                    <w:left w:val="single" w:color="auto" w:sz="4" w:space="0"/>
                    <w:bottom w:val="single" w:color="auto" w:sz="4" w:space="0"/>
                    <w:right w:val="single" w:color="auto" w:sz="4" w:space="0"/>
                  </w:tcBorders>
                  <w:noWrap w:val="0"/>
                  <w:vAlign w:val="center"/>
                </w:tcPr>
                <w:p w14:paraId="56823137">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类别</w:t>
                  </w:r>
                </w:p>
              </w:tc>
              <w:tc>
                <w:tcPr>
                  <w:tcW w:w="1740" w:type="dxa"/>
                  <w:tcBorders>
                    <w:top w:val="single" w:color="auto" w:sz="4" w:space="0"/>
                    <w:left w:val="single" w:color="auto" w:sz="4" w:space="0"/>
                    <w:bottom w:val="single" w:color="auto" w:sz="4" w:space="0"/>
                    <w:right w:val="single" w:color="auto" w:sz="4" w:space="0"/>
                  </w:tcBorders>
                  <w:noWrap w:val="0"/>
                  <w:vAlign w:val="center"/>
                </w:tcPr>
                <w:p w14:paraId="7F81F633">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监测点位</w:t>
                  </w:r>
                </w:p>
              </w:tc>
              <w:tc>
                <w:tcPr>
                  <w:tcW w:w="1395" w:type="dxa"/>
                  <w:tcBorders>
                    <w:top w:val="single" w:color="auto" w:sz="4" w:space="0"/>
                    <w:left w:val="single" w:color="auto" w:sz="4" w:space="0"/>
                    <w:bottom w:val="single" w:color="auto" w:sz="4" w:space="0"/>
                    <w:right w:val="single" w:color="auto" w:sz="4" w:space="0"/>
                  </w:tcBorders>
                  <w:noWrap w:val="0"/>
                  <w:vAlign w:val="center"/>
                </w:tcPr>
                <w:p w14:paraId="6D4A52EA">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监测指标</w:t>
                  </w:r>
                </w:p>
              </w:tc>
              <w:tc>
                <w:tcPr>
                  <w:tcW w:w="2070" w:type="dxa"/>
                  <w:tcBorders>
                    <w:top w:val="single" w:color="auto" w:sz="4" w:space="0"/>
                    <w:left w:val="single" w:color="auto" w:sz="4" w:space="0"/>
                    <w:bottom w:val="single" w:color="auto" w:sz="4" w:space="0"/>
                    <w:right w:val="single" w:color="auto" w:sz="4" w:space="0"/>
                  </w:tcBorders>
                  <w:noWrap w:val="0"/>
                  <w:vAlign w:val="center"/>
                </w:tcPr>
                <w:p w14:paraId="32BE879B">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执行标准</w:t>
                  </w:r>
                </w:p>
              </w:tc>
              <w:tc>
                <w:tcPr>
                  <w:tcW w:w="1497" w:type="dxa"/>
                  <w:tcBorders>
                    <w:top w:val="single" w:color="auto" w:sz="4" w:space="0"/>
                    <w:left w:val="single" w:color="auto" w:sz="4" w:space="0"/>
                    <w:bottom w:val="single" w:color="auto" w:sz="4" w:space="0"/>
                    <w:right w:val="single" w:color="auto" w:sz="4" w:space="0"/>
                  </w:tcBorders>
                  <w:noWrap w:val="0"/>
                  <w:vAlign w:val="center"/>
                </w:tcPr>
                <w:p w14:paraId="1389DB87">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最低监测频次</w:t>
                  </w:r>
                </w:p>
              </w:tc>
            </w:tr>
            <w:tr w14:paraId="40517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2" w:type="dxa"/>
                  <w:vMerge w:val="restart"/>
                  <w:tcBorders>
                    <w:top w:val="single" w:color="auto" w:sz="4" w:space="0"/>
                    <w:left w:val="single" w:color="auto" w:sz="4" w:space="0"/>
                    <w:right w:val="single" w:color="auto" w:sz="4" w:space="0"/>
                  </w:tcBorders>
                  <w:noWrap w:val="0"/>
                  <w:vAlign w:val="center"/>
                </w:tcPr>
                <w:p w14:paraId="327390FA">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宋体" w:hAnsi="宋体" w:eastAsia="宋体" w:cs="宋体"/>
                      <w:b w:val="0"/>
                      <w:bCs w:val="0"/>
                      <w:color w:val="0D0D0D"/>
                      <w:sz w:val="21"/>
                      <w:szCs w:val="21"/>
                    </w:rPr>
                    <w:t>使用除聚氯乙烯以外的树脂生产的泡沫塑料制造</w:t>
                  </w:r>
                </w:p>
              </w:tc>
              <w:tc>
                <w:tcPr>
                  <w:tcW w:w="1740" w:type="dxa"/>
                  <w:vMerge w:val="restart"/>
                  <w:tcBorders>
                    <w:top w:val="single" w:color="auto" w:sz="4" w:space="0"/>
                    <w:left w:val="single" w:color="auto" w:sz="4" w:space="0"/>
                    <w:right w:val="single" w:color="auto" w:sz="4" w:space="0"/>
                  </w:tcBorders>
                  <w:noWrap w:val="0"/>
                  <w:vAlign w:val="center"/>
                </w:tcPr>
                <w:p w14:paraId="75013F9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kern w:val="0"/>
                      <w:sz w:val="21"/>
                      <w:szCs w:val="21"/>
                      <w:lang w:val="en-US"/>
                    </w:rPr>
                  </w:pPr>
                  <w:r>
                    <w:rPr>
                      <w:rFonts w:hint="default" w:ascii="Times New Roman" w:hAnsi="Times New Roman" w:eastAsia="宋体" w:cs="Times New Roman"/>
                      <w:b w:val="0"/>
                      <w:bCs w:val="0"/>
                      <w:color w:val="000000"/>
                      <w:sz w:val="21"/>
                      <w:szCs w:val="21"/>
                    </w:rPr>
                    <w:t>废气排放口</w:t>
                  </w:r>
                </w:p>
              </w:tc>
              <w:tc>
                <w:tcPr>
                  <w:tcW w:w="1395" w:type="dxa"/>
                  <w:tcBorders>
                    <w:top w:val="single" w:color="auto" w:sz="4" w:space="0"/>
                    <w:left w:val="single" w:color="auto" w:sz="4" w:space="0"/>
                    <w:bottom w:val="single" w:color="auto" w:sz="4" w:space="0"/>
                    <w:right w:val="single" w:color="auto" w:sz="4" w:space="0"/>
                  </w:tcBorders>
                  <w:noWrap w:val="0"/>
                  <w:vAlign w:val="center"/>
                </w:tcPr>
                <w:p w14:paraId="450B7B3E">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非甲烷总烃</w:t>
                  </w:r>
                </w:p>
              </w:tc>
              <w:tc>
                <w:tcPr>
                  <w:tcW w:w="2070" w:type="dxa"/>
                  <w:tcBorders>
                    <w:top w:val="single" w:color="auto" w:sz="4" w:space="0"/>
                    <w:left w:val="single" w:color="auto" w:sz="4" w:space="0"/>
                    <w:bottom w:val="single" w:color="auto" w:sz="4" w:space="0"/>
                    <w:right w:val="single" w:color="auto" w:sz="4" w:space="0"/>
                  </w:tcBorders>
                  <w:noWrap w:val="0"/>
                  <w:vAlign w:val="center"/>
                </w:tcPr>
                <w:p w14:paraId="7F5AD16E">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《合成树脂工业污染物排放标准》（GB 31572—2015）</w:t>
                  </w:r>
                  <w:r>
                    <w:rPr>
                      <w:rFonts w:hint="eastAsia" w:ascii="Times New Roman" w:hAnsi="Times New Roman" w:eastAsia="宋体" w:cs="Times New Roman"/>
                      <w:kern w:val="0"/>
                      <w:sz w:val="21"/>
                      <w:szCs w:val="21"/>
                      <w:lang w:val="en-US" w:eastAsia="zh-CN"/>
                    </w:rPr>
                    <w:t>（含2024年修改单）</w:t>
                  </w:r>
                </w:p>
              </w:tc>
              <w:tc>
                <w:tcPr>
                  <w:tcW w:w="1497" w:type="dxa"/>
                  <w:tcBorders>
                    <w:top w:val="single" w:color="auto" w:sz="4" w:space="0"/>
                    <w:left w:val="single" w:color="auto" w:sz="4" w:space="0"/>
                    <w:bottom w:val="single" w:color="auto" w:sz="4" w:space="0"/>
                    <w:right w:val="single" w:color="auto" w:sz="4" w:space="0"/>
                  </w:tcBorders>
                  <w:noWrap w:val="0"/>
                  <w:vAlign w:val="center"/>
                </w:tcPr>
                <w:p w14:paraId="5234D88F">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1次/</w:t>
                  </w:r>
                  <w:r>
                    <w:rPr>
                      <w:rFonts w:hint="eastAsia" w:ascii="Times New Roman" w:hAnsi="Times New Roman" w:eastAsia="宋体" w:cs="Times New Roman"/>
                      <w:kern w:val="0"/>
                      <w:sz w:val="21"/>
                      <w:szCs w:val="21"/>
                      <w:lang w:val="en-US" w:eastAsia="zh-CN"/>
                    </w:rPr>
                    <w:t>半</w:t>
                  </w:r>
                  <w:r>
                    <w:rPr>
                      <w:rFonts w:hint="default" w:ascii="Times New Roman" w:hAnsi="Times New Roman" w:eastAsia="宋体" w:cs="Times New Roman"/>
                      <w:kern w:val="0"/>
                      <w:sz w:val="21"/>
                      <w:szCs w:val="21"/>
                      <w:lang w:val="en-US" w:eastAsia="zh-CN"/>
                    </w:rPr>
                    <w:t>年</w:t>
                  </w:r>
                </w:p>
              </w:tc>
            </w:tr>
            <w:tr w14:paraId="027AE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02" w:type="dxa"/>
                  <w:vMerge w:val="continue"/>
                  <w:tcBorders>
                    <w:left w:val="single" w:color="auto" w:sz="4" w:space="0"/>
                    <w:right w:val="single" w:color="auto" w:sz="4" w:space="0"/>
                  </w:tcBorders>
                  <w:noWrap w:val="0"/>
                  <w:vAlign w:val="center"/>
                </w:tcPr>
                <w:p w14:paraId="5D2934AA">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bCs w:val="0"/>
                      <w:color w:val="000000"/>
                      <w:sz w:val="21"/>
                      <w:szCs w:val="21"/>
                    </w:rPr>
                  </w:pPr>
                </w:p>
              </w:tc>
              <w:tc>
                <w:tcPr>
                  <w:tcW w:w="1740" w:type="dxa"/>
                  <w:vMerge w:val="continue"/>
                  <w:tcBorders>
                    <w:left w:val="single" w:color="auto" w:sz="4" w:space="0"/>
                    <w:bottom w:val="single" w:color="auto" w:sz="4" w:space="0"/>
                    <w:right w:val="single" w:color="auto" w:sz="4" w:space="0"/>
                  </w:tcBorders>
                  <w:noWrap w:val="0"/>
                  <w:vAlign w:val="center"/>
                </w:tcPr>
                <w:p w14:paraId="445CEAC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sz w:val="21"/>
                      <w:szCs w:val="21"/>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14:paraId="4FCEE552">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臭气浓度</w:t>
                  </w:r>
                </w:p>
              </w:tc>
              <w:tc>
                <w:tcPr>
                  <w:tcW w:w="2070" w:type="dxa"/>
                  <w:tcBorders>
                    <w:top w:val="single" w:color="auto" w:sz="4" w:space="0"/>
                    <w:left w:val="single" w:color="auto" w:sz="4" w:space="0"/>
                    <w:bottom w:val="single" w:color="auto" w:sz="4" w:space="0"/>
                    <w:right w:val="single" w:color="auto" w:sz="4" w:space="0"/>
                  </w:tcBorders>
                  <w:noWrap w:val="0"/>
                  <w:vAlign w:val="center"/>
                </w:tcPr>
                <w:p w14:paraId="321808E3">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sz w:val="21"/>
                      <w:szCs w:val="21"/>
                      <w:lang w:val="en-US" w:eastAsia="zh-CN"/>
                    </w:rPr>
                    <w:t>《恶臭污染物排放标准》（GB14554-93）</w:t>
                  </w:r>
                </w:p>
              </w:tc>
              <w:tc>
                <w:tcPr>
                  <w:tcW w:w="1497" w:type="dxa"/>
                  <w:tcBorders>
                    <w:top w:val="single" w:color="auto" w:sz="4" w:space="0"/>
                    <w:left w:val="single" w:color="auto" w:sz="4" w:space="0"/>
                    <w:bottom w:val="single" w:color="auto" w:sz="4" w:space="0"/>
                    <w:right w:val="single" w:color="auto" w:sz="4" w:space="0"/>
                  </w:tcBorders>
                  <w:noWrap w:val="0"/>
                  <w:vAlign w:val="center"/>
                </w:tcPr>
                <w:p w14:paraId="682A2F7C">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1次/年</w:t>
                  </w:r>
                </w:p>
              </w:tc>
            </w:tr>
            <w:tr w14:paraId="360A1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5"/>
                  <w:tcBorders>
                    <w:top w:val="single" w:color="auto" w:sz="4" w:space="0"/>
                    <w:left w:val="single" w:color="auto" w:sz="4" w:space="0"/>
                    <w:bottom w:val="single" w:color="auto" w:sz="4" w:space="0"/>
                    <w:right w:val="single" w:color="auto" w:sz="4" w:space="0"/>
                  </w:tcBorders>
                  <w:noWrap w:val="0"/>
                  <w:vAlign w:val="center"/>
                </w:tcPr>
                <w:p w14:paraId="6C8344D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无组织排放</w:t>
                  </w:r>
                </w:p>
              </w:tc>
            </w:tr>
            <w:tr w14:paraId="04253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42" w:type="dxa"/>
                  <w:gridSpan w:val="2"/>
                  <w:tcBorders>
                    <w:top w:val="single" w:color="auto" w:sz="4" w:space="0"/>
                    <w:left w:val="single" w:color="auto" w:sz="4" w:space="0"/>
                    <w:bottom w:val="single" w:color="auto" w:sz="4" w:space="0"/>
                    <w:right w:val="single" w:color="auto" w:sz="4" w:space="0"/>
                  </w:tcBorders>
                  <w:noWrap w:val="0"/>
                  <w:vAlign w:val="center"/>
                </w:tcPr>
                <w:p w14:paraId="5C808FB9">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监测点位</w:t>
                  </w:r>
                </w:p>
              </w:tc>
              <w:tc>
                <w:tcPr>
                  <w:tcW w:w="1395" w:type="dxa"/>
                  <w:tcBorders>
                    <w:top w:val="single" w:color="auto" w:sz="4" w:space="0"/>
                    <w:left w:val="single" w:color="auto" w:sz="4" w:space="0"/>
                    <w:bottom w:val="single" w:color="auto" w:sz="4" w:space="0"/>
                    <w:right w:val="single" w:color="auto" w:sz="4" w:space="0"/>
                  </w:tcBorders>
                  <w:noWrap w:val="0"/>
                  <w:vAlign w:val="center"/>
                </w:tcPr>
                <w:p w14:paraId="3F8DFC5A">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监测指标</w:t>
                  </w:r>
                </w:p>
              </w:tc>
              <w:tc>
                <w:tcPr>
                  <w:tcW w:w="2070" w:type="dxa"/>
                  <w:tcBorders>
                    <w:top w:val="single" w:color="auto" w:sz="4" w:space="0"/>
                    <w:left w:val="single" w:color="auto" w:sz="4" w:space="0"/>
                    <w:bottom w:val="single" w:color="auto" w:sz="4" w:space="0"/>
                    <w:right w:val="single" w:color="auto" w:sz="4" w:space="0"/>
                  </w:tcBorders>
                  <w:noWrap w:val="0"/>
                  <w:vAlign w:val="center"/>
                </w:tcPr>
                <w:p w14:paraId="1C65D924">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执行标准</w:t>
                  </w:r>
                </w:p>
              </w:tc>
              <w:tc>
                <w:tcPr>
                  <w:tcW w:w="1497" w:type="dxa"/>
                  <w:tcBorders>
                    <w:top w:val="single" w:color="auto" w:sz="4" w:space="0"/>
                    <w:left w:val="single" w:color="auto" w:sz="4" w:space="0"/>
                    <w:bottom w:val="single" w:color="auto" w:sz="4" w:space="0"/>
                    <w:right w:val="single" w:color="auto" w:sz="4" w:space="0"/>
                  </w:tcBorders>
                  <w:noWrap w:val="0"/>
                  <w:vAlign w:val="center"/>
                </w:tcPr>
                <w:p w14:paraId="2639C313">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最低监测频次</w:t>
                  </w:r>
                </w:p>
              </w:tc>
            </w:tr>
            <w:tr w14:paraId="25AEB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42" w:type="dxa"/>
                  <w:gridSpan w:val="2"/>
                  <w:vMerge w:val="restart"/>
                  <w:tcBorders>
                    <w:top w:val="single" w:color="auto" w:sz="4" w:space="0"/>
                    <w:left w:val="single" w:color="auto" w:sz="4" w:space="0"/>
                    <w:right w:val="single" w:color="auto" w:sz="4" w:space="0"/>
                  </w:tcBorders>
                  <w:noWrap w:val="0"/>
                  <w:vAlign w:val="center"/>
                </w:tcPr>
                <w:p w14:paraId="090A1F36">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厂界</w:t>
                  </w:r>
                </w:p>
              </w:tc>
              <w:tc>
                <w:tcPr>
                  <w:tcW w:w="1395" w:type="dxa"/>
                  <w:tcBorders>
                    <w:top w:val="single" w:color="auto" w:sz="4" w:space="0"/>
                    <w:left w:val="single" w:color="auto" w:sz="4" w:space="0"/>
                    <w:bottom w:val="single" w:color="auto" w:sz="4" w:space="0"/>
                    <w:right w:val="single" w:color="auto" w:sz="4" w:space="0"/>
                  </w:tcBorders>
                  <w:noWrap w:val="0"/>
                  <w:vAlign w:val="center"/>
                </w:tcPr>
                <w:p w14:paraId="36D1A985">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非甲烷总烃</w:t>
                  </w:r>
                </w:p>
              </w:tc>
              <w:tc>
                <w:tcPr>
                  <w:tcW w:w="2070" w:type="dxa"/>
                  <w:tcBorders>
                    <w:top w:val="single" w:color="auto" w:sz="4" w:space="0"/>
                    <w:left w:val="single" w:color="auto" w:sz="4" w:space="0"/>
                    <w:bottom w:val="single" w:color="auto" w:sz="4" w:space="0"/>
                    <w:right w:val="single" w:color="auto" w:sz="4" w:space="0"/>
                  </w:tcBorders>
                  <w:noWrap w:val="0"/>
                  <w:vAlign w:val="center"/>
                </w:tcPr>
                <w:p w14:paraId="6021F458">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《合成树脂工业污染物排放标准》（GB 31572—2015）</w:t>
                  </w:r>
                  <w:r>
                    <w:rPr>
                      <w:rFonts w:hint="eastAsia" w:ascii="Times New Roman" w:hAnsi="Times New Roman" w:eastAsia="宋体" w:cs="Times New Roman"/>
                      <w:kern w:val="0"/>
                      <w:sz w:val="21"/>
                      <w:szCs w:val="21"/>
                      <w:lang w:val="en-US" w:eastAsia="zh-CN"/>
                    </w:rPr>
                    <w:t>（含2024年修改单）</w:t>
                  </w:r>
                </w:p>
              </w:tc>
              <w:tc>
                <w:tcPr>
                  <w:tcW w:w="1497" w:type="dxa"/>
                  <w:tcBorders>
                    <w:top w:val="single" w:color="auto" w:sz="4" w:space="0"/>
                    <w:left w:val="single" w:color="auto" w:sz="4" w:space="0"/>
                    <w:bottom w:val="single" w:color="auto" w:sz="4" w:space="0"/>
                    <w:right w:val="single" w:color="auto" w:sz="4" w:space="0"/>
                  </w:tcBorders>
                  <w:noWrap w:val="0"/>
                  <w:vAlign w:val="center"/>
                </w:tcPr>
                <w:p w14:paraId="34F71CAE">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1次/年</w:t>
                  </w:r>
                </w:p>
              </w:tc>
            </w:tr>
            <w:tr w14:paraId="529FB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42" w:type="dxa"/>
                  <w:gridSpan w:val="2"/>
                  <w:vMerge w:val="continue"/>
                  <w:tcBorders>
                    <w:left w:val="single" w:color="auto" w:sz="4" w:space="0"/>
                    <w:bottom w:val="single" w:color="auto" w:sz="4" w:space="0"/>
                    <w:right w:val="single" w:color="auto" w:sz="4" w:space="0"/>
                  </w:tcBorders>
                  <w:noWrap w:val="0"/>
                  <w:vAlign w:val="center"/>
                </w:tcPr>
                <w:p w14:paraId="577A7782">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p>
              </w:tc>
              <w:tc>
                <w:tcPr>
                  <w:tcW w:w="1395" w:type="dxa"/>
                  <w:tcBorders>
                    <w:top w:val="single" w:color="auto" w:sz="4" w:space="0"/>
                    <w:left w:val="single" w:color="auto" w:sz="4" w:space="0"/>
                    <w:bottom w:val="single" w:color="auto" w:sz="4" w:space="0"/>
                    <w:right w:val="single" w:color="auto" w:sz="4" w:space="0"/>
                  </w:tcBorders>
                  <w:noWrap w:val="0"/>
                  <w:vAlign w:val="center"/>
                </w:tcPr>
                <w:p w14:paraId="72144EFC">
                  <w:pPr>
                    <w:pStyle w:val="2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臭气浓度</w:t>
                  </w:r>
                </w:p>
              </w:tc>
              <w:tc>
                <w:tcPr>
                  <w:tcW w:w="2070" w:type="dxa"/>
                  <w:tcBorders>
                    <w:top w:val="single" w:color="auto" w:sz="4" w:space="0"/>
                    <w:left w:val="single" w:color="auto" w:sz="4" w:space="0"/>
                    <w:bottom w:val="single" w:color="auto" w:sz="4" w:space="0"/>
                    <w:right w:val="single" w:color="auto" w:sz="4" w:space="0"/>
                  </w:tcBorders>
                  <w:noWrap w:val="0"/>
                  <w:vAlign w:val="center"/>
                </w:tcPr>
                <w:p w14:paraId="39B6AA17">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sz w:val="21"/>
                      <w:szCs w:val="21"/>
                      <w:lang w:val="en-US" w:eastAsia="zh-CN"/>
                    </w:rPr>
                    <w:t>《恶臭污染物排放标准》（GB14554-93）</w:t>
                  </w:r>
                </w:p>
              </w:tc>
              <w:tc>
                <w:tcPr>
                  <w:tcW w:w="1497" w:type="dxa"/>
                  <w:tcBorders>
                    <w:top w:val="single" w:color="auto" w:sz="4" w:space="0"/>
                    <w:left w:val="single" w:color="auto" w:sz="4" w:space="0"/>
                    <w:bottom w:val="single" w:color="auto" w:sz="4" w:space="0"/>
                    <w:right w:val="single" w:color="auto" w:sz="4" w:space="0"/>
                  </w:tcBorders>
                  <w:noWrap w:val="0"/>
                  <w:vAlign w:val="center"/>
                </w:tcPr>
                <w:p w14:paraId="449622BC">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1次/年</w:t>
                  </w:r>
                </w:p>
              </w:tc>
            </w:tr>
          </w:tbl>
          <w:p w14:paraId="4B2E8FD2">
            <w:pPr>
              <w:pStyle w:val="59"/>
              <w:adjustRightInd w:val="0"/>
              <w:snapToGrid w:val="0"/>
              <w:spacing w:line="500" w:lineRule="exact"/>
              <w:ind w:left="0" w:leftChars="0" w:firstLine="0" w:firstLineChars="0"/>
              <w:rPr>
                <w:rFonts w:ascii="Times New Roman" w:hAnsi="Times New Roman" w:cs="Times New Roman"/>
                <w:szCs w:val="24"/>
              </w:rPr>
            </w:pPr>
            <w:r>
              <w:rPr>
                <w:rFonts w:ascii="Times New Roman" w:hAnsi="Times New Roman" w:cs="Times New Roman"/>
                <w:szCs w:val="24"/>
              </w:rPr>
              <w:t>表</w:t>
            </w:r>
            <w:r>
              <w:rPr>
                <w:rFonts w:hint="eastAsia" w:ascii="Times New Roman" w:hAnsi="Times New Roman" w:cs="Times New Roman"/>
                <w:szCs w:val="24"/>
              </w:rPr>
              <w:t>3-4</w:t>
            </w:r>
            <w:r>
              <w:rPr>
                <w:rFonts w:ascii="Times New Roman" w:hAnsi="Times New Roman" w:cs="Times New Roman"/>
                <w:szCs w:val="24"/>
              </w:rPr>
              <w:t>噪声自行监测</w:t>
            </w:r>
            <w:r>
              <w:rPr>
                <w:rFonts w:hint="eastAsia" w:ascii="Times New Roman" w:hAnsi="Times New Roman" w:cs="Times New Roman"/>
                <w:szCs w:val="24"/>
              </w:rPr>
              <w:t>计划</w:t>
            </w:r>
            <w:r>
              <w:rPr>
                <w:rFonts w:ascii="Times New Roman" w:hAnsi="Times New Roman" w:cs="Times New Roman"/>
                <w:szCs w:val="24"/>
              </w:rPr>
              <w:t>表</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2076"/>
              <w:gridCol w:w="1470"/>
              <w:gridCol w:w="1182"/>
              <w:gridCol w:w="2822"/>
            </w:tblGrid>
            <w:tr w14:paraId="13F9C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44" w:type="dxa"/>
                  <w:tcBorders>
                    <w:top w:val="single" w:color="auto" w:sz="4" w:space="0"/>
                    <w:left w:val="single" w:color="auto" w:sz="4" w:space="0"/>
                    <w:bottom w:val="single" w:color="auto" w:sz="4" w:space="0"/>
                    <w:right w:val="single" w:color="auto" w:sz="4" w:space="0"/>
                  </w:tcBorders>
                  <w:noWrap w:val="0"/>
                  <w:vAlign w:val="center"/>
                </w:tcPr>
                <w:p w14:paraId="6A5990FA">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污染源</w:t>
                  </w:r>
                </w:p>
              </w:tc>
              <w:tc>
                <w:tcPr>
                  <w:tcW w:w="2055" w:type="dxa"/>
                  <w:tcBorders>
                    <w:top w:val="single" w:color="auto" w:sz="4" w:space="0"/>
                    <w:left w:val="single" w:color="auto" w:sz="4" w:space="0"/>
                    <w:bottom w:val="single" w:color="auto" w:sz="4" w:space="0"/>
                    <w:right w:val="single" w:color="auto" w:sz="4" w:space="0"/>
                  </w:tcBorders>
                  <w:noWrap w:val="0"/>
                  <w:vAlign w:val="center"/>
                </w:tcPr>
                <w:p w14:paraId="0DFFA81B">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监测点位</w:t>
                  </w:r>
                </w:p>
              </w:tc>
              <w:tc>
                <w:tcPr>
                  <w:tcW w:w="1455" w:type="dxa"/>
                  <w:tcBorders>
                    <w:top w:val="single" w:color="auto" w:sz="4" w:space="0"/>
                    <w:left w:val="single" w:color="auto" w:sz="4" w:space="0"/>
                    <w:bottom w:val="single" w:color="auto" w:sz="4" w:space="0"/>
                    <w:right w:val="single" w:color="auto" w:sz="4" w:space="0"/>
                  </w:tcBorders>
                  <w:noWrap w:val="0"/>
                  <w:vAlign w:val="center"/>
                </w:tcPr>
                <w:p w14:paraId="38EB4DA8">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监测指标</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39BF809C">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监测频次</w:t>
                  </w:r>
                </w:p>
              </w:tc>
              <w:tc>
                <w:tcPr>
                  <w:tcW w:w="2793" w:type="dxa"/>
                  <w:tcBorders>
                    <w:top w:val="single" w:color="auto" w:sz="4" w:space="0"/>
                    <w:left w:val="single" w:color="auto" w:sz="4" w:space="0"/>
                    <w:bottom w:val="single" w:color="auto" w:sz="4" w:space="0"/>
                    <w:right w:val="single" w:color="auto" w:sz="4" w:space="0"/>
                  </w:tcBorders>
                  <w:noWrap w:val="0"/>
                  <w:vAlign w:val="center"/>
                </w:tcPr>
                <w:p w14:paraId="1D6B006C">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执行标准</w:t>
                  </w:r>
                </w:p>
              </w:tc>
            </w:tr>
            <w:tr w14:paraId="65F9F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44" w:type="dxa"/>
                  <w:tcBorders>
                    <w:top w:val="single" w:color="auto" w:sz="4" w:space="0"/>
                    <w:left w:val="single" w:color="auto" w:sz="4" w:space="0"/>
                    <w:bottom w:val="single" w:color="auto" w:sz="4" w:space="0"/>
                    <w:right w:val="single" w:color="auto" w:sz="4" w:space="0"/>
                  </w:tcBorders>
                  <w:noWrap w:val="0"/>
                  <w:vAlign w:val="center"/>
                </w:tcPr>
                <w:p w14:paraId="5DB5DEFC">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噪声</w:t>
                  </w:r>
                </w:p>
              </w:tc>
              <w:tc>
                <w:tcPr>
                  <w:tcW w:w="2055" w:type="dxa"/>
                  <w:tcBorders>
                    <w:top w:val="single" w:color="auto" w:sz="4" w:space="0"/>
                    <w:left w:val="single" w:color="auto" w:sz="4" w:space="0"/>
                    <w:bottom w:val="single" w:color="auto" w:sz="4" w:space="0"/>
                    <w:right w:val="single" w:color="auto" w:sz="4" w:space="0"/>
                  </w:tcBorders>
                  <w:noWrap w:val="0"/>
                  <w:vAlign w:val="center"/>
                </w:tcPr>
                <w:p w14:paraId="123878D6">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lang w:val="en-US"/>
                    </w:rPr>
                  </w:pPr>
                  <w:r>
                    <w:rPr>
                      <w:rFonts w:hint="eastAsia" w:ascii="Times New Roman" w:hAnsi="Times New Roman" w:eastAsia="宋体" w:cs="Times New Roman"/>
                      <w:snapToGrid/>
                      <w:kern w:val="0"/>
                      <w:sz w:val="21"/>
                      <w:szCs w:val="21"/>
                      <w:lang w:val="en-US" w:eastAsia="zh-CN" w:bidi="ar"/>
                    </w:rPr>
                    <w:t>厂界四周</w:t>
                  </w:r>
                </w:p>
              </w:tc>
              <w:tc>
                <w:tcPr>
                  <w:tcW w:w="1455" w:type="dxa"/>
                  <w:tcBorders>
                    <w:top w:val="single" w:color="auto" w:sz="4" w:space="0"/>
                    <w:left w:val="single" w:color="auto" w:sz="4" w:space="0"/>
                    <w:bottom w:val="single" w:color="auto" w:sz="4" w:space="0"/>
                    <w:right w:val="single" w:color="auto" w:sz="4" w:space="0"/>
                  </w:tcBorders>
                  <w:noWrap w:val="0"/>
                  <w:vAlign w:val="center"/>
                </w:tcPr>
                <w:p w14:paraId="1EA7CED6">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等效连续A声级</w:t>
                  </w:r>
                </w:p>
              </w:tc>
              <w:tc>
                <w:tcPr>
                  <w:tcW w:w="1170" w:type="dxa"/>
                  <w:tcBorders>
                    <w:top w:val="single" w:color="auto" w:sz="4" w:space="0"/>
                    <w:left w:val="single" w:color="auto" w:sz="4" w:space="0"/>
                    <w:bottom w:val="single" w:color="auto" w:sz="4" w:space="0"/>
                    <w:right w:val="single" w:color="auto" w:sz="4" w:space="0"/>
                  </w:tcBorders>
                  <w:noWrap w:val="0"/>
                  <w:vAlign w:val="center"/>
                </w:tcPr>
                <w:p w14:paraId="0870D0F1">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1次/季度</w:t>
                  </w:r>
                </w:p>
              </w:tc>
              <w:tc>
                <w:tcPr>
                  <w:tcW w:w="2793" w:type="dxa"/>
                  <w:tcBorders>
                    <w:top w:val="single" w:color="auto" w:sz="4" w:space="0"/>
                    <w:left w:val="single" w:color="auto" w:sz="4" w:space="0"/>
                    <w:bottom w:val="single" w:color="auto" w:sz="4" w:space="0"/>
                    <w:right w:val="single" w:color="auto" w:sz="4" w:space="0"/>
                  </w:tcBorders>
                  <w:noWrap w:val="0"/>
                  <w:vAlign w:val="center"/>
                </w:tcPr>
                <w:p w14:paraId="18E4285D">
                  <w:pPr>
                    <w:pStyle w:val="23"/>
                    <w:keepNext w:val="0"/>
                    <w:keepLines w:val="0"/>
                    <w:widowControl w:val="0"/>
                    <w:suppressLineNumbers w:val="0"/>
                    <w:adjustRightInd w:val="0"/>
                    <w:snapToGrid w:val="0"/>
                    <w:spacing w:before="31" w:beforeLines="10" w:beforeAutospacing="0" w:after="31" w:afterLines="10" w:afterAutospacing="0" w:line="240" w:lineRule="auto"/>
                    <w:ind w:left="0" w:leftChars="0" w:right="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napToGrid/>
                      <w:kern w:val="0"/>
                      <w:sz w:val="21"/>
                      <w:szCs w:val="21"/>
                      <w:lang w:val="en-US" w:eastAsia="zh-CN" w:bidi="ar"/>
                    </w:rPr>
                    <w:t>《工业企业厂界环境噪声排放标准》（GB12348-2008）中</w:t>
                  </w:r>
                  <w:r>
                    <w:rPr>
                      <w:rFonts w:hint="eastAsia" w:ascii="Times New Roman" w:hAnsi="Times New Roman" w:eastAsia="宋体" w:cs="Times New Roman"/>
                      <w:snapToGrid/>
                      <w:kern w:val="0"/>
                      <w:sz w:val="21"/>
                      <w:szCs w:val="21"/>
                      <w:lang w:val="en-US" w:eastAsia="zh-CN" w:bidi="ar"/>
                    </w:rPr>
                    <w:t>3</w:t>
                  </w:r>
                  <w:r>
                    <w:rPr>
                      <w:rFonts w:hint="default" w:ascii="Times New Roman" w:hAnsi="Times New Roman" w:eastAsia="宋体" w:cs="Times New Roman"/>
                      <w:snapToGrid/>
                      <w:kern w:val="0"/>
                      <w:sz w:val="21"/>
                      <w:szCs w:val="21"/>
                      <w:lang w:val="en-US" w:eastAsia="zh-CN" w:bidi="ar"/>
                    </w:rPr>
                    <w:t>类标准。</w:t>
                  </w:r>
                </w:p>
              </w:tc>
            </w:tr>
          </w:tbl>
          <w:p w14:paraId="0CB8DD9C">
            <w:pPr>
              <w:adjustRightInd w:val="0"/>
              <w:snapToGrid w:val="0"/>
              <w:spacing w:line="500" w:lineRule="exact"/>
              <w:ind w:firstLine="482" w:firstLineChars="200"/>
              <w:rPr>
                <w:rFonts w:ascii="Times New Roman" w:hAnsi="Times New Roman" w:cs="Times New Roman"/>
                <w:b/>
                <w:bCs/>
                <w:sz w:val="24"/>
              </w:rPr>
            </w:pPr>
            <w:r>
              <w:rPr>
                <w:rFonts w:hint="eastAsia" w:ascii="Times New Roman" w:hAnsi="Times New Roman" w:cs="Times New Roman"/>
                <w:b/>
                <w:bCs/>
                <w:sz w:val="24"/>
              </w:rPr>
              <w:t xml:space="preserve">（4）环境风险防范设施 </w:t>
            </w:r>
          </w:p>
          <w:p w14:paraId="6BB22026">
            <w:pPr>
              <w:adjustRightInd w:val="0"/>
              <w:snapToGrid w:val="0"/>
              <w:spacing w:line="500" w:lineRule="exact"/>
              <w:ind w:firstLine="480" w:firstLineChars="200"/>
              <w:rPr>
                <w:rFonts w:hint="eastAsia" w:ascii="Times New Roman" w:hAnsi="Times New Roman" w:cs="Times New Roman"/>
                <w:sz w:val="24"/>
                <w:lang w:eastAsia="zh-CN"/>
              </w:rPr>
            </w:pPr>
            <w:r>
              <w:rPr>
                <w:rFonts w:hint="eastAsia" w:ascii="Times New Roman" w:hAnsi="Times New Roman" w:cs="Times New Roman"/>
                <w:sz w:val="24"/>
              </w:rPr>
              <w:t>项目建立较为完善的污染事故处理程序、机制和措施；较为完善的设备检修维修制度</w:t>
            </w:r>
            <w:r>
              <w:rPr>
                <w:rFonts w:hint="eastAsia" w:ascii="Times New Roman" w:hAnsi="Times New Roman" w:cs="Times New Roman"/>
                <w:sz w:val="24"/>
                <w:lang w:eastAsia="zh-CN"/>
              </w:rPr>
              <w:t>，</w:t>
            </w:r>
            <w:r>
              <w:rPr>
                <w:rFonts w:hint="eastAsia" w:ascii="Times New Roman" w:hAnsi="Times New Roman" w:cs="Times New Roman"/>
                <w:sz w:val="24"/>
              </w:rPr>
              <w:t>停电处置措施制度</w:t>
            </w:r>
            <w:r>
              <w:rPr>
                <w:rFonts w:hint="eastAsia" w:ascii="Times New Roman" w:hAnsi="Times New Roman" w:cs="Times New Roman"/>
                <w:sz w:val="24"/>
                <w:lang w:eastAsia="zh-CN"/>
              </w:rPr>
              <w:t>；</w:t>
            </w:r>
            <w:r>
              <w:rPr>
                <w:rFonts w:hint="eastAsia" w:ascii="Times New Roman" w:hAnsi="Times New Roman" w:cs="Times New Roman"/>
                <w:sz w:val="24"/>
              </w:rPr>
              <w:t>生产人员经专业培训上岗，避免人为生产事故导致的环境事件发生</w:t>
            </w:r>
            <w:r>
              <w:rPr>
                <w:rFonts w:hint="eastAsia" w:ascii="Times New Roman" w:hAnsi="Times New Roman" w:cs="Times New Roman"/>
                <w:sz w:val="24"/>
                <w:lang w:eastAsia="zh-CN"/>
              </w:rPr>
              <w:t>。</w:t>
            </w:r>
          </w:p>
          <w:p w14:paraId="0FB44EFA">
            <w:pPr>
              <w:adjustRightInd w:val="0"/>
              <w:snapToGrid w:val="0"/>
              <w:spacing w:line="500" w:lineRule="exact"/>
              <w:rPr>
                <w:rFonts w:hint="default" w:ascii="Times New Roman" w:hAnsi="Times New Roman" w:cs="Times New Roman"/>
                <w:sz w:val="24"/>
                <w:lang w:val="en-US" w:eastAsia="zh-CN"/>
              </w:rPr>
            </w:pPr>
            <w:r>
              <w:rPr>
                <w:rFonts w:hint="eastAsia" w:ascii="Times New Roman" w:hAnsi="Times New Roman" w:cs="Times New Roman"/>
                <w:sz w:val="24"/>
                <w:lang w:val="en-US" w:eastAsia="zh-CN"/>
              </w:rPr>
              <w:t>项目桶装发泡料原料放置密闭原料间储存，原料间内地面进行防渗处理。同时，发泡区地面进行防渗处理。由于发泡料具有接触空气快速凝固的特性，即便泄漏也不会造成大面积溢流问题，不会超出地面防渗区域。凝固后的事故废料交由资质单位处置；危废间地面防渗处理，四周设置围堰，确保事故情况下可有效收集到泄漏废油等，事故废油交由资质单位处置；厂房内设置值班室、监控系统，</w:t>
            </w:r>
            <w:r>
              <w:rPr>
                <w:rFonts w:hint="default" w:ascii="Times New Roman" w:hAnsi="Times New Roman" w:cs="Times New Roman"/>
                <w:sz w:val="24"/>
                <w:lang w:val="en-US" w:eastAsia="zh-CN"/>
              </w:rPr>
              <w:t>与相关责任人的手机端互联。出现事故情况及时报告，并采取相关应急措施</w:t>
            </w:r>
            <w:r>
              <w:rPr>
                <w:rFonts w:hint="eastAsia" w:ascii="Times New Roman" w:hAnsi="Times New Roman" w:cs="Times New Roman"/>
                <w:sz w:val="24"/>
                <w:lang w:val="en-US" w:eastAsia="zh-CN"/>
              </w:rPr>
              <w:t>。同时，企业</w:t>
            </w:r>
            <w:r>
              <w:rPr>
                <w:rFonts w:hint="default" w:ascii="Times New Roman" w:hAnsi="Times New Roman" w:cs="Times New Roman"/>
                <w:sz w:val="24"/>
                <w:lang w:val="en-US" w:eastAsia="zh-CN"/>
              </w:rPr>
              <w:t>与</w:t>
            </w:r>
            <w:r>
              <w:rPr>
                <w:rFonts w:hint="eastAsia" w:ascii="Times New Roman" w:hAnsi="Times New Roman" w:cs="Times New Roman"/>
                <w:sz w:val="24"/>
                <w:lang w:val="en-US" w:eastAsia="zh-CN"/>
              </w:rPr>
              <w:t>厂房管理企业、厂区其他企业及</w:t>
            </w:r>
            <w:r>
              <w:rPr>
                <w:rFonts w:hint="default" w:ascii="Times New Roman" w:hAnsi="Times New Roman" w:cs="Times New Roman"/>
                <w:sz w:val="24"/>
                <w:lang w:val="en-US" w:eastAsia="zh-CN"/>
              </w:rPr>
              <w:t>周边企业</w:t>
            </w:r>
            <w:r>
              <w:rPr>
                <w:rFonts w:hint="eastAsia" w:ascii="Times New Roman" w:hAnsi="Times New Roman" w:cs="Times New Roman"/>
                <w:sz w:val="24"/>
                <w:lang w:val="en-US" w:eastAsia="zh-CN"/>
              </w:rPr>
              <w:t>、</w:t>
            </w:r>
            <w:r>
              <w:rPr>
                <w:rFonts w:hint="default" w:ascii="Times New Roman" w:hAnsi="Times New Roman" w:cs="Times New Roman"/>
                <w:sz w:val="24"/>
                <w:lang w:val="en-US" w:eastAsia="zh-CN"/>
              </w:rPr>
              <w:t>当地政府部门建立联动机制，当发生事故时，及时向当地应急、环境等部门上报，及时疏散厂区员工及周围群众</w:t>
            </w:r>
            <w:r>
              <w:rPr>
                <w:rFonts w:hint="eastAsia" w:ascii="Times New Roman" w:hAnsi="Times New Roman" w:cs="Times New Roman"/>
                <w:sz w:val="24"/>
                <w:lang w:val="en-US" w:eastAsia="zh-CN"/>
              </w:rPr>
              <w:t>。后续企业</w:t>
            </w:r>
            <w:r>
              <w:rPr>
                <w:rFonts w:hint="default" w:ascii="Times New Roman" w:hAnsi="Times New Roman" w:cs="Times New Roman"/>
                <w:sz w:val="24"/>
                <w:lang w:val="en-US" w:eastAsia="zh-CN"/>
              </w:rPr>
              <w:t>完善环境风险应急预案</w:t>
            </w:r>
            <w:r>
              <w:rPr>
                <w:rFonts w:hint="eastAsia" w:ascii="Times New Roman" w:hAnsi="Times New Roman" w:cs="Times New Roman"/>
                <w:sz w:val="24"/>
                <w:lang w:val="en-US" w:eastAsia="zh-CN"/>
              </w:rPr>
              <w:t>，进一步完善落实应急措施</w:t>
            </w:r>
            <w:r>
              <w:rPr>
                <w:rFonts w:hint="default" w:ascii="Times New Roman" w:hAnsi="Times New Roman" w:cs="Times New Roman"/>
                <w:sz w:val="24"/>
                <w:lang w:val="en-US" w:eastAsia="zh-CN"/>
              </w:rPr>
              <w:t>。</w:t>
            </w:r>
          </w:p>
          <w:p w14:paraId="20E17FD6">
            <w:pPr>
              <w:pStyle w:val="28"/>
              <w:rPr>
                <w:rFonts w:hint="eastAsia" w:eastAsia="宋体"/>
                <w:sz w:val="24"/>
                <w:lang w:val="en-US" w:eastAsia="zh-CN"/>
              </w:rPr>
            </w:pPr>
          </w:p>
          <w:p w14:paraId="329280B1">
            <w:pPr>
              <w:rPr>
                <w:sz w:val="24"/>
              </w:rPr>
            </w:pPr>
          </w:p>
          <w:p w14:paraId="395FCCCF">
            <w:pPr>
              <w:pStyle w:val="28"/>
              <w:rPr>
                <w:sz w:val="24"/>
              </w:rPr>
            </w:pPr>
          </w:p>
          <w:p w14:paraId="2B40F81E">
            <w:pPr>
              <w:rPr>
                <w:sz w:val="24"/>
              </w:rPr>
            </w:pPr>
          </w:p>
          <w:p w14:paraId="767B6558">
            <w:pPr>
              <w:pStyle w:val="28"/>
              <w:rPr>
                <w:sz w:val="24"/>
              </w:rPr>
            </w:pPr>
          </w:p>
          <w:p w14:paraId="76EBE7FD">
            <w:pPr>
              <w:rPr>
                <w:sz w:val="24"/>
              </w:rPr>
            </w:pPr>
          </w:p>
          <w:p w14:paraId="532FBB09">
            <w:pPr>
              <w:pStyle w:val="28"/>
              <w:rPr>
                <w:sz w:val="24"/>
              </w:rPr>
            </w:pPr>
          </w:p>
          <w:p w14:paraId="69273849">
            <w:pPr>
              <w:rPr>
                <w:sz w:val="24"/>
              </w:rPr>
            </w:pPr>
          </w:p>
          <w:p w14:paraId="20A73791">
            <w:pPr>
              <w:pStyle w:val="28"/>
              <w:rPr>
                <w:sz w:val="24"/>
              </w:rPr>
            </w:pPr>
          </w:p>
          <w:p w14:paraId="4A0B707F"/>
          <w:p w14:paraId="33E7822B">
            <w:pPr>
              <w:pStyle w:val="6"/>
            </w:pPr>
          </w:p>
          <w:p w14:paraId="537970C7"/>
          <w:p w14:paraId="74E8753B">
            <w:pPr>
              <w:pStyle w:val="6"/>
            </w:pPr>
          </w:p>
          <w:p w14:paraId="7F976C0F">
            <w:pPr>
              <w:spacing w:line="500" w:lineRule="exact"/>
              <w:rPr>
                <w:sz w:val="24"/>
              </w:rPr>
            </w:pPr>
          </w:p>
        </w:tc>
      </w:tr>
    </w:tbl>
    <w:p w14:paraId="3E5C166B">
      <w:pPr>
        <w:pStyle w:val="28"/>
        <w:adjustRightInd w:val="0"/>
        <w:snapToGrid w:val="0"/>
        <w:spacing w:after="0" w:line="500" w:lineRule="exact"/>
        <w:ind w:left="0" w:leftChars="0" w:firstLine="0"/>
        <w:rPr>
          <w:b/>
          <w:bCs/>
          <w:color w:val="auto"/>
          <w:sz w:val="28"/>
          <w:szCs w:val="28"/>
        </w:rPr>
      </w:pPr>
      <w:r>
        <w:rPr>
          <w:rFonts w:hint="eastAsia"/>
          <w:b/>
          <w:bCs/>
          <w:color w:val="auto"/>
          <w:sz w:val="28"/>
          <w:szCs w:val="28"/>
        </w:rPr>
        <w:t>表四、环境影响报告表结论、审批部门审批决定及其落实情况</w:t>
      </w:r>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0725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6DD4D29F">
            <w:pPr>
              <w:pStyle w:val="28"/>
              <w:adjustRightInd w:val="0"/>
              <w:snapToGrid w:val="0"/>
              <w:spacing w:after="0" w:line="500" w:lineRule="exact"/>
              <w:ind w:left="0" w:leftChars="0" w:firstLine="482" w:firstLineChars="200"/>
              <w:rPr>
                <w:rFonts w:hAnsi="Times New Roman" w:cs="Times New Roman"/>
                <w:b/>
                <w:bCs/>
                <w:color w:val="000000" w:themeColor="text1"/>
                <w:sz w:val="24"/>
                <w14:textFill>
                  <w14:solidFill>
                    <w14:schemeClr w14:val="tx1"/>
                  </w14:solidFill>
                </w14:textFill>
              </w:rPr>
            </w:pPr>
            <w:r>
              <w:rPr>
                <w:rFonts w:hAnsi="Times New Roman" w:cs="Times New Roman"/>
                <w:b/>
                <w:bCs/>
                <w:color w:val="000000" w:themeColor="text1"/>
                <w:sz w:val="24"/>
                <w14:textFill>
                  <w14:solidFill>
                    <w14:schemeClr w14:val="tx1"/>
                  </w14:solidFill>
                </w14:textFill>
              </w:rPr>
              <w:t>一、 建设项目环境影响报告表主要结论</w:t>
            </w:r>
          </w:p>
          <w:p w14:paraId="2E199D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jc w:val="both"/>
              <w:textAlignment w:val="auto"/>
              <w:rPr>
                <w:rFonts w:hint="default"/>
                <w:sz w:val="24"/>
                <w:szCs w:val="24"/>
              </w:rPr>
            </w:pPr>
            <w:r>
              <w:rPr>
                <w:rFonts w:hint="eastAsia"/>
                <w:sz w:val="24"/>
                <w:szCs w:val="24"/>
              </w:rPr>
              <w:t>综上所述，本项目建设符合国家、地方现行环保政策，选址合理。项目在生产过程中产生的各项污染物全面落实本报告表提出的各项环境保护措施，切实做到“三同时”，并在营运期内</w:t>
            </w:r>
            <w:r>
              <w:rPr>
                <w:rFonts w:hint="eastAsia"/>
                <w:sz w:val="24"/>
                <w:szCs w:val="24"/>
                <w:lang w:val="en-US" w:eastAsia="zh-CN"/>
              </w:rPr>
              <w:t>进一步</w:t>
            </w:r>
            <w:r>
              <w:rPr>
                <w:rFonts w:hint="eastAsia"/>
                <w:sz w:val="24"/>
                <w:szCs w:val="24"/>
              </w:rPr>
              <w:t>加强环境管理，从环境保护角度，本项目建设是可行的。</w:t>
            </w:r>
          </w:p>
          <w:p w14:paraId="75F39679">
            <w:pPr>
              <w:pStyle w:val="36"/>
              <w:snapToGrid w:val="0"/>
              <w:spacing w:line="500" w:lineRule="exact"/>
              <w:ind w:firstLine="482" w:firstLineChars="200"/>
              <w:rPr>
                <w:rFonts w:ascii="Times New Roman"/>
                <w:b/>
                <w:bCs/>
                <w:color w:val="000000" w:themeColor="text1"/>
                <w:szCs w:val="24"/>
                <w14:textFill>
                  <w14:solidFill>
                    <w14:schemeClr w14:val="tx1"/>
                  </w14:solidFill>
                </w14:textFill>
              </w:rPr>
            </w:pPr>
            <w:r>
              <w:rPr>
                <w:rFonts w:ascii="Times New Roman"/>
                <w:b/>
                <w:bCs/>
                <w:color w:val="000000" w:themeColor="text1"/>
                <w:szCs w:val="24"/>
                <w14:textFill>
                  <w14:solidFill>
                    <w14:schemeClr w14:val="tx1"/>
                  </w14:solidFill>
                </w14:textFill>
              </w:rPr>
              <w:t>二、审批部门审批决定</w:t>
            </w:r>
          </w:p>
          <w:p w14:paraId="05BF349D">
            <w:pPr>
              <w:pStyle w:val="36"/>
              <w:snapToGrid w:val="0"/>
              <w:spacing w:line="500" w:lineRule="exact"/>
              <w:jc w:val="center"/>
              <w:rPr>
                <w:rFonts w:hint="eastAsia" w:ascii="Times New Roman"/>
                <w:b/>
                <w:bCs/>
                <w:color w:val="000000" w:themeColor="text1"/>
                <w:szCs w:val="24"/>
                <w14:textFill>
                  <w14:solidFill>
                    <w14:schemeClr w14:val="tx1"/>
                  </w14:solidFill>
                </w14:textFill>
              </w:rPr>
            </w:pPr>
            <w:r>
              <w:rPr>
                <w:rFonts w:hint="eastAsia" w:ascii="Times New Roman"/>
                <w:b/>
                <w:bCs/>
                <w:color w:val="000000" w:themeColor="text1"/>
                <w:szCs w:val="24"/>
                <w14:textFill>
                  <w14:solidFill>
                    <w14:schemeClr w14:val="tx1"/>
                  </w14:solidFill>
                </w14:textFill>
              </w:rPr>
              <w:t>澄迈县行政审批服务局</w:t>
            </w:r>
          </w:p>
          <w:p w14:paraId="1D70AFF0">
            <w:pPr>
              <w:pStyle w:val="36"/>
              <w:snapToGrid w:val="0"/>
              <w:spacing w:line="500" w:lineRule="exact"/>
              <w:jc w:val="center"/>
              <w:rPr>
                <w:rFonts w:ascii="Times New Roman"/>
                <w:b/>
                <w:bCs/>
                <w:color w:val="000000" w:themeColor="text1"/>
                <w:szCs w:val="24"/>
                <w14:textFill>
                  <w14:solidFill>
                    <w14:schemeClr w14:val="tx1"/>
                  </w14:solidFill>
                </w14:textFill>
              </w:rPr>
            </w:pPr>
            <w:r>
              <w:rPr>
                <w:rFonts w:hint="eastAsia" w:ascii="Times New Roman"/>
                <w:b/>
                <w:bCs/>
                <w:color w:val="000000" w:themeColor="text1"/>
                <w:szCs w:val="24"/>
                <w14:textFill>
                  <w14:solidFill>
                    <w14:schemeClr w14:val="tx1"/>
                  </w14:solidFill>
                </w14:textFill>
              </w:rPr>
              <w:t>关于批复年产60000平方米冷库保温板项目环境影响报告表的函</w:t>
            </w:r>
          </w:p>
          <w:p w14:paraId="233160C6">
            <w:pPr>
              <w:pStyle w:val="36"/>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Times New Roman" w:hAnsi="Times New Roman" w:eastAsia="宋体" w:cs="Times New Roman"/>
                <w:b w:val="0"/>
                <w:bCs w:val="0"/>
                <w:color w:val="000000" w:themeColor="text1"/>
                <w:sz w:val="24"/>
                <w:szCs w:val="24"/>
                <w:lang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海南良雪制冷设备有限公司</w:t>
            </w:r>
            <w:r>
              <w:rPr>
                <w:rFonts w:hint="eastAsia" w:ascii="Times New Roman" w:hAnsi="Times New Roman" w:eastAsia="宋体" w:cs="Times New Roman"/>
                <w:b w:val="0"/>
                <w:bCs w:val="0"/>
                <w:color w:val="000000" w:themeColor="text1"/>
                <w:sz w:val="24"/>
                <w:szCs w:val="24"/>
                <w:lang w:eastAsia="zh-CN"/>
                <w14:textFill>
                  <w14:solidFill>
                    <w14:schemeClr w14:val="tx1"/>
                  </w14:solidFill>
                </w14:textFill>
              </w:rPr>
              <w:t>：</w:t>
            </w:r>
          </w:p>
          <w:p w14:paraId="7B8029FE">
            <w:pPr>
              <w:pStyle w:val="36"/>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000000" w:themeColor="text1"/>
                <w:sz w:val="24"/>
                <w:szCs w:val="24"/>
                <w14:textFill>
                  <w14:solidFill>
                    <w14:schemeClr w14:val="tx1"/>
                  </w14:solidFill>
                </w14:textFill>
              </w:rPr>
              <w:t>你单位报送的《年产60000平方米冷库保温板项目环境影响报告表》(以下简称《报告表》)及审批申请等有关材料收悉</w:t>
            </w:r>
            <w:r>
              <w:rPr>
                <w:rFonts w:hint="eastAsia" w:ascii="Times New Roman" w:hAnsi="Times New Roman" w:eastAsia="宋体" w:cs="Times New Roman"/>
                <w:b w:val="0"/>
                <w:bCs w:val="0"/>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val="0"/>
                <w:color w:val="000000" w:themeColor="text1"/>
                <w:sz w:val="24"/>
                <w:szCs w:val="24"/>
                <w14:textFill>
                  <w14:solidFill>
                    <w14:schemeClr w14:val="tx1"/>
                  </w14:solidFill>
                </w14:textFill>
              </w:rPr>
              <w:t>该项目位于澄迈县老城科技新城南一环路与美朗南路交汇处西北侧，租用海南百年新乐幕墙门窗系统工程有限公司已建厂房，租赁面积约3030m</w:t>
            </w:r>
            <w:r>
              <w:rPr>
                <w:rFonts w:hint="eastAsia" w:ascii="Times New Roman" w:hAnsi="Times New Roman" w:eastAsia="宋体" w:cs="Times New Roman"/>
                <w:b w:val="0"/>
                <w:bCs w:val="0"/>
                <w:color w:val="000000" w:themeColor="text1"/>
                <w:sz w:val="24"/>
                <w:szCs w:val="24"/>
                <w:vertAlign w:val="superscript"/>
                <w:lang w:val="en-US" w:eastAsia="zh-CN"/>
                <w14:textFill>
                  <w14:solidFill>
                    <w14:schemeClr w14:val="tx1"/>
                  </w14:solidFill>
                </w14:textFill>
              </w:rPr>
              <w:t>2</w:t>
            </w:r>
            <w:r>
              <w:rPr>
                <w:rFonts w:hint="default" w:ascii="Times New Roman" w:hAnsi="Times New Roman" w:eastAsia="宋体" w:cs="Times New Roman"/>
                <w:b w:val="0"/>
                <w:bCs w:val="0"/>
                <w:color w:val="000000" w:themeColor="text1"/>
                <w:sz w:val="24"/>
                <w:szCs w:val="24"/>
                <w14:textFill>
                  <w14:solidFill>
                    <w14:schemeClr w14:val="tx1"/>
                  </w14:solidFill>
                </w14:textFill>
              </w:rPr>
              <w:t>，主要建设保温板生产加工车间及相关配套设施，车间内划分物料存放区、钢板加工区、模具成型区、发泡区、板材存放区等，依托海南百年新乐幕墙门窗系统工程有限公司已建综合办公楼办公。项目水电供给来源市政，排水依托市政及海南百年新乐幕墙门窗系统工程有限公司已建三级化类池，拟设密闭集气罩、二级活性炭吸附装置、排气</w:t>
            </w:r>
            <w:r>
              <w:rPr>
                <w:rFonts w:hint="eastAsia" w:ascii="Times New Roman" w:hAnsi="Times New Roman" w:eastAsia="宋体" w:cs="Times New Roman"/>
                <w:b w:val="0"/>
                <w:bCs w:val="0"/>
                <w:color w:val="000000" w:themeColor="text1"/>
                <w:sz w:val="24"/>
                <w:szCs w:val="24"/>
                <w:lang w:val="en-US" w:eastAsia="zh-CN"/>
                <w14:textFill>
                  <w14:solidFill>
                    <w14:schemeClr w14:val="tx1"/>
                  </w14:solidFill>
                </w14:textFill>
              </w:rPr>
              <w:t>筒</w:t>
            </w:r>
            <w:r>
              <w:rPr>
                <w:rFonts w:hint="default" w:ascii="Times New Roman" w:hAnsi="Times New Roman" w:eastAsia="宋体" w:cs="Times New Roman"/>
                <w:b w:val="0"/>
                <w:bCs w:val="0"/>
                <w:color w:val="000000" w:themeColor="text1"/>
                <w:sz w:val="24"/>
                <w:szCs w:val="24"/>
                <w14:textFill>
                  <w14:solidFill>
                    <w14:schemeClr w14:val="tx1"/>
                  </w14:solidFill>
                </w14:textFill>
              </w:rPr>
              <w:t>、厂房隔声、基础减振、垃圾桶、一般固废暂存间、危废暂存间环保工程。设置1条保温板生产线，年产保温板60000平方米(约6050m</w:t>
            </w:r>
            <w:r>
              <w:rPr>
                <w:rFonts w:hint="eastAsia" w:ascii="Times New Roman" w:hAnsi="Times New Roman" w:eastAsia="宋体" w:cs="Times New Roman"/>
                <w:b w:val="0"/>
                <w:bCs w:val="0"/>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b w:val="0"/>
                <w:bCs w:val="0"/>
                <w:color w:val="000000" w:themeColor="text1"/>
                <w:sz w:val="24"/>
                <w:szCs w:val="24"/>
                <w14:textFill>
                  <w14:solidFill>
                    <w14:schemeClr w14:val="tx1"/>
                  </w14:solidFill>
                </w14:textFill>
              </w:rPr>
              <w:t>)，其中冷库保温板(墙板)6000m</w:t>
            </w:r>
            <w:r>
              <w:rPr>
                <w:rFonts w:hint="eastAsia" w:ascii="Times New Roman" w:hAnsi="Times New Roman" w:eastAsia="宋体" w:cs="Times New Roman"/>
                <w:b w:val="0"/>
                <w:bCs w:val="0"/>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b w:val="0"/>
                <w:bCs w:val="0"/>
                <w:color w:val="000000" w:themeColor="text1"/>
                <w:sz w:val="24"/>
                <w:szCs w:val="24"/>
                <w14:textFill>
                  <w14:solidFill>
                    <w14:schemeClr w14:val="tx1"/>
                  </w14:solidFill>
                </w14:textFill>
              </w:rPr>
              <w:t>、冷库保温板(门板)50m</w:t>
            </w:r>
            <w:r>
              <w:rPr>
                <w:rFonts w:hint="eastAsia" w:ascii="Times New Roman" w:hAnsi="Times New Roman" w:eastAsia="宋体" w:cs="Times New Roman"/>
                <w:b w:val="0"/>
                <w:bCs w:val="0"/>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b w:val="0"/>
                <w:bCs w:val="0"/>
                <w:color w:val="000000" w:themeColor="text1"/>
                <w:sz w:val="24"/>
                <w:szCs w:val="24"/>
                <w14:textFill>
                  <w14:solidFill>
                    <w14:schemeClr w14:val="tx1"/>
                  </w14:solidFill>
                </w14:textFill>
              </w:rPr>
              <w:t>。本项</w:t>
            </w:r>
            <w:r>
              <w:rPr>
                <w:rFonts w:hint="default" w:ascii="Times New Roman" w:hAnsi="Times New Roman" w:eastAsia="宋体" w:cs="Times New Roman"/>
                <w:b w:val="0"/>
                <w:bCs w:val="0"/>
                <w:sz w:val="24"/>
                <w:szCs w:val="24"/>
              </w:rPr>
              <w:t>目总投资为300万元，其中环保投资25万元。项目具体位置建设内容、工艺等详见《报告表》。</w:t>
            </w:r>
          </w:p>
          <w:p w14:paraId="6DF7243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rPr>
              <w:t>经研究，现批复如下</w:t>
            </w:r>
            <w:r>
              <w:rPr>
                <w:rFonts w:hint="eastAsia" w:ascii="Times New Roman" w:hAnsi="Times New Roman" w:eastAsia="宋体" w:cs="Times New Roman"/>
                <w:b w:val="0"/>
                <w:bCs w:val="0"/>
                <w:sz w:val="24"/>
                <w:szCs w:val="24"/>
                <w:lang w:eastAsia="zh-CN"/>
              </w:rPr>
              <w:t>：</w:t>
            </w:r>
          </w:p>
          <w:p w14:paraId="4023A77D">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lang w:val="en-US" w:eastAsia="zh-CN"/>
              </w:rPr>
              <w:t>一</w:t>
            </w:r>
            <w:r>
              <w:rPr>
                <w:rFonts w:hint="default" w:ascii="Times New Roman" w:hAnsi="Times New Roman" w:eastAsia="宋体" w:cs="Times New Roman"/>
                <w:b w:val="0"/>
                <w:bCs w:val="0"/>
                <w:sz w:val="24"/>
                <w:szCs w:val="24"/>
              </w:rPr>
              <w:t>、项目建设符合国家和海南省产业政策。根据县自然资源和规划局意见，经核对《澄迈县国土空间总体规划(2021-2035年)》《澄迈县老城中心城区控制性详细规划及城市设计》等成果，该项目租赁厂房占地国空规划均为城镇发展区，在城镇开发边界内，不涉及永久基本农田、生态保护红线。项目租赁厂房占地控规为二类工业用地，项目租赁厂房已取得海南老城科技新城厂房(仓库)承租报备表。项目符合规划环境影响评价要求，符合我省“三线一单”生态环境分区管控要求。</w:t>
            </w:r>
          </w:p>
          <w:p w14:paraId="4106CDB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根据《报告表》评价结论及专家组技术审查意见，在采取各项环境保护措施后，项目建设和运营产生的不利环境影响基本可以得到缓解和控制，落实规划和产业准入要求后，从环境保护角度分析，项目建设可行。因此，我局原则同意《报告表》结论和拟采取的环境保护措施，项目设计、建设和运营应严格落实《报告表》和本批复提出的要求。</w:t>
            </w:r>
          </w:p>
          <w:p w14:paraId="466272A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二、项目执行的污染物排放标准</w:t>
            </w:r>
          </w:p>
          <w:p w14:paraId="6A945B61">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项目运营期非甲烷总烃有组织排放执行《合成树脂工业污染物排放标准》(GB31572-2015，含2024年修改单)表4中标准限值</w:t>
            </w:r>
            <w:r>
              <w:rPr>
                <w:rFonts w:hint="eastAsia"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rPr>
              <w:t>生产异味臭气浓度有组织排放执行《恶臭污染物排放标准》(GB14554-93)中表2恶奥污染物排放标准值，厂界非甲烷总烃无组织排放执行《合成树脂工业污染物排放标准》(GB31572-2015，含2024年修改单)表9中企业边界大气污染物浓度限值，厂界异味臭气浓度无组织排放执行《恶臭污染物排放标准》(GB14554-93)表1中二级(新扩改建)标准值;施工期颗粒物无组织排放执行《大气污染物综合排放标准》(GB16297-1996)表2无组织排放监控浓度限值。运营期厂界噪声排放执行《工业企业厂界环境噪声排放标准》(GB12348-2008)表1中的3类标准及相关要求;施工期噪声排放执行《建筑施工场界环境噪声排放标准》(GB12523-2011)。一般工业固体废物贮存执行《一般工业固体废物贮存和填埋污染控制标准》(GB18599-2020)，危险废物暂存执行《危险废物贮存污染控制标准》(GB18597-2023)</w:t>
            </w:r>
          </w:p>
          <w:p w14:paraId="159C9182">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三、项目设计、建设和运营应重点做好以下工作</w:t>
            </w:r>
          </w:p>
          <w:p w14:paraId="2637A1B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一)加强施工期间的环境保护管理。施工现场采取硬质封闭围挡、择时施工、洒水抑尘、冲洗地面等有效防尘措施，做好物料运输车辆管理。施工人员生活污水依托海南百年新乐幕墙门窗系统工程有限公司已建三级化粪池处理后接入市政污水管网最终排入老城污水处理厂(西区)处理。采取隔声、减振措施合理安排施工时间，严禁夜间施工，加强施工管理以及施工机械的维护保养，防止噪声扰民。生活垃圾收集后及时交环卫部门清运处理，建筑垃圾应优先进行回收利用，不能回收利用的及时按规定处置,废油漆、废油漆桶等危险废物应落实规范化管理要求分类收集后交有资质单位处置。</w:t>
            </w:r>
          </w:p>
          <w:p w14:paraId="36076CA4">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二)采取有效的大气污染防治措施。运营期发泡、成型熟化工序非甲烷总烃、恶臭异味经密闭集气罩收集进二级活性炭装置处理后，通过1根15m高排气简排放。未收集的非甲烷总烃恶臭异味于封闭车间内无组织排放，加强厂区绿化。发泡料储罐为密闭状态，罐内顶部设置氮封装置，少量储罐呼吸废气于封闭车间内无组织排放。定期做好废气处理设施的检修、保养工作，避免设施发生故障等情况;当污染治理设施发生故障时立即采取停止生产，及时进行检修等措施，直至设施正常运转和污染物达标排放。</w:t>
            </w:r>
          </w:p>
          <w:p w14:paraId="42F76B9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(三)落实水环境保护措施。生活污水依托海南百年新乐幕墙门窗系统工程有限公司综合办公楼已建三级化粪池处理后接入市政管网，最终排入老城污水处理厂(西区)处理。</w:t>
            </w:r>
          </w:p>
          <w:p w14:paraId="37A9740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四)落实噪声污染防治措施。优先选用低噪声设备，合理布局，采取基础减振、厂房隔声、设置吸声材料等措施。休息时段禁止高噪声作业，加强对运输以及设备的管理和维护，杜绝因设备不正常运转产生的高噪声现象，确保厂界噪声达标。</w:t>
            </w:r>
          </w:p>
          <w:p w14:paraId="28F9AF9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rPr>
              <w:t>(五)落实固体废物分类管理措施。生活垃圾收集后及时交环卫部门清运处理。废发泡料、废边角料收集后暂存于一般固废暂存间，定期外售。废活性炭、废机油等危险废物分类收集，暂存于危废暂存间，落实规范化管理要求，定期交有资质单位处置</w:t>
            </w:r>
            <w:r>
              <w:rPr>
                <w:rFonts w:hint="eastAsia" w:ascii="Times New Roman" w:hAnsi="Times New Roman" w:eastAsia="宋体" w:cs="Times New Roman"/>
                <w:b w:val="0"/>
                <w:bCs w:val="0"/>
                <w:sz w:val="24"/>
                <w:szCs w:val="24"/>
                <w:lang w:eastAsia="zh-CN"/>
              </w:rPr>
              <w:t>。</w:t>
            </w:r>
          </w:p>
          <w:p w14:paraId="64DC5C8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六)加强环境风险管理和监测。建立定期巡查、火险报告等制度，按照要求布置消防应急物资。制定环保管理规章制度，配备环保管理人员，确保环保设施正常运行。对生产车间、危废间的发泡料、废机油泄漏事故以及火灾爆炸事故等风险源落实安全管理和风险防范，严格落实《报告表》中提出的环境风险防范措施，编制突发环境事件应急预案。发泡区、危废暂存间及其余厂区地面应按规范要求落实分区防渗措施，防止污染土壤及地下水。严格落实自行监测计划。</w:t>
            </w:r>
          </w:p>
          <w:p w14:paraId="07BF1576">
            <w:pPr>
              <w:pStyle w:val="38"/>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四、本批复仅作为项目用地有效期内环保工程设计和环境管理的依据，涉及其他手续的须到相关职能部门依法办理。</w:t>
            </w:r>
          </w:p>
          <w:p w14:paraId="2E47B09F">
            <w:pPr>
              <w:pStyle w:val="38"/>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项目建设规模、地点、内容以及采用的污染防治措施等发生重大变动时，应重新报批该项目环境影响评价文件。自本批复之日起，如超过5年方决定开工建设的，项目环境影响评价文件应报我局重新审核。</w:t>
            </w:r>
          </w:p>
          <w:p w14:paraId="5AE59AC2">
            <w:pPr>
              <w:pStyle w:val="38"/>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sz w:val="24"/>
                <w:szCs w:val="24"/>
              </w:rPr>
              <w:t>五、你单位须严格执行环境保护设施与主体工程同时设计，同时施工、同时投产使用的环境保护“三同时”制度，应将环境保护设施建设纳入项目设计、施工合同。在项目投入运营前应依法办理排污许可手续，持证排污。并在项目竣工后，按规定对项目配套建设的环境保护设施进行自主验收，登录“全国建设项目</w:t>
            </w:r>
            <w:r>
              <w:rPr>
                <w:rFonts w:hint="default" w:ascii="Times New Roman" w:hAnsi="Times New Roman" w:eastAsia="宋体" w:cs="Times New Roman"/>
                <w:b w:val="0"/>
                <w:bCs w:val="0"/>
                <w:color w:val="000000" w:themeColor="text1"/>
                <w:sz w:val="24"/>
                <w:szCs w:val="24"/>
                <w14:textFill>
                  <w14:solidFill>
                    <w14:schemeClr w14:val="tx1"/>
                  </w14:solidFill>
                </w14:textFill>
              </w:rPr>
              <w:t>环境影响评价管理信息平台”(网址:http://114.251.10.205)录入环保验收信息，将验收报告报县生态环境部门。否则，不得投入使用。</w:t>
            </w:r>
          </w:p>
          <w:p w14:paraId="1F3E14DF">
            <w:pPr>
              <w:pStyle w:val="36"/>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val="0"/>
                <w:bCs w:val="0"/>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sz w:val="24"/>
                <w:szCs w:val="24"/>
                <w14:textFill>
                  <w14:solidFill>
                    <w14:schemeClr w14:val="tx1"/>
                  </w14:solidFill>
                </w14:textFill>
              </w:rPr>
              <w:t>六、你单位应在收到本批复后20个工作日内，将批准后的环境影响报告表送澄迈县生态环境局，并接受各级生态环境部门日常监督管理。</w:t>
            </w:r>
          </w:p>
          <w:p w14:paraId="69498D05">
            <w:pPr>
              <w:pStyle w:val="38"/>
              <w:keepNext w:val="0"/>
              <w:keepLines w:val="0"/>
              <w:pageBreakBefore w:val="0"/>
              <w:widowControl w:val="0"/>
              <w:kinsoku/>
              <w:wordWrap/>
              <w:overflowPunct/>
              <w:topLinePunct w:val="0"/>
              <w:bidi w:val="0"/>
              <w:adjustRightInd w:val="0"/>
              <w:snapToGrid w:val="0"/>
              <w:spacing w:line="500" w:lineRule="exact"/>
              <w:jc w:val="right"/>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澄迈县行政审批服务局</w:t>
            </w:r>
          </w:p>
          <w:p w14:paraId="1C4F3B15">
            <w:pPr>
              <w:keepNext w:val="0"/>
              <w:keepLines w:val="0"/>
              <w:pageBreakBefore w:val="0"/>
              <w:widowControl w:val="0"/>
              <w:kinsoku/>
              <w:wordWrap/>
              <w:overflowPunct/>
              <w:topLinePunct w:val="0"/>
              <w:bidi w:val="0"/>
              <w:adjustRightInd w:val="0"/>
              <w:snapToGrid w:val="0"/>
              <w:spacing w:line="500" w:lineRule="exact"/>
              <w:jc w:val="right"/>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2025年2月19日</w:t>
            </w:r>
          </w:p>
          <w:p w14:paraId="09C342B6">
            <w:pPr>
              <w:pStyle w:val="36"/>
              <w:snapToGrid w:val="0"/>
              <w:spacing w:line="500" w:lineRule="exact"/>
              <w:ind w:firstLine="482" w:firstLineChars="200"/>
              <w:rPr>
                <w:rFonts w:ascii="Times New Roman"/>
                <w:b/>
                <w:bCs/>
                <w:color w:val="000000" w:themeColor="text1"/>
                <w:szCs w:val="24"/>
                <w14:textFill>
                  <w14:solidFill>
                    <w14:schemeClr w14:val="tx1"/>
                  </w14:solidFill>
                </w14:textFill>
              </w:rPr>
            </w:pPr>
            <w:r>
              <w:rPr>
                <w:rFonts w:ascii="Times New Roman"/>
                <w:b/>
                <w:bCs/>
                <w:color w:val="000000" w:themeColor="text1"/>
                <w:szCs w:val="24"/>
                <w14:textFill>
                  <w14:solidFill>
                    <w14:schemeClr w14:val="tx1"/>
                  </w14:solidFill>
                </w14:textFill>
              </w:rPr>
              <w:t>三、执行“三同时”及项目环保设施/措施落实情况</w:t>
            </w:r>
          </w:p>
          <w:p w14:paraId="22E2FB3D">
            <w:pPr>
              <w:autoSpaceDE w:val="0"/>
              <w:autoSpaceDN w:val="0"/>
              <w:adjustRightInd w:val="0"/>
              <w:snapToGrid w:val="0"/>
              <w:spacing w:line="500" w:lineRule="exact"/>
              <w:ind w:firstLine="480" w:firstLineChars="200"/>
              <w:jc w:val="left"/>
              <w:rPr>
                <w:rFonts w:ascii="Times New Roman" w:hAnsi="Times New Roman" w:cs="Times New Roman"/>
                <w:sz w:val="24"/>
              </w:rPr>
            </w:pPr>
            <w:r>
              <w:rPr>
                <w:rFonts w:ascii="Times New Roman" w:hAnsi="Times New Roman" w:cs="Times New Roman"/>
                <w:snapToGrid w:val="0"/>
                <w:sz w:val="24"/>
              </w:rPr>
              <w:t>根据《中华人民共和国环境保护法》对建设项目</w:t>
            </w:r>
            <w:r>
              <w:rPr>
                <w:rFonts w:hint="eastAsia" w:ascii="Times New Roman" w:hAnsi="Times New Roman" w:cs="Times New Roman"/>
                <w:snapToGrid w:val="0"/>
                <w:sz w:val="24"/>
              </w:rPr>
              <w:t>“</w:t>
            </w:r>
            <w:r>
              <w:rPr>
                <w:rFonts w:ascii="Times New Roman" w:hAnsi="Times New Roman" w:cs="Times New Roman"/>
                <w:snapToGrid w:val="0"/>
                <w:sz w:val="24"/>
              </w:rPr>
              <w:t>三同时</w:t>
            </w:r>
            <w:r>
              <w:rPr>
                <w:rFonts w:hint="eastAsia" w:ascii="Times New Roman" w:hAnsi="Times New Roman" w:cs="Times New Roman"/>
                <w:snapToGrid w:val="0"/>
                <w:sz w:val="24"/>
              </w:rPr>
              <w:t>”</w:t>
            </w:r>
            <w:r>
              <w:rPr>
                <w:rFonts w:ascii="Times New Roman" w:hAnsi="Times New Roman" w:cs="Times New Roman"/>
                <w:snapToGrid w:val="0"/>
                <w:sz w:val="24"/>
              </w:rPr>
              <w:t>要求，在项目建设过程中，环境污染防治设施应与主体工程同时设计、同时施工、同时投入使用。根据《建设项目环境保护管理条例》（中华人民共和国国务院令第682号，2017年10月1日起施行）第十七条规定，编制环境影响报告表的建设项目竣工后，建设单位应当按照国务院环境保护行政主管部门规定的标准和程序，对配套建设的环境保护设施进行验收，编制验收报告。建设单位在环境保护设施验收过程中，应当如实查验、监测、记载建设项目环境保护设施的建设和调试情况，不得弄虚作假。除按照国家规定需要保密的情形外，建设单位应当依法向社会公开验收报告。本项目</w:t>
            </w:r>
            <w:r>
              <w:rPr>
                <w:rFonts w:ascii="Times New Roman" w:hAnsi="Times New Roman" w:cs="Times New Roman"/>
                <w:sz w:val="24"/>
              </w:rPr>
              <w:t>环保措施验收清单详见下表。</w:t>
            </w:r>
          </w:p>
          <w:p w14:paraId="6E533810">
            <w:pPr>
              <w:pStyle w:val="6"/>
              <w:widowControl/>
              <w:adjustRightInd w:val="0"/>
              <w:snapToGrid w:val="0"/>
              <w:spacing w:line="500" w:lineRule="exact"/>
              <w:ind w:firstLine="482"/>
              <w:jc w:val="center"/>
              <w:rPr>
                <w:rFonts w:ascii="Times New Roman" w:hAnsi="Times New Roman" w:cs="Times New Roman"/>
                <w:b/>
                <w:bCs/>
                <w:color w:val="000000" w:themeColor="text1"/>
                <w:sz w:val="24"/>
                <w:highlight w:val="none"/>
                <w14:textFill>
                  <w14:solidFill>
                    <w14:schemeClr w14:val="tx1"/>
                  </w14:solidFill>
                </w14:textFill>
              </w:rPr>
            </w:pPr>
            <w:r>
              <w:rPr>
                <w:rFonts w:ascii="Times New Roman" w:hAnsi="Times New Roman" w:cs="Times New Roman"/>
                <w:b/>
                <w:bCs/>
                <w:color w:val="000000" w:themeColor="text1"/>
                <w:sz w:val="24"/>
                <w:highlight w:val="none"/>
                <w14:textFill>
                  <w14:solidFill>
                    <w14:schemeClr w14:val="tx1"/>
                  </w14:solidFill>
                </w14:textFill>
              </w:rPr>
              <w:t>表4-1</w:t>
            </w:r>
            <w:r>
              <w:rPr>
                <w:rFonts w:hint="eastAsia" w:ascii="Times New Roman" w:hAnsi="Times New Roman" w:cs="Times New Roman"/>
                <w:b/>
                <w:bCs/>
                <w:color w:val="000000" w:themeColor="text1"/>
                <w:sz w:val="24"/>
                <w:highlight w:val="none"/>
                <w14:textFill>
                  <w14:solidFill>
                    <w14:schemeClr w14:val="tx1"/>
                  </w14:solidFill>
                </w14:textFill>
              </w:rPr>
              <w:t>项目</w:t>
            </w:r>
            <w:r>
              <w:rPr>
                <w:rFonts w:ascii="Times New Roman" w:hAnsi="Times New Roman" w:cs="Times New Roman"/>
                <w:b/>
                <w:bCs/>
                <w:color w:val="000000" w:themeColor="text1"/>
                <w:sz w:val="24"/>
                <w:highlight w:val="none"/>
                <w14:textFill>
                  <w14:solidFill>
                    <w14:schemeClr w14:val="tx1"/>
                  </w14:solidFill>
                </w14:textFill>
              </w:rPr>
              <w:t xml:space="preserve">环境保护措施监督检查清单 </w:t>
            </w:r>
          </w:p>
          <w:tbl>
            <w:tblPr>
              <w:tblStyle w:val="29"/>
              <w:tblW w:w="918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155"/>
              <w:gridCol w:w="750"/>
              <w:gridCol w:w="1050"/>
              <w:gridCol w:w="2730"/>
              <w:gridCol w:w="2835"/>
            </w:tblGrid>
            <w:tr w14:paraId="0D9D3E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tcBorders>
                    <w:tl2br w:val="single" w:color="auto" w:sz="4" w:space="0"/>
                  </w:tcBorders>
                  <w:noWrap w:val="0"/>
                  <w:vAlign w:val="top"/>
                </w:tcPr>
                <w:p w14:paraId="337F7751">
                  <w:pPr>
                    <w:keepNext w:val="0"/>
                    <w:keepLines w:val="0"/>
                    <w:pageBreakBefore w:val="0"/>
                    <w:kinsoku/>
                    <w:wordWrap/>
                    <w:overflowPunct/>
                    <w:topLinePunct w:val="0"/>
                    <w:bidi w:val="0"/>
                    <w:adjustRightInd w:val="0"/>
                    <w:snapToGrid w:val="0"/>
                    <w:spacing w:line="24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内容</w:t>
                  </w:r>
                </w:p>
                <w:p w14:paraId="012F3371">
                  <w:pPr>
                    <w:keepNext w:val="0"/>
                    <w:keepLines w:val="0"/>
                    <w:pageBreakBefore w:val="0"/>
                    <w:kinsoku/>
                    <w:wordWrap/>
                    <w:overflowPunct/>
                    <w:topLinePunct w:val="0"/>
                    <w:bidi w:val="0"/>
                    <w:adjustRightInd w:val="0"/>
                    <w:snapToGrid w:val="0"/>
                    <w:spacing w:line="24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要素</w:t>
                  </w:r>
                </w:p>
              </w:tc>
              <w:tc>
                <w:tcPr>
                  <w:tcW w:w="1155" w:type="dxa"/>
                  <w:noWrap w:val="0"/>
                  <w:vAlign w:val="center"/>
                </w:tcPr>
                <w:p w14:paraId="697C7F7A">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排放口(编号、名称)/污染源</w:t>
                  </w:r>
                </w:p>
              </w:tc>
              <w:tc>
                <w:tcPr>
                  <w:tcW w:w="750" w:type="dxa"/>
                  <w:noWrap w:val="0"/>
                  <w:vAlign w:val="center"/>
                </w:tcPr>
                <w:p w14:paraId="79B8F2EE">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污染物项目</w:t>
                  </w:r>
                </w:p>
              </w:tc>
              <w:tc>
                <w:tcPr>
                  <w:tcW w:w="1050" w:type="dxa"/>
                  <w:noWrap w:val="0"/>
                  <w:vAlign w:val="center"/>
                </w:tcPr>
                <w:p w14:paraId="7D4B8ECC">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环境保护措施</w:t>
                  </w:r>
                </w:p>
              </w:tc>
              <w:tc>
                <w:tcPr>
                  <w:tcW w:w="2730" w:type="dxa"/>
                  <w:noWrap w:val="0"/>
                  <w:vAlign w:val="center"/>
                </w:tcPr>
                <w:p w14:paraId="1E30D911">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执行标准</w:t>
                  </w:r>
                </w:p>
              </w:tc>
              <w:tc>
                <w:tcPr>
                  <w:tcW w:w="2835" w:type="dxa"/>
                  <w:noWrap w:val="0"/>
                  <w:vAlign w:val="center"/>
                </w:tcPr>
                <w:p w14:paraId="2E34F27A">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落实情况</w:t>
                  </w:r>
                </w:p>
              </w:tc>
            </w:tr>
            <w:tr w14:paraId="20C75D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restart"/>
                  <w:noWrap w:val="0"/>
                  <w:vAlign w:val="center"/>
                </w:tcPr>
                <w:p w14:paraId="1C3BCD66">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大气环境</w:t>
                  </w:r>
                </w:p>
              </w:tc>
              <w:tc>
                <w:tcPr>
                  <w:tcW w:w="1155" w:type="dxa"/>
                  <w:vMerge w:val="restart"/>
                  <w:noWrap w:val="0"/>
                  <w:vAlign w:val="center"/>
                </w:tcPr>
                <w:p w14:paraId="55EE3E01">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发泡废气排放口（DA001）</w:t>
                  </w:r>
                </w:p>
              </w:tc>
              <w:tc>
                <w:tcPr>
                  <w:tcW w:w="750" w:type="dxa"/>
                  <w:noWrap w:val="0"/>
                  <w:vAlign w:val="center"/>
                </w:tcPr>
                <w:p w14:paraId="412B044D">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非甲烷总烃</w:t>
                  </w:r>
                </w:p>
              </w:tc>
              <w:tc>
                <w:tcPr>
                  <w:tcW w:w="1050" w:type="dxa"/>
                  <w:vMerge w:val="restart"/>
                  <w:noWrap w:val="0"/>
                  <w:vAlign w:val="center"/>
                </w:tcPr>
                <w:p w14:paraId="5FFEC14A">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密闭发泡设备、密闭集气罩、二级活性炭吸附</w:t>
                  </w:r>
                </w:p>
                <w:p w14:paraId="04F6C901">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p>
              </w:tc>
              <w:tc>
                <w:tcPr>
                  <w:tcW w:w="2730" w:type="dxa"/>
                  <w:noWrap w:val="0"/>
                  <w:vAlign w:val="center"/>
                </w:tcPr>
                <w:p w14:paraId="58A6825E">
                  <w:pPr>
                    <w:keepNext w:val="0"/>
                    <w:keepLines w:val="0"/>
                    <w:pageBreakBefore w:val="0"/>
                    <w:kinsoku/>
                    <w:wordWrap/>
                    <w:overflowPunct/>
                    <w:topLinePunct w:val="0"/>
                    <w:bidi w:val="0"/>
                    <w:adjustRightInd w:val="0"/>
                    <w:snapToGrid w:val="0"/>
                    <w:spacing w:line="24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《合成树脂工业污染物排放标准》（GB31572-2015）（含2024年修改单）中表4大气污染物排放限值</w:t>
                  </w:r>
                </w:p>
              </w:tc>
              <w:tc>
                <w:tcPr>
                  <w:tcW w:w="2835" w:type="dxa"/>
                  <w:vMerge w:val="restart"/>
                  <w:noWrap w:val="0"/>
                  <w:vAlign w:val="center"/>
                </w:tcPr>
                <w:p w14:paraId="02130A27">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已落实。根据本次验收现场勘察，项目采取</w:t>
                  </w:r>
                  <w:r>
                    <w:rPr>
                      <w:rFonts w:hint="default" w:ascii="Times New Roman" w:hAnsi="Times New Roman" w:eastAsia="宋体" w:cs="Times New Roman"/>
                      <w:sz w:val="21"/>
                      <w:szCs w:val="21"/>
                      <w:lang w:val="en-US" w:eastAsia="zh-CN"/>
                    </w:rPr>
                    <w:t>密闭发泡设备、集气罩、“UV光解+</w:t>
                  </w:r>
                  <w:r>
                    <w:rPr>
                      <w:rFonts w:hint="eastAsia" w:ascii="Times New Roman" w:hAnsi="Times New Roman" w:eastAsia="宋体" w:cs="Times New Roman"/>
                      <w:sz w:val="21"/>
                      <w:szCs w:val="21"/>
                      <w:lang w:val="en-US" w:eastAsia="zh-CN"/>
                    </w:rPr>
                    <w:t>二级</w:t>
                  </w:r>
                  <w:r>
                    <w:rPr>
                      <w:rFonts w:hint="default" w:ascii="Times New Roman" w:hAnsi="Times New Roman" w:eastAsia="宋体" w:cs="Times New Roman"/>
                      <w:sz w:val="21"/>
                      <w:szCs w:val="21"/>
                      <w:lang w:val="en-US" w:eastAsia="zh-CN"/>
                    </w:rPr>
                    <w:t>活性炭吸附”装置，对发泡废气进行收集处理，后由1根15</w:t>
                  </w:r>
                  <w:r>
                    <w:rPr>
                      <w:rFonts w:hint="eastAsia"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lang w:val="en-US" w:eastAsia="zh-CN"/>
                    </w:rPr>
                    <w:t>m高排气筒DA001达标排放。</w:t>
                  </w:r>
                </w:p>
                <w:p w14:paraId="7BD8E629">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sz w:val="21"/>
                      <w:szCs w:val="21"/>
                      <w:lang w:val="en-US" w:eastAsia="zh-CN"/>
                    </w:rPr>
                    <w:t>根据本次验收监测，项目发泡废气有组织排放符合相应标准限值。</w:t>
                  </w:r>
                </w:p>
              </w:tc>
            </w:tr>
            <w:tr w14:paraId="615E21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4C0CE346">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p>
              </w:tc>
              <w:tc>
                <w:tcPr>
                  <w:tcW w:w="1155" w:type="dxa"/>
                  <w:vMerge w:val="continue"/>
                  <w:noWrap w:val="0"/>
                  <w:vAlign w:val="center"/>
                </w:tcPr>
                <w:p w14:paraId="376569A9">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p>
              </w:tc>
              <w:tc>
                <w:tcPr>
                  <w:tcW w:w="750" w:type="dxa"/>
                  <w:noWrap w:val="0"/>
                  <w:vAlign w:val="center"/>
                </w:tcPr>
                <w:p w14:paraId="0F813110">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臭气浓度</w:t>
                  </w:r>
                </w:p>
              </w:tc>
              <w:tc>
                <w:tcPr>
                  <w:tcW w:w="1050" w:type="dxa"/>
                  <w:vMerge w:val="continue"/>
                  <w:noWrap w:val="0"/>
                  <w:vAlign w:val="center"/>
                </w:tcPr>
                <w:p w14:paraId="6532E3BC">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p>
              </w:tc>
              <w:tc>
                <w:tcPr>
                  <w:tcW w:w="2730" w:type="dxa"/>
                  <w:noWrap w:val="0"/>
                  <w:vAlign w:val="center"/>
                </w:tcPr>
                <w:p w14:paraId="14926607">
                  <w:pPr>
                    <w:keepNext w:val="0"/>
                    <w:keepLines w:val="0"/>
                    <w:pageBreakBefore w:val="0"/>
                    <w:kinsoku/>
                    <w:wordWrap/>
                    <w:overflowPunct/>
                    <w:topLinePunct w:val="0"/>
                    <w:bidi w:val="0"/>
                    <w:adjustRightInd w:val="0"/>
                    <w:snapToGrid w:val="0"/>
                    <w:spacing w:line="240" w:lineRule="auto"/>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《恶臭污染物排放标准》（GB14554-93）中表2排放标准</w:t>
                  </w:r>
                </w:p>
              </w:tc>
              <w:tc>
                <w:tcPr>
                  <w:tcW w:w="2835" w:type="dxa"/>
                  <w:vMerge w:val="continue"/>
                  <w:noWrap w:val="0"/>
                  <w:vAlign w:val="center"/>
                </w:tcPr>
                <w:p w14:paraId="180314BE">
                  <w:pPr>
                    <w:keepNext w:val="0"/>
                    <w:keepLines w:val="0"/>
                    <w:pageBreakBefore w:val="0"/>
                    <w:kinsoku/>
                    <w:wordWrap/>
                    <w:overflowPunct/>
                    <w:topLinePunct w:val="0"/>
                    <w:bidi w:val="0"/>
                    <w:adjustRightInd w:val="0"/>
                    <w:snapToGrid w:val="0"/>
                    <w:spacing w:line="240" w:lineRule="auto"/>
                    <w:textAlignment w:val="auto"/>
                    <w:rPr>
                      <w:rFonts w:hint="default" w:ascii="Times New Roman" w:hAnsi="Times New Roman" w:eastAsia="宋体" w:cs="Times New Roman"/>
                      <w:sz w:val="21"/>
                      <w:szCs w:val="21"/>
                      <w:lang w:val="en-US" w:eastAsia="zh-CN"/>
                    </w:rPr>
                  </w:pPr>
                </w:p>
              </w:tc>
            </w:tr>
            <w:tr w14:paraId="13993E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637CF265">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p>
              </w:tc>
              <w:tc>
                <w:tcPr>
                  <w:tcW w:w="1155" w:type="dxa"/>
                  <w:vMerge w:val="restart"/>
                  <w:noWrap w:val="0"/>
                  <w:vAlign w:val="center"/>
                </w:tcPr>
                <w:p w14:paraId="0853E0CE">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厂界废气</w:t>
                  </w:r>
                </w:p>
              </w:tc>
              <w:tc>
                <w:tcPr>
                  <w:tcW w:w="750" w:type="dxa"/>
                  <w:noWrap w:val="0"/>
                  <w:vAlign w:val="center"/>
                </w:tcPr>
                <w:p w14:paraId="716368CC">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非甲烷总烃</w:t>
                  </w:r>
                </w:p>
              </w:tc>
              <w:tc>
                <w:tcPr>
                  <w:tcW w:w="1050" w:type="dxa"/>
                  <w:vMerge w:val="restart"/>
                  <w:noWrap w:val="0"/>
                  <w:vAlign w:val="center"/>
                </w:tcPr>
                <w:p w14:paraId="7D8692F8">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封闭厂房、厂区绿化</w:t>
                  </w:r>
                </w:p>
              </w:tc>
              <w:tc>
                <w:tcPr>
                  <w:tcW w:w="2730" w:type="dxa"/>
                  <w:noWrap w:val="0"/>
                  <w:vAlign w:val="center"/>
                </w:tcPr>
                <w:p w14:paraId="2576771E">
                  <w:pPr>
                    <w:keepNext w:val="0"/>
                    <w:keepLines w:val="0"/>
                    <w:pageBreakBefore w:val="0"/>
                    <w:widowControl/>
                    <w:suppressLineNumbers w:val="0"/>
                    <w:kinsoku/>
                    <w:wordWrap/>
                    <w:overflowPunct/>
                    <w:topLinePunct w:val="0"/>
                    <w:bidi w:val="0"/>
                    <w:adjustRightInd w:val="0"/>
                    <w:snapToGrid w:val="0"/>
                    <w:spacing w:line="240" w:lineRule="auto"/>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《合成树脂工业污染物排放标准》（GB31572-2015）（含2024年修改单）中表9企业边界大气污染物浓度限值</w:t>
                  </w:r>
                </w:p>
              </w:tc>
              <w:tc>
                <w:tcPr>
                  <w:tcW w:w="2835" w:type="dxa"/>
                  <w:vMerge w:val="restart"/>
                  <w:noWrap w:val="0"/>
                  <w:vAlign w:val="center"/>
                </w:tcPr>
                <w:p w14:paraId="304F1DCF">
                  <w:pPr>
                    <w:keepNext w:val="0"/>
                    <w:keepLines w:val="0"/>
                    <w:pageBreakBefore w:val="0"/>
                    <w:widowControl/>
                    <w:suppressLineNumbers w:val="0"/>
                    <w:kinsoku/>
                    <w:wordWrap/>
                    <w:overflowPunct/>
                    <w:topLinePunct w:val="0"/>
                    <w:bidi w:val="0"/>
                    <w:adjustRightInd w:val="0"/>
                    <w:snapToGrid w:val="0"/>
                    <w:spacing w:line="240" w:lineRule="auto"/>
                    <w:jc w:val="left"/>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已落实。根据本次验收现场勘察，项目建设为封闭厂房，厂房外有绿化种植。根据本次验收监测，</w:t>
                  </w:r>
                  <w:r>
                    <w:rPr>
                      <w:rFonts w:hint="default" w:ascii="Times New Roman" w:hAnsi="Times New Roman" w:eastAsia="宋体" w:cs="Times New Roman"/>
                      <w:sz w:val="21"/>
                      <w:szCs w:val="21"/>
                      <w:lang w:val="en-US" w:eastAsia="zh-CN"/>
                    </w:rPr>
                    <w:t>项目厂界废气排放符合相应标准限值。</w:t>
                  </w:r>
                </w:p>
              </w:tc>
            </w:tr>
            <w:tr w14:paraId="4CA917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vMerge w:val="continue"/>
                  <w:noWrap w:val="0"/>
                  <w:vAlign w:val="center"/>
                </w:tcPr>
                <w:p w14:paraId="205CDD17">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p>
              </w:tc>
              <w:tc>
                <w:tcPr>
                  <w:tcW w:w="1155" w:type="dxa"/>
                  <w:vMerge w:val="continue"/>
                  <w:noWrap w:val="0"/>
                  <w:vAlign w:val="center"/>
                </w:tcPr>
                <w:p w14:paraId="34B52B6C">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p>
              </w:tc>
              <w:tc>
                <w:tcPr>
                  <w:tcW w:w="750" w:type="dxa"/>
                  <w:noWrap w:val="0"/>
                  <w:vAlign w:val="center"/>
                </w:tcPr>
                <w:p w14:paraId="3957BD96">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臭气浓度</w:t>
                  </w:r>
                </w:p>
              </w:tc>
              <w:tc>
                <w:tcPr>
                  <w:tcW w:w="1050" w:type="dxa"/>
                  <w:vMerge w:val="continue"/>
                  <w:noWrap w:val="0"/>
                  <w:vAlign w:val="center"/>
                </w:tcPr>
                <w:p w14:paraId="45FCBE34">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p>
              </w:tc>
              <w:tc>
                <w:tcPr>
                  <w:tcW w:w="2730" w:type="dxa"/>
                  <w:noWrap w:val="0"/>
                  <w:vAlign w:val="center"/>
                </w:tcPr>
                <w:p w14:paraId="0588108D">
                  <w:pPr>
                    <w:keepNext w:val="0"/>
                    <w:keepLines w:val="0"/>
                    <w:pageBreakBefore w:val="0"/>
                    <w:widowControl/>
                    <w:suppressLineNumbers w:val="0"/>
                    <w:kinsoku/>
                    <w:wordWrap/>
                    <w:overflowPunct/>
                    <w:topLinePunct w:val="0"/>
                    <w:bidi w:val="0"/>
                    <w:adjustRightInd w:val="0"/>
                    <w:snapToGrid w:val="0"/>
                    <w:spacing w:line="240" w:lineRule="auto"/>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《恶臭污染物排放标准》（GB14554-93）中“表1二级新扩改建”排放标准</w:t>
                  </w:r>
                </w:p>
              </w:tc>
              <w:tc>
                <w:tcPr>
                  <w:tcW w:w="2835" w:type="dxa"/>
                  <w:vMerge w:val="continue"/>
                  <w:noWrap w:val="0"/>
                  <w:vAlign w:val="center"/>
                </w:tcPr>
                <w:p w14:paraId="420F7BC6">
                  <w:pPr>
                    <w:keepNext w:val="0"/>
                    <w:keepLines w:val="0"/>
                    <w:pageBreakBefore w:val="0"/>
                    <w:widowControl/>
                    <w:suppressLineNumbers w:val="0"/>
                    <w:kinsoku/>
                    <w:wordWrap/>
                    <w:overflowPunct/>
                    <w:topLinePunct w:val="0"/>
                    <w:bidi w:val="0"/>
                    <w:adjustRightInd w:val="0"/>
                    <w:snapToGrid w:val="0"/>
                    <w:spacing w:line="240" w:lineRule="auto"/>
                    <w:jc w:val="left"/>
                    <w:textAlignment w:val="auto"/>
                    <w:rPr>
                      <w:rFonts w:hint="default" w:ascii="Times New Roman" w:hAnsi="Times New Roman" w:eastAsia="宋体" w:cs="Times New Roman"/>
                      <w:sz w:val="21"/>
                      <w:szCs w:val="21"/>
                      <w:lang w:val="en-US" w:eastAsia="zh-CN"/>
                    </w:rPr>
                  </w:pPr>
                </w:p>
              </w:tc>
            </w:tr>
            <w:tr w14:paraId="15B469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noWrap w:val="0"/>
                  <w:vAlign w:val="center"/>
                </w:tcPr>
                <w:p w14:paraId="20DE7DFA">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地表水环境</w:t>
                  </w:r>
                </w:p>
              </w:tc>
              <w:tc>
                <w:tcPr>
                  <w:tcW w:w="1155" w:type="dxa"/>
                  <w:noWrap w:val="0"/>
                  <w:vAlign w:val="center"/>
                </w:tcPr>
                <w:p w14:paraId="3F5EC2AA">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生活污水</w:t>
                  </w:r>
                </w:p>
              </w:tc>
              <w:tc>
                <w:tcPr>
                  <w:tcW w:w="750" w:type="dxa"/>
                  <w:noWrap w:val="0"/>
                  <w:vAlign w:val="center"/>
                </w:tcPr>
                <w:p w14:paraId="3AC1E834">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COD、NH</w:t>
                  </w:r>
                  <w:r>
                    <w:rPr>
                      <w:rFonts w:hint="default" w:ascii="Times New Roman" w:hAnsi="Times New Roman" w:eastAsia="宋体" w:cs="Times New Roman"/>
                      <w:sz w:val="21"/>
                      <w:szCs w:val="21"/>
                      <w:vertAlign w:val="subscript"/>
                      <w:lang w:val="en-US" w:eastAsia="zh-CN"/>
                    </w:rPr>
                    <w:t>3</w:t>
                  </w:r>
                  <w:r>
                    <w:rPr>
                      <w:rFonts w:hint="default" w:ascii="Times New Roman" w:hAnsi="Times New Roman" w:eastAsia="宋体" w:cs="Times New Roman"/>
                      <w:sz w:val="21"/>
                      <w:szCs w:val="21"/>
                      <w:lang w:val="en-US" w:eastAsia="zh-CN"/>
                    </w:rPr>
                    <w:t>-N等</w:t>
                  </w:r>
                </w:p>
              </w:tc>
              <w:tc>
                <w:tcPr>
                  <w:tcW w:w="1050" w:type="dxa"/>
                  <w:noWrap w:val="0"/>
                  <w:vAlign w:val="center"/>
                </w:tcPr>
                <w:p w14:paraId="6FA6B309">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三级化粪池、接市政污水管网，排至老城污水处理厂（西区）</w:t>
                  </w:r>
                </w:p>
              </w:tc>
              <w:tc>
                <w:tcPr>
                  <w:tcW w:w="2730" w:type="dxa"/>
                  <w:noWrap w:val="0"/>
                  <w:vAlign w:val="center"/>
                </w:tcPr>
                <w:p w14:paraId="45A6177B">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依托厂区生活污水处理设施</w:t>
                  </w:r>
                </w:p>
              </w:tc>
              <w:tc>
                <w:tcPr>
                  <w:tcW w:w="2835" w:type="dxa"/>
                  <w:noWrap w:val="0"/>
                  <w:vAlign w:val="center"/>
                </w:tcPr>
                <w:p w14:paraId="1C7785ED">
                  <w:pPr>
                    <w:keepNext w:val="0"/>
                    <w:keepLines w:val="0"/>
                    <w:pageBreakBefore w:val="0"/>
                    <w:widowControl/>
                    <w:kinsoku/>
                    <w:wordWrap/>
                    <w:overflowPunct/>
                    <w:topLinePunct w:val="0"/>
                    <w:bidi w:val="0"/>
                    <w:adjustRightInd w:val="0"/>
                    <w:snapToGrid w:val="0"/>
                    <w:spacing w:line="240" w:lineRule="auto"/>
                    <w:ind w:firstLine="420" w:firstLineChars="200"/>
                    <w:jc w:val="left"/>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已落实。根据本次验收现场勘察，</w:t>
                  </w:r>
                  <w:r>
                    <w:rPr>
                      <w:rFonts w:hint="default" w:ascii="Times New Roman" w:hAnsi="Times New Roman" w:eastAsia="宋体" w:cs="Times New Roman"/>
                      <w:bCs/>
                      <w:spacing w:val="-10"/>
                      <w:sz w:val="21"/>
                      <w:szCs w:val="21"/>
                      <w:lang w:val="en-US" w:eastAsia="zh-CN"/>
                    </w:rPr>
                    <w:t>项目厂房内仅设置值班室（不涉及产排污），员工办公依托厂区现有办公楼。</w:t>
                  </w:r>
                  <w:r>
                    <w:rPr>
                      <w:rFonts w:hint="default" w:ascii="Times New Roman" w:hAnsi="Times New Roman" w:eastAsia="宋体" w:cs="Times New Roman"/>
                      <w:bCs/>
                      <w:spacing w:val="-10"/>
                      <w:sz w:val="21"/>
                      <w:szCs w:val="21"/>
                    </w:rPr>
                    <w:t>生活污</w:t>
                  </w:r>
                  <w:r>
                    <w:rPr>
                      <w:rFonts w:hint="default" w:ascii="Times New Roman" w:hAnsi="Times New Roman" w:eastAsia="宋体" w:cs="Times New Roman"/>
                      <w:bCs/>
                      <w:spacing w:val="-10"/>
                      <w:sz w:val="21"/>
                      <w:szCs w:val="21"/>
                      <w:lang w:val="en-US" w:eastAsia="zh-CN"/>
                    </w:rPr>
                    <w:t>水依托厂内三级化粪池，后接入市政污水管网，排入老城污水处理厂（西区）深度处理。无生产废水产排。</w:t>
                  </w:r>
                </w:p>
              </w:tc>
            </w:tr>
            <w:tr w14:paraId="2511CB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noWrap w:val="0"/>
                  <w:vAlign w:val="center"/>
                </w:tcPr>
                <w:p w14:paraId="6D5B244B">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声环境</w:t>
                  </w:r>
                </w:p>
              </w:tc>
              <w:tc>
                <w:tcPr>
                  <w:tcW w:w="1155" w:type="dxa"/>
                  <w:noWrap w:val="0"/>
                  <w:vAlign w:val="center"/>
                </w:tcPr>
                <w:p w14:paraId="098BF898">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设备噪声、生产噪声</w:t>
                  </w:r>
                </w:p>
              </w:tc>
              <w:tc>
                <w:tcPr>
                  <w:tcW w:w="750" w:type="dxa"/>
                  <w:noWrap w:val="0"/>
                  <w:vAlign w:val="center"/>
                </w:tcPr>
                <w:p w14:paraId="52AAB512">
                  <w:pPr>
                    <w:keepNext w:val="0"/>
                    <w:keepLines w:val="0"/>
                    <w:pageBreakBefore w:val="0"/>
                    <w:widowControl/>
                    <w:suppressLineNumbers w:val="0"/>
                    <w:kinsoku/>
                    <w:wordWrap/>
                    <w:overflowPunct/>
                    <w:topLinePunct w:val="0"/>
                    <w:bidi w:val="0"/>
                    <w:adjustRightInd w:val="0"/>
                    <w:snapToGrid w:val="0"/>
                    <w:spacing w:line="240" w:lineRule="auto"/>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等效声级</w:t>
                  </w:r>
                </w:p>
              </w:tc>
              <w:tc>
                <w:tcPr>
                  <w:tcW w:w="1050" w:type="dxa"/>
                  <w:noWrap w:val="0"/>
                  <w:vAlign w:val="center"/>
                </w:tcPr>
                <w:p w14:paraId="0B0DADF6">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厂房车间隔音；低噪声设备；设备基础减振等</w:t>
                  </w:r>
                </w:p>
              </w:tc>
              <w:tc>
                <w:tcPr>
                  <w:tcW w:w="2730" w:type="dxa"/>
                  <w:noWrap w:val="0"/>
                  <w:vAlign w:val="center"/>
                </w:tcPr>
                <w:p w14:paraId="422815B9">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《工业企业厂界环境噪声排放标准》(GB12348-2008)</w:t>
                  </w:r>
                  <w:r>
                    <w:rPr>
                      <w:rFonts w:hint="default" w:ascii="Times New Roman" w:hAnsi="Times New Roman" w:eastAsia="宋体" w:cs="Times New Roman"/>
                      <w:sz w:val="21"/>
                      <w:szCs w:val="21"/>
                      <w:lang w:val="en-US" w:eastAsia="zh-CN"/>
                    </w:rPr>
                    <w:t>中3类标准</w:t>
                  </w:r>
                </w:p>
              </w:tc>
              <w:tc>
                <w:tcPr>
                  <w:tcW w:w="2835" w:type="dxa"/>
                  <w:noWrap w:val="0"/>
                  <w:vAlign w:val="center"/>
                </w:tcPr>
                <w:p w14:paraId="4B1826D3">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已落实。根据本次验收现场勘察，</w:t>
                  </w:r>
                  <w:r>
                    <w:rPr>
                      <w:rFonts w:hint="default" w:ascii="Times New Roman" w:hAnsi="Times New Roman" w:eastAsia="宋体" w:cs="Times New Roman"/>
                      <w:color w:val="000000"/>
                      <w:kern w:val="0"/>
                      <w:sz w:val="21"/>
                      <w:szCs w:val="21"/>
                      <w:lang w:val="en-US" w:eastAsia="zh-CN" w:bidi="ar"/>
                    </w:rPr>
                    <w:t>项目采取封闭厂房隔音，选用低噪声设备，并加装设备基础减振减小噪声产排。根据本次验收监测，</w:t>
                  </w:r>
                  <w:r>
                    <w:rPr>
                      <w:rFonts w:hint="default" w:ascii="Times New Roman" w:hAnsi="Times New Roman" w:eastAsia="宋体" w:cs="Times New Roman"/>
                      <w:sz w:val="21"/>
                      <w:szCs w:val="21"/>
                      <w:lang w:val="en-US" w:eastAsia="zh-CN"/>
                    </w:rPr>
                    <w:t>项目厂界噪声昼夜排放均符合相应标准限值。</w:t>
                  </w:r>
                </w:p>
              </w:tc>
            </w:tr>
            <w:tr w14:paraId="41EF1F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noWrap w:val="0"/>
                  <w:vAlign w:val="center"/>
                </w:tcPr>
                <w:p w14:paraId="743761BF">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电磁辐射</w:t>
                  </w:r>
                </w:p>
              </w:tc>
              <w:tc>
                <w:tcPr>
                  <w:tcW w:w="5685" w:type="dxa"/>
                  <w:gridSpan w:val="4"/>
                  <w:noWrap w:val="0"/>
                  <w:vAlign w:val="center"/>
                </w:tcPr>
                <w:p w14:paraId="4558EA77">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无</w:t>
                  </w:r>
                </w:p>
              </w:tc>
              <w:tc>
                <w:tcPr>
                  <w:tcW w:w="2835" w:type="dxa"/>
                  <w:noWrap w:val="0"/>
                  <w:vAlign w:val="center"/>
                </w:tcPr>
                <w:p w14:paraId="53E6C67B">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不涉及</w:t>
                  </w:r>
                </w:p>
              </w:tc>
            </w:tr>
            <w:tr w14:paraId="33C4CD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noWrap w:val="0"/>
                  <w:vAlign w:val="center"/>
                </w:tcPr>
                <w:p w14:paraId="2A026E9D">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固体废物</w:t>
                  </w:r>
                </w:p>
              </w:tc>
              <w:tc>
                <w:tcPr>
                  <w:tcW w:w="5685" w:type="dxa"/>
                  <w:gridSpan w:val="4"/>
                  <w:noWrap w:val="0"/>
                  <w:vAlign w:val="center"/>
                </w:tcPr>
                <w:p w14:paraId="144B08E5">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员工生活垃圾自行收集后交由当地环卫部门清运；废发泡料和废边角料分类收集至一般固废暂存间，外售废品回收公司。一般固废执行《一般工业固体废物贮存和填埋污染控制标准》(GB18599-2020)。</w:t>
                  </w:r>
                </w:p>
                <w:p w14:paraId="6264342E">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废机油和废活性炭分类暂存于危废暂存间，定期交由有资质单位处置。危废执行《危险废物贮存污染控制标准》（GB18597-2023）要求；妥善处置。</w:t>
                  </w:r>
                </w:p>
              </w:tc>
              <w:tc>
                <w:tcPr>
                  <w:tcW w:w="2835" w:type="dxa"/>
                  <w:noWrap w:val="0"/>
                  <w:vAlign w:val="center"/>
                </w:tcPr>
                <w:p w14:paraId="7CE751A2">
                  <w:pPr>
                    <w:pStyle w:val="73"/>
                    <w:keepNext w:val="0"/>
                    <w:keepLines w:val="0"/>
                    <w:pageBreakBefore w:val="0"/>
                    <w:kinsoku/>
                    <w:wordWrap/>
                    <w:overflowPunct/>
                    <w:topLinePunct w:val="0"/>
                    <w:bidi w:val="0"/>
                    <w:adjustRightInd w:val="0"/>
                    <w:snapToGrid w:val="0"/>
                    <w:spacing w:line="240" w:lineRule="auto"/>
                    <w:ind w:firstLine="480"/>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已落实。</w:t>
                  </w:r>
                  <w:r>
                    <w:rPr>
                      <w:rFonts w:hint="default" w:ascii="Times New Roman" w:hAnsi="Times New Roman" w:eastAsia="宋体" w:cs="Times New Roman"/>
                      <w:sz w:val="21"/>
                      <w:szCs w:val="21"/>
                      <w:lang w:val="en-US" w:eastAsia="zh-CN"/>
                    </w:rPr>
                    <w:t>根据本次验收现场勘察，</w:t>
                  </w:r>
                  <w:r>
                    <w:rPr>
                      <w:rFonts w:hint="default" w:ascii="Times New Roman" w:hAnsi="Times New Roman" w:eastAsia="宋体" w:cs="Times New Roman"/>
                      <w:b w:val="0"/>
                      <w:bCs w:val="0"/>
                      <w:kern w:val="2"/>
                      <w:sz w:val="21"/>
                      <w:szCs w:val="21"/>
                      <w:lang w:val="en-US" w:eastAsia="zh-CN" w:bidi="ar-SA"/>
                    </w:rPr>
                    <w:t>项目员工生活垃圾自行收集，交由当地环卫部门清运；废发泡料和废边角料分类收集，外售废品回收公司；危险废物（废机油、废UV灯管</w:t>
                  </w:r>
                  <w:r>
                    <w:rPr>
                      <w:rFonts w:hint="eastAsia" w:cs="Times New Roman"/>
                      <w:b w:val="0"/>
                      <w:bCs w:val="0"/>
                      <w:kern w:val="2"/>
                      <w:sz w:val="21"/>
                      <w:szCs w:val="21"/>
                      <w:lang w:val="en-US" w:eastAsia="zh-CN" w:bidi="ar-SA"/>
                    </w:rPr>
                    <w:t>、</w:t>
                  </w:r>
                  <w:r>
                    <w:rPr>
                      <w:rFonts w:hint="default" w:ascii="Times New Roman" w:hAnsi="Times New Roman" w:eastAsia="宋体" w:cs="Times New Roman"/>
                      <w:b w:val="0"/>
                      <w:bCs w:val="0"/>
                      <w:kern w:val="2"/>
                      <w:sz w:val="21"/>
                      <w:szCs w:val="21"/>
                      <w:lang w:val="en-US" w:eastAsia="zh-CN" w:bidi="ar-SA"/>
                    </w:rPr>
                    <w:t>废活性炭）等分类收集暂存于危废间，交由海南腾先环保科技有限责任公司（资质单位）处置。一般固废和危险废物暂存处置符合相应标准规范要求。</w:t>
                  </w:r>
                </w:p>
              </w:tc>
            </w:tr>
            <w:tr w14:paraId="18F501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noWrap w:val="0"/>
                  <w:vAlign w:val="center"/>
                </w:tcPr>
                <w:p w14:paraId="218D775C">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土壤及地下水污染防治措施</w:t>
                  </w:r>
                </w:p>
              </w:tc>
              <w:tc>
                <w:tcPr>
                  <w:tcW w:w="5685" w:type="dxa"/>
                  <w:gridSpan w:val="4"/>
                  <w:noWrap w:val="0"/>
                  <w:vAlign w:val="center"/>
                </w:tcPr>
                <w:p w14:paraId="7FAEBDB5">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eastAsia="宋体" w:cs="Times New Roman"/>
                      <w:b w:val="0"/>
                      <w:bCs w:val="0"/>
                      <w:color w:val="000000"/>
                      <w:sz w:val="21"/>
                      <w:szCs w:val="21"/>
                      <w:lang w:val="en-US" w:eastAsia="zh-CN"/>
                    </w:rPr>
                    <w:t>采取有效的源头控制、分区防渗措施和截流沟/围堰措施，可切断对土壤及地下水环境的污染途径，减小对</w:t>
                  </w:r>
                  <w:r>
                    <w:rPr>
                      <w:rFonts w:hint="default" w:ascii="Times New Roman" w:hAnsi="Times New Roman" w:eastAsia="宋体" w:cs="Times New Roman"/>
                      <w:sz w:val="21"/>
                      <w:szCs w:val="21"/>
                    </w:rPr>
                    <w:t>土壤</w:t>
                  </w:r>
                  <w:r>
                    <w:rPr>
                      <w:rFonts w:hint="default" w:ascii="Times New Roman" w:hAnsi="Times New Roman" w:eastAsia="宋体" w:cs="Times New Roman"/>
                      <w:sz w:val="21"/>
                      <w:szCs w:val="21"/>
                      <w:lang w:val="en-US" w:eastAsia="zh-CN"/>
                    </w:rPr>
                    <w:t>和</w:t>
                  </w:r>
                  <w:r>
                    <w:rPr>
                      <w:rFonts w:hint="default" w:ascii="Times New Roman" w:hAnsi="Times New Roman" w:eastAsia="宋体" w:cs="Times New Roman"/>
                      <w:sz w:val="21"/>
                      <w:szCs w:val="21"/>
                    </w:rPr>
                    <w:t>地下水</w:t>
                  </w:r>
                  <w:r>
                    <w:rPr>
                      <w:rFonts w:hint="default" w:ascii="Times New Roman" w:hAnsi="Times New Roman" w:eastAsia="宋体" w:cs="Times New Roman"/>
                      <w:sz w:val="21"/>
                      <w:szCs w:val="21"/>
                      <w:lang w:val="en-US" w:eastAsia="zh-CN"/>
                    </w:rPr>
                    <w:t>环境影响。</w:t>
                  </w:r>
                </w:p>
              </w:tc>
              <w:tc>
                <w:tcPr>
                  <w:tcW w:w="2835" w:type="dxa"/>
                  <w:noWrap w:val="0"/>
                  <w:vAlign w:val="center"/>
                </w:tcPr>
                <w:p w14:paraId="7CBD7C1B">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eastAsia="宋体" w:cs="Times New Roman"/>
                      <w:b w:val="0"/>
                      <w:bCs w:val="0"/>
                      <w:color w:val="000000"/>
                      <w:sz w:val="21"/>
                      <w:szCs w:val="21"/>
                      <w:lang w:val="en-US" w:eastAsia="zh-CN"/>
                    </w:rPr>
                    <w:t>已落实。</w:t>
                  </w:r>
                  <w:r>
                    <w:rPr>
                      <w:rFonts w:hint="default" w:ascii="Times New Roman" w:hAnsi="Times New Roman" w:eastAsia="宋体" w:cs="Times New Roman"/>
                      <w:sz w:val="21"/>
                      <w:szCs w:val="21"/>
                      <w:lang w:val="en-US" w:eastAsia="zh-CN"/>
                    </w:rPr>
                    <w:t>根据本次验收现场勘察，</w:t>
                  </w:r>
                  <w:r>
                    <w:rPr>
                      <w:rFonts w:hint="eastAsia" w:ascii="Times New Roman" w:hAnsi="Times New Roman" w:cs="Times New Roman"/>
                      <w:sz w:val="21"/>
                      <w:szCs w:val="21"/>
                      <w:lang w:val="en-US" w:eastAsia="zh-CN"/>
                    </w:rPr>
                    <w:t>项目桶装发泡料原料放置密闭原料间储存，原料间内地面进行防渗处理。同时，发泡区地面进行防渗处理。由于发泡料具有接触空气快速凝固的特性，即便泄漏也不会造成大面积溢流问题，不会超出地面防渗区域</w:t>
                  </w:r>
                  <w:r>
                    <w:rPr>
                      <w:rFonts w:hint="default" w:ascii="Times New Roman" w:hAnsi="Times New Roman" w:eastAsia="宋体" w:cs="Times New Roman"/>
                      <w:color w:val="auto"/>
                      <w:sz w:val="21"/>
                      <w:szCs w:val="21"/>
                      <w:lang w:val="en-US" w:eastAsia="zh-CN"/>
                    </w:rPr>
                    <w:t>；危废间地面防渗处理，四周设置围堰，</w:t>
                  </w:r>
                  <w:r>
                    <w:rPr>
                      <w:rFonts w:hint="default" w:ascii="Times New Roman" w:hAnsi="Times New Roman" w:eastAsia="宋体" w:cs="Times New Roman"/>
                      <w:b w:val="0"/>
                      <w:bCs w:val="0"/>
                      <w:color w:val="000000"/>
                      <w:sz w:val="21"/>
                      <w:szCs w:val="21"/>
                      <w:lang w:val="en-US" w:eastAsia="zh-CN"/>
                    </w:rPr>
                    <w:t>可切断对土壤及地下水环境的污染途径</w:t>
                  </w:r>
                  <w:r>
                    <w:rPr>
                      <w:rFonts w:hint="default" w:ascii="Times New Roman" w:hAnsi="Times New Roman" w:eastAsia="宋体" w:cs="Times New Roman"/>
                      <w:color w:val="auto"/>
                      <w:sz w:val="21"/>
                      <w:szCs w:val="21"/>
                      <w:lang w:val="en-US" w:eastAsia="zh-CN"/>
                    </w:rPr>
                    <w:t>。</w:t>
                  </w:r>
                </w:p>
              </w:tc>
            </w:tr>
            <w:tr w14:paraId="5C929A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noWrap w:val="0"/>
                  <w:vAlign w:val="center"/>
                </w:tcPr>
                <w:p w14:paraId="6C652887">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生态保护措施</w:t>
                  </w:r>
                </w:p>
              </w:tc>
              <w:tc>
                <w:tcPr>
                  <w:tcW w:w="5685" w:type="dxa"/>
                  <w:gridSpan w:val="4"/>
                  <w:noWrap w:val="0"/>
                  <w:vAlign w:val="center"/>
                </w:tcPr>
                <w:p w14:paraId="138C7D13">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无</w:t>
                  </w:r>
                </w:p>
              </w:tc>
              <w:tc>
                <w:tcPr>
                  <w:tcW w:w="2835" w:type="dxa"/>
                  <w:noWrap w:val="0"/>
                  <w:vAlign w:val="center"/>
                </w:tcPr>
                <w:p w14:paraId="4F332594">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不涉及</w:t>
                  </w:r>
                </w:p>
              </w:tc>
            </w:tr>
            <w:tr w14:paraId="63A835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noWrap w:val="0"/>
                  <w:vAlign w:val="center"/>
                </w:tcPr>
                <w:p w14:paraId="43E30B6F">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highlight w:val="none"/>
                    </w:rPr>
                    <w:t>环境风险防范措施</w:t>
                  </w:r>
                </w:p>
              </w:tc>
              <w:tc>
                <w:tcPr>
                  <w:tcW w:w="5685" w:type="dxa"/>
                  <w:gridSpan w:val="4"/>
                  <w:noWrap w:val="0"/>
                  <w:vAlign w:val="center"/>
                </w:tcPr>
                <w:p w14:paraId="53B0F656">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①严格落实源头管控和分区防渗措施；</w:t>
                  </w:r>
                </w:p>
                <w:p w14:paraId="5453F790">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②风险单元区域地面防渗处理，四周设置围堰/截流沟，在事故情况下收集泄漏的废料、废油；</w:t>
                  </w:r>
                </w:p>
                <w:p w14:paraId="70540A3D">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③厂区和车间设置报警按钮，同时与相关责任人的手机端互联。出现事故情况及时报告，并采取相关应急措施；</w:t>
                  </w:r>
                </w:p>
                <w:p w14:paraId="0F61519C">
                  <w:pPr>
                    <w:pStyle w:val="36"/>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④与厂区企业和周边企业以及当地政府部门建立联动机制，当发生事故时，应及时向当地应急、环境等部门上报，及时疏散厂区员工及周围群众；</w:t>
                  </w:r>
                </w:p>
                <w:p w14:paraId="7E03A2D1">
                  <w:pPr>
                    <w:keepNext w:val="0"/>
                    <w:keepLines w:val="0"/>
                    <w:pageBreakBefore w:val="0"/>
                    <w:kinsoku/>
                    <w:wordWrap/>
                    <w:overflowPunct/>
                    <w:topLinePunct w:val="0"/>
                    <w:bidi w:val="0"/>
                    <w:adjustRightInd w:val="0"/>
                    <w:snapToGrid w:val="0"/>
                    <w:spacing w:line="240" w:lineRule="auto"/>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b w:val="0"/>
                      <w:bCs w:val="0"/>
                      <w:sz w:val="21"/>
                      <w:szCs w:val="21"/>
                      <w:lang w:val="en-US" w:eastAsia="zh-CN"/>
                    </w:rPr>
                    <w:t>⑤编制突发环境事件应急预案，配备常用应急处理设备和保障物资。</w:t>
                  </w:r>
                </w:p>
              </w:tc>
              <w:tc>
                <w:tcPr>
                  <w:tcW w:w="2835" w:type="dxa"/>
                  <w:noWrap w:val="0"/>
                  <w:vAlign w:val="center"/>
                </w:tcPr>
                <w:p w14:paraId="172C3221">
                  <w:pPr>
                    <w:keepNext w:val="0"/>
                    <w:keepLines w:val="0"/>
                    <w:pageBreakBefore w:val="0"/>
                    <w:kinsoku/>
                    <w:wordWrap/>
                    <w:overflowPunct/>
                    <w:topLinePunct w:val="0"/>
                    <w:bidi w:val="0"/>
                    <w:adjustRightInd w:val="0"/>
                    <w:snapToGrid w:val="0"/>
                    <w:spacing w:line="240" w:lineRule="auto"/>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已落实。根据本次验收现场勘察，</w:t>
                  </w:r>
                  <w:r>
                    <w:rPr>
                      <w:rFonts w:hint="eastAsia" w:ascii="Times New Roman" w:hAnsi="Times New Roman" w:cs="Times New Roman"/>
                      <w:sz w:val="21"/>
                      <w:szCs w:val="21"/>
                      <w:lang w:val="en-US" w:eastAsia="zh-CN"/>
                    </w:rPr>
                    <w:t>项目桶装发泡料原料放置密闭原料间储存，原料间内地面进行防渗处理。同时，发泡区地面进行防渗处理。由于发泡料具有接触空气快速凝固的特性，即便泄漏也不会造成大面积溢流问题，不会超出地面防渗区域。</w:t>
                  </w:r>
                  <w:r>
                    <w:rPr>
                      <w:rFonts w:hint="eastAsia" w:ascii="Times New Roman" w:hAnsi="Times New Roman" w:eastAsia="宋体" w:cs="Times New Roman"/>
                      <w:sz w:val="21"/>
                      <w:szCs w:val="21"/>
                      <w:lang w:val="en-US" w:eastAsia="zh-CN"/>
                    </w:rPr>
                    <w:t>凝固后的</w:t>
                  </w:r>
                  <w:r>
                    <w:rPr>
                      <w:rFonts w:hint="default" w:ascii="Times New Roman" w:hAnsi="Times New Roman" w:eastAsia="宋体" w:cs="Times New Roman"/>
                      <w:sz w:val="21"/>
                      <w:szCs w:val="21"/>
                      <w:lang w:val="en-US" w:eastAsia="zh-CN"/>
                    </w:rPr>
                    <w:t>事故废料交由资质单位处置；危废间地面防渗处理，四周设置围堰，确保事故情况下可有效收集到泄漏废油等，事故废油交由资质单位处置；厂房内设置值班室、监控系统，与相关责任人的手机端互联。出现事故情况及时报告，并采取相关应急措施。同时，企业与厂房管理企业、厂区其他企业及周边企业、当地政府部门建立联动机制，当发生事故时，及时向当地应急、环境等部门上报，及时疏散厂区员工及周围群众。后续企业完善环境风险应急预案，进一步完善落实应急措施。</w:t>
                  </w:r>
                </w:p>
              </w:tc>
            </w:tr>
            <w:tr w14:paraId="3645A4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4" w:type="dxa"/>
                  <w:noWrap w:val="0"/>
                  <w:vAlign w:val="center"/>
                </w:tcPr>
                <w:p w14:paraId="3A101F88">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其他环境管理要求</w:t>
                  </w:r>
                </w:p>
              </w:tc>
              <w:tc>
                <w:tcPr>
                  <w:tcW w:w="5685" w:type="dxa"/>
                  <w:gridSpan w:val="4"/>
                  <w:noWrap w:val="0"/>
                  <w:vAlign w:val="center"/>
                </w:tcPr>
                <w:p w14:paraId="496DA8ED">
                  <w:pPr>
                    <w:keepNext w:val="0"/>
                    <w:keepLines w:val="0"/>
                    <w:pageBreakBefore w:val="0"/>
                    <w:widowControl/>
                    <w:suppressLineNumbers w:val="0"/>
                    <w:kinsoku/>
                    <w:wordWrap/>
                    <w:overflowPunct/>
                    <w:topLinePunct w:val="0"/>
                    <w:bidi w:val="0"/>
                    <w:adjustRightInd w:val="0"/>
                    <w:snapToGrid w:val="0"/>
                    <w:spacing w:line="240" w:lineRule="auto"/>
                    <w:jc w:val="left"/>
                    <w:textAlignment w:val="auto"/>
                    <w:rPr>
                      <w:rFonts w:hint="default" w:ascii="Times New Roman" w:hAnsi="Times New Roman" w:eastAsia="宋体" w:cs="Times New Roman"/>
                      <w:bCs/>
                      <w:kern w:val="0"/>
                      <w:sz w:val="21"/>
                      <w:szCs w:val="21"/>
                      <w:lang w:eastAsia="zh-CN"/>
                    </w:rPr>
                  </w:pPr>
                  <w:r>
                    <w:rPr>
                      <w:rFonts w:hint="default" w:ascii="Times New Roman" w:hAnsi="Times New Roman" w:eastAsia="宋体" w:cs="Times New Roman"/>
                      <w:bCs/>
                      <w:kern w:val="0"/>
                      <w:sz w:val="21"/>
                      <w:szCs w:val="21"/>
                      <w:lang w:val="en-US" w:eastAsia="zh-CN"/>
                    </w:rPr>
                    <w:t>①</w:t>
                  </w:r>
                  <w:r>
                    <w:rPr>
                      <w:rFonts w:hint="default" w:ascii="Times New Roman" w:hAnsi="Times New Roman" w:eastAsia="宋体" w:cs="Times New Roman"/>
                      <w:bCs/>
                      <w:kern w:val="0"/>
                      <w:sz w:val="21"/>
                      <w:szCs w:val="21"/>
                    </w:rPr>
                    <w:t>根据《排污许可管理办法》和《固定污染源排污许可分类管理名录》（2019 年版）的要求，做到</w:t>
                  </w:r>
                  <w:r>
                    <w:rPr>
                      <w:rFonts w:hint="default" w:ascii="Times New Roman" w:hAnsi="Times New Roman" w:eastAsia="宋体" w:cs="Times New Roman"/>
                      <w:bCs/>
                      <w:kern w:val="0"/>
                      <w:sz w:val="21"/>
                      <w:szCs w:val="21"/>
                      <w:lang w:val="en-US" w:eastAsia="zh-CN"/>
                    </w:rPr>
                    <w:t>依法</w:t>
                  </w:r>
                  <w:r>
                    <w:rPr>
                      <w:rFonts w:hint="default" w:ascii="Times New Roman" w:hAnsi="Times New Roman" w:eastAsia="宋体" w:cs="Times New Roman"/>
                      <w:bCs/>
                      <w:kern w:val="0"/>
                      <w:sz w:val="21"/>
                      <w:szCs w:val="21"/>
                    </w:rPr>
                    <w:t>排污</w:t>
                  </w:r>
                  <w:r>
                    <w:rPr>
                      <w:rFonts w:hint="default" w:ascii="Times New Roman" w:hAnsi="Times New Roman" w:eastAsia="宋体" w:cs="Times New Roman"/>
                      <w:bCs/>
                      <w:kern w:val="0"/>
                      <w:sz w:val="21"/>
                      <w:szCs w:val="21"/>
                      <w:lang w:eastAsia="zh-CN"/>
                    </w:rPr>
                    <w:t>。</w:t>
                  </w:r>
                </w:p>
                <w:p w14:paraId="0100E4A6">
                  <w:pPr>
                    <w:keepNext w:val="0"/>
                    <w:keepLines w:val="0"/>
                    <w:pageBreakBefore w:val="0"/>
                    <w:widowControl/>
                    <w:suppressLineNumbers w:val="0"/>
                    <w:kinsoku/>
                    <w:wordWrap/>
                    <w:overflowPunct/>
                    <w:topLinePunct w:val="0"/>
                    <w:bidi w:val="0"/>
                    <w:adjustRightInd w:val="0"/>
                    <w:snapToGrid w:val="0"/>
                    <w:spacing w:line="240" w:lineRule="auto"/>
                    <w:jc w:val="left"/>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②设立环境管理机构，制定环境管理制度、环境管理台账、风险防范与应急救援措施等。</w:t>
                  </w:r>
                </w:p>
                <w:p w14:paraId="5ACEB98A">
                  <w:pPr>
                    <w:keepNext w:val="0"/>
                    <w:keepLines w:val="0"/>
                    <w:pageBreakBefore w:val="0"/>
                    <w:widowControl/>
                    <w:suppressLineNumbers w:val="0"/>
                    <w:kinsoku/>
                    <w:wordWrap/>
                    <w:overflowPunct/>
                    <w:topLinePunct w:val="0"/>
                    <w:bidi w:val="0"/>
                    <w:adjustRightInd w:val="0"/>
                    <w:snapToGrid w:val="0"/>
                    <w:spacing w:line="240" w:lineRule="auto"/>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③环境管理纳入企业日常经营管理活动，从计划管理、生产管理、技术管理、设备管理到经济成本核算都要有控制污染的内容和事故风险防范的内容，并要落实到岗位。</w:t>
                  </w:r>
                </w:p>
                <w:p w14:paraId="19A9EDCA">
                  <w:pPr>
                    <w:keepNext w:val="0"/>
                    <w:keepLines w:val="0"/>
                    <w:pageBreakBefore w:val="0"/>
                    <w:kinsoku/>
                    <w:wordWrap/>
                    <w:overflowPunct/>
                    <w:topLinePunct w:val="0"/>
                    <w:bidi w:val="0"/>
                    <w:adjustRightInd w:val="0"/>
                    <w:snapToGrid w:val="0"/>
                    <w:spacing w:line="240" w:lineRule="auto"/>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④制定企业自行监测计划，后续委托专业单位定期开展监测。 </w:t>
                  </w:r>
                </w:p>
                <w:p w14:paraId="1E3786BF">
                  <w:pPr>
                    <w:keepNext w:val="0"/>
                    <w:keepLines w:val="0"/>
                    <w:pageBreakBefore w:val="0"/>
                    <w:kinsoku/>
                    <w:wordWrap/>
                    <w:overflowPunct/>
                    <w:topLinePunct w:val="0"/>
                    <w:bidi w:val="0"/>
                    <w:adjustRightInd w:val="0"/>
                    <w:snapToGrid w:val="0"/>
                    <w:spacing w:line="240" w:lineRule="auto"/>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⑤项目建设过程中，做到环境污染防治设施与主体工程同时设计、同时施工、同时投入使用，切实做到“三同时”。</w:t>
                  </w:r>
                </w:p>
              </w:tc>
              <w:tc>
                <w:tcPr>
                  <w:tcW w:w="2835" w:type="dxa"/>
                  <w:noWrap w:val="0"/>
                  <w:vAlign w:val="center"/>
                </w:tcPr>
                <w:p w14:paraId="5669E92B">
                  <w:pPr>
                    <w:keepNext w:val="0"/>
                    <w:keepLines w:val="0"/>
                    <w:pageBreakBefore w:val="0"/>
                    <w:kinsoku/>
                    <w:wordWrap/>
                    <w:overflowPunct/>
                    <w:topLinePunct w:val="0"/>
                    <w:bidi w:val="0"/>
                    <w:adjustRightInd w:val="0"/>
                    <w:snapToGrid w:val="0"/>
                    <w:spacing w:line="240" w:lineRule="auto"/>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已落实。项目已办理排污登记；配备环境管理人员、制定环境管理制度；按照环评要求制定企业自行监测计划，后续委托专业单位定期开展。项目建设过程中做到“三同时”，未遗留施工期环境问题。</w:t>
                  </w:r>
                </w:p>
              </w:tc>
            </w:tr>
          </w:tbl>
          <w:p w14:paraId="39C4ED5A">
            <w:pPr>
              <w:pStyle w:val="28"/>
              <w:adjustRightInd w:val="0"/>
              <w:snapToGrid w:val="0"/>
              <w:spacing w:after="0" w:line="500" w:lineRule="exact"/>
              <w:ind w:left="0" w:leftChars="0" w:firstLine="0"/>
              <w:jc w:val="center"/>
              <w:rPr>
                <w:rFonts w:hAnsi="Times New Roman" w:cs="Times New Roman"/>
                <w:b/>
                <w:bCs/>
                <w:color w:val="000000" w:themeColor="text1"/>
                <w:sz w:val="24"/>
                <w:highlight w:val="none"/>
                <w14:textFill>
                  <w14:solidFill>
                    <w14:schemeClr w14:val="tx1"/>
                  </w14:solidFill>
                </w14:textFill>
              </w:rPr>
            </w:pPr>
            <w:r>
              <w:rPr>
                <w:rFonts w:hAnsi="Times New Roman" w:cs="Times New Roman"/>
                <w:b/>
                <w:bCs/>
                <w:color w:val="000000" w:themeColor="text1"/>
                <w:sz w:val="24"/>
                <w:highlight w:val="none"/>
                <w14:textFill>
                  <w14:solidFill>
                    <w14:schemeClr w14:val="tx1"/>
                  </w14:solidFill>
                </w14:textFill>
              </w:rPr>
              <w:t>表4-2环评批复要求防治措施及措施落实情况</w:t>
            </w:r>
          </w:p>
          <w:tbl>
            <w:tblPr>
              <w:tblStyle w:val="2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4181"/>
              <w:gridCol w:w="4122"/>
            </w:tblGrid>
            <w:tr w14:paraId="5889A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768" w:type="dxa"/>
                  <w:vAlign w:val="center"/>
                </w:tcPr>
                <w:p w14:paraId="52D25BFA">
                  <w:pPr>
                    <w:pStyle w:val="42"/>
                    <w:keepNext w:val="0"/>
                    <w:keepLines w:val="0"/>
                    <w:pageBreakBefore w:val="0"/>
                    <w:shd w:val="clear" w:color="auto" w:fill="auto"/>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序号</w:t>
                  </w:r>
                </w:p>
              </w:tc>
              <w:tc>
                <w:tcPr>
                  <w:tcW w:w="4181" w:type="dxa"/>
                  <w:vAlign w:val="center"/>
                </w:tcPr>
                <w:p w14:paraId="6B1F6E31">
                  <w:pPr>
                    <w:pStyle w:val="42"/>
                    <w:keepNext w:val="0"/>
                    <w:keepLines w:val="0"/>
                    <w:pageBreakBefore w:val="0"/>
                    <w:shd w:val="clear" w:color="auto" w:fill="auto"/>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环评批复文件要求</w:t>
                  </w:r>
                </w:p>
              </w:tc>
              <w:tc>
                <w:tcPr>
                  <w:tcW w:w="4122" w:type="dxa"/>
                  <w:vAlign w:val="center"/>
                </w:tcPr>
                <w:p w14:paraId="2FD34EFA">
                  <w:pPr>
                    <w:pStyle w:val="42"/>
                    <w:keepNext w:val="0"/>
                    <w:keepLines w:val="0"/>
                    <w:pageBreakBefore w:val="0"/>
                    <w:shd w:val="clear" w:color="auto" w:fill="auto"/>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落实情况</w:t>
                  </w:r>
                </w:p>
              </w:tc>
            </w:tr>
            <w:tr w14:paraId="44234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dxa"/>
                  <w:vAlign w:val="center"/>
                </w:tcPr>
                <w:p w14:paraId="34A5E93D">
                  <w:pPr>
                    <w:pStyle w:val="42"/>
                    <w:keepNext w:val="0"/>
                    <w:keepLines w:val="0"/>
                    <w:pageBreakBefore w:val="0"/>
                    <w:shd w:val="clear" w:color="auto" w:fill="auto"/>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w:t>
                  </w:r>
                </w:p>
              </w:tc>
              <w:tc>
                <w:tcPr>
                  <w:tcW w:w="4181" w:type="dxa"/>
                  <w:vAlign w:val="center"/>
                </w:tcPr>
                <w:p w14:paraId="69A66DC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bCs w:val="0"/>
                      <w:sz w:val="21"/>
                      <w:szCs w:val="21"/>
                    </w:rPr>
                    <w:t>(一)加强施工期间的环境保护管理。施工现场采取硬质封闭围挡、择时施工、洒水抑尘、冲洗地面等有效防尘措施，做好物料运输车辆管理。施工人员生活污水依托海南百年新乐幕墙门窗系统工程有限公司已建三级化粪池处理后接入市政污水管网最终排入老城污水处理厂</w:t>
                  </w:r>
                  <w:r>
                    <w:rPr>
                      <w:rFonts w:hint="default" w:ascii="Times New Roman" w:hAnsi="Times New Roman" w:eastAsia="宋体" w:cs="Times New Roman"/>
                      <w:b w:val="0"/>
                      <w:bCs w:val="0"/>
                      <w:sz w:val="21"/>
                      <w:szCs w:val="21"/>
                      <w:lang w:eastAsia="zh-CN"/>
                    </w:rPr>
                    <w:t>（</w:t>
                  </w:r>
                  <w:r>
                    <w:rPr>
                      <w:rFonts w:hint="default" w:ascii="Times New Roman" w:hAnsi="Times New Roman" w:eastAsia="宋体" w:cs="Times New Roman"/>
                      <w:b w:val="0"/>
                      <w:bCs w:val="0"/>
                      <w:sz w:val="21"/>
                      <w:szCs w:val="21"/>
                    </w:rPr>
                    <w:t>西区</w:t>
                  </w:r>
                  <w:r>
                    <w:rPr>
                      <w:rFonts w:hint="default" w:ascii="Times New Roman" w:hAnsi="Times New Roman" w:eastAsia="宋体" w:cs="Times New Roman"/>
                      <w:b w:val="0"/>
                      <w:bCs w:val="0"/>
                      <w:sz w:val="21"/>
                      <w:szCs w:val="21"/>
                      <w:lang w:eastAsia="zh-CN"/>
                    </w:rPr>
                    <w:t>）</w:t>
                  </w:r>
                  <w:r>
                    <w:rPr>
                      <w:rFonts w:hint="default" w:ascii="Times New Roman" w:hAnsi="Times New Roman" w:eastAsia="宋体" w:cs="Times New Roman"/>
                      <w:b w:val="0"/>
                      <w:bCs w:val="0"/>
                      <w:sz w:val="21"/>
                      <w:szCs w:val="21"/>
                    </w:rPr>
                    <w:t>处理。采取隔声、减振措施合理安排施工时间，严禁夜间施工，加强施工管理以及施工机械的维护保养，防止噪声扰民。生活垃圾收集后及时交环卫部门清运处理，建筑垃圾应优先进行回收利用，不能回收利用的及时按规定处置</w:t>
                  </w:r>
                  <w:r>
                    <w:rPr>
                      <w:rFonts w:hint="default" w:ascii="Times New Roman" w:hAnsi="Times New Roman" w:eastAsia="宋体" w:cs="Times New Roman"/>
                      <w:b w:val="0"/>
                      <w:bCs w:val="0"/>
                      <w:sz w:val="21"/>
                      <w:szCs w:val="21"/>
                      <w:lang w:eastAsia="zh-CN"/>
                    </w:rPr>
                    <w:t>，</w:t>
                  </w:r>
                  <w:r>
                    <w:rPr>
                      <w:rFonts w:hint="default" w:ascii="Times New Roman" w:hAnsi="Times New Roman" w:eastAsia="宋体" w:cs="Times New Roman"/>
                      <w:b w:val="0"/>
                      <w:bCs w:val="0"/>
                      <w:sz w:val="21"/>
                      <w:szCs w:val="21"/>
                    </w:rPr>
                    <w:t>废油漆、废油漆桶等危险废物应落实规范化管理要求分类收集后交有资质单位处置。</w:t>
                  </w:r>
                </w:p>
              </w:tc>
              <w:tc>
                <w:tcPr>
                  <w:tcW w:w="4122" w:type="dxa"/>
                  <w:vAlign w:val="center"/>
                </w:tcPr>
                <w:p w14:paraId="5F04544F">
                  <w:pPr>
                    <w:keepNext w:val="0"/>
                    <w:keepLines w:val="0"/>
                    <w:pageBreakBefore w:val="0"/>
                    <w:tabs>
                      <w:tab w:val="left" w:pos="6120"/>
                      <w:tab w:val="left" w:pos="6840"/>
                    </w:tabs>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已落实。</w:t>
                  </w:r>
                  <w:r>
                    <w:rPr>
                      <w:rFonts w:hint="default" w:ascii="Times New Roman" w:hAnsi="Times New Roman" w:eastAsia="宋体" w:cs="Times New Roman"/>
                      <w:sz w:val="21"/>
                      <w:szCs w:val="21"/>
                      <w:lang w:bidi="ar"/>
                    </w:rPr>
                    <w:t>项目</w:t>
                  </w:r>
                  <w:r>
                    <w:rPr>
                      <w:rFonts w:hint="default" w:ascii="Times New Roman" w:hAnsi="Times New Roman" w:eastAsia="宋体" w:cs="Times New Roman"/>
                      <w:sz w:val="21"/>
                      <w:szCs w:val="21"/>
                      <w:lang w:val="en-US" w:eastAsia="zh-CN" w:bidi="ar"/>
                    </w:rPr>
                    <w:t>施工期在封闭</w:t>
                  </w:r>
                  <w:r>
                    <w:rPr>
                      <w:rFonts w:hint="default" w:ascii="Times New Roman" w:hAnsi="Times New Roman" w:eastAsia="宋体" w:cs="Times New Roman"/>
                      <w:sz w:val="21"/>
                      <w:szCs w:val="21"/>
                      <w:lang w:bidi="ar"/>
                    </w:rPr>
                    <w:t>厂房车间</w:t>
                  </w:r>
                  <w:r>
                    <w:rPr>
                      <w:rFonts w:hint="default" w:ascii="Times New Roman" w:hAnsi="Times New Roman" w:eastAsia="宋体" w:cs="Times New Roman"/>
                      <w:sz w:val="21"/>
                      <w:szCs w:val="21"/>
                      <w:lang w:val="en-US" w:eastAsia="zh-CN" w:bidi="ar"/>
                    </w:rPr>
                    <w:t>内</w:t>
                  </w:r>
                  <w:r>
                    <w:rPr>
                      <w:rFonts w:hint="default" w:ascii="Times New Roman" w:hAnsi="Times New Roman" w:eastAsia="宋体" w:cs="Times New Roman"/>
                      <w:sz w:val="21"/>
                      <w:szCs w:val="21"/>
                      <w:lang w:bidi="ar"/>
                    </w:rPr>
                    <w:t>建设，</w:t>
                  </w:r>
                  <w:r>
                    <w:rPr>
                      <w:rFonts w:hint="default" w:ascii="Times New Roman" w:hAnsi="Times New Roman" w:eastAsia="宋体" w:cs="Times New Roman"/>
                      <w:sz w:val="21"/>
                      <w:szCs w:val="21"/>
                      <w:lang w:val="en-US" w:eastAsia="zh-CN" w:bidi="ar"/>
                    </w:rPr>
                    <w:t>减小扬尘；施工</w:t>
                  </w:r>
                  <w:r>
                    <w:rPr>
                      <w:rFonts w:hint="default" w:ascii="Times New Roman" w:hAnsi="Times New Roman" w:eastAsia="宋体" w:cs="Times New Roman"/>
                      <w:b w:val="0"/>
                      <w:bCs w:val="0"/>
                      <w:sz w:val="21"/>
                      <w:szCs w:val="21"/>
                    </w:rPr>
                    <w:t>人员生活污水依托</w:t>
                  </w:r>
                  <w:r>
                    <w:rPr>
                      <w:rFonts w:hint="default" w:ascii="Times New Roman" w:hAnsi="Times New Roman" w:eastAsia="宋体" w:cs="Times New Roman"/>
                      <w:b w:val="0"/>
                      <w:bCs w:val="0"/>
                      <w:sz w:val="21"/>
                      <w:szCs w:val="21"/>
                      <w:lang w:val="en-US" w:eastAsia="zh-CN"/>
                    </w:rPr>
                    <w:t>厂区三级化粪池收集处理，</w:t>
                  </w:r>
                  <w:r>
                    <w:rPr>
                      <w:rFonts w:hint="default" w:ascii="Times New Roman" w:hAnsi="Times New Roman" w:eastAsia="宋体" w:cs="Times New Roman"/>
                      <w:b w:val="0"/>
                      <w:bCs w:val="0"/>
                      <w:sz w:val="21"/>
                      <w:szCs w:val="21"/>
                    </w:rPr>
                    <w:t>接入市政污水管网最终排入老城污水处理厂</w:t>
                  </w:r>
                  <w:r>
                    <w:rPr>
                      <w:rFonts w:hint="default" w:ascii="Times New Roman" w:hAnsi="Times New Roman" w:eastAsia="宋体" w:cs="Times New Roman"/>
                      <w:b w:val="0"/>
                      <w:bCs w:val="0"/>
                      <w:sz w:val="21"/>
                      <w:szCs w:val="21"/>
                      <w:lang w:eastAsia="zh-CN"/>
                    </w:rPr>
                    <w:t>（</w:t>
                  </w:r>
                  <w:r>
                    <w:rPr>
                      <w:rFonts w:hint="default" w:ascii="Times New Roman" w:hAnsi="Times New Roman" w:eastAsia="宋体" w:cs="Times New Roman"/>
                      <w:b w:val="0"/>
                      <w:bCs w:val="0"/>
                      <w:sz w:val="21"/>
                      <w:szCs w:val="21"/>
                    </w:rPr>
                    <w:t>西区</w:t>
                  </w:r>
                  <w:r>
                    <w:rPr>
                      <w:rFonts w:hint="default" w:ascii="Times New Roman" w:hAnsi="Times New Roman" w:eastAsia="宋体" w:cs="Times New Roman"/>
                      <w:b w:val="0"/>
                      <w:bCs w:val="0"/>
                      <w:sz w:val="21"/>
                      <w:szCs w:val="21"/>
                      <w:lang w:eastAsia="zh-CN"/>
                    </w:rPr>
                    <w:t>）</w:t>
                  </w:r>
                  <w:r>
                    <w:rPr>
                      <w:rFonts w:hint="default" w:ascii="Times New Roman" w:hAnsi="Times New Roman" w:eastAsia="宋体" w:cs="Times New Roman"/>
                      <w:b w:val="0"/>
                      <w:bCs w:val="0"/>
                      <w:sz w:val="21"/>
                      <w:szCs w:val="21"/>
                    </w:rPr>
                    <w:t>处理</w:t>
                  </w:r>
                  <w:r>
                    <w:rPr>
                      <w:rFonts w:hint="default" w:ascii="Times New Roman" w:hAnsi="Times New Roman" w:eastAsia="宋体" w:cs="Times New Roman"/>
                      <w:b w:val="0"/>
                      <w:bCs w:val="0"/>
                      <w:sz w:val="21"/>
                      <w:szCs w:val="21"/>
                      <w:lang w:eastAsia="zh-CN"/>
                    </w:rPr>
                    <w:t>；</w:t>
                  </w:r>
                  <w:r>
                    <w:rPr>
                      <w:rFonts w:hint="default" w:ascii="Times New Roman" w:hAnsi="Times New Roman" w:eastAsia="宋体" w:cs="Times New Roman"/>
                      <w:b w:val="0"/>
                      <w:bCs w:val="0"/>
                      <w:sz w:val="21"/>
                      <w:szCs w:val="21"/>
                      <w:lang w:val="en-US" w:eastAsia="zh-CN"/>
                    </w:rPr>
                    <w:t>封闭厂房车间隔音、午间夜间不是施工、无需使用大型施工机械、周边无声环境保护目标；生活垃圾自行收集，交由环卫部门清运、建筑垃圾可回收部分外售废品公司，不可回收部门运至指定地点处置；装修废油漆、废漆桶按危废交由</w:t>
                  </w:r>
                  <w:r>
                    <w:rPr>
                      <w:rFonts w:hint="default" w:ascii="Times New Roman" w:hAnsi="Times New Roman" w:eastAsia="宋体" w:cs="Times New Roman"/>
                      <w:b w:val="0"/>
                      <w:bCs w:val="0"/>
                      <w:kern w:val="2"/>
                      <w:sz w:val="21"/>
                      <w:szCs w:val="21"/>
                      <w:lang w:val="en-US" w:eastAsia="zh-CN" w:bidi="ar-SA"/>
                    </w:rPr>
                    <w:t>海南腾先环保科技有限责任公司（</w:t>
                  </w:r>
                  <w:r>
                    <w:rPr>
                      <w:rFonts w:hint="default" w:ascii="Times New Roman" w:hAnsi="Times New Roman" w:eastAsia="宋体" w:cs="Times New Roman"/>
                      <w:b w:val="0"/>
                      <w:bCs w:val="0"/>
                      <w:sz w:val="21"/>
                      <w:szCs w:val="21"/>
                      <w:lang w:val="en-US" w:eastAsia="zh-CN"/>
                    </w:rPr>
                    <w:t>资质单位</w:t>
                  </w:r>
                  <w:r>
                    <w:rPr>
                      <w:rFonts w:hint="default" w:ascii="Times New Roman" w:hAnsi="Times New Roman" w:eastAsia="宋体" w:cs="Times New Roman"/>
                      <w:b w:val="0"/>
                      <w:bCs w:val="0"/>
                      <w:kern w:val="2"/>
                      <w:sz w:val="21"/>
                      <w:szCs w:val="21"/>
                      <w:lang w:val="en-US" w:eastAsia="zh-CN" w:bidi="ar-SA"/>
                    </w:rPr>
                    <w:t>）</w:t>
                  </w:r>
                  <w:r>
                    <w:rPr>
                      <w:rFonts w:hint="default" w:ascii="Times New Roman" w:hAnsi="Times New Roman" w:eastAsia="宋体" w:cs="Times New Roman"/>
                      <w:b w:val="0"/>
                      <w:bCs w:val="0"/>
                      <w:sz w:val="21"/>
                      <w:szCs w:val="21"/>
                      <w:lang w:val="en-US" w:eastAsia="zh-CN"/>
                    </w:rPr>
                    <w:t>处置。</w:t>
                  </w:r>
                </w:p>
              </w:tc>
            </w:tr>
            <w:tr w14:paraId="64906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dxa"/>
                  <w:vAlign w:val="center"/>
                </w:tcPr>
                <w:p w14:paraId="1969385B">
                  <w:pPr>
                    <w:pStyle w:val="42"/>
                    <w:keepNext w:val="0"/>
                    <w:keepLines w:val="0"/>
                    <w:pageBreakBefore w:val="0"/>
                    <w:shd w:val="clear" w:color="auto" w:fill="auto"/>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w:t>
                  </w:r>
                </w:p>
              </w:tc>
              <w:tc>
                <w:tcPr>
                  <w:tcW w:w="4181" w:type="dxa"/>
                  <w:vAlign w:val="center"/>
                </w:tcPr>
                <w:p w14:paraId="74A3AA7C">
                  <w:pPr>
                    <w:keepNext w:val="0"/>
                    <w:keepLines w:val="0"/>
                    <w:pageBreakBefore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bCs w:val="0"/>
                      <w:sz w:val="21"/>
                      <w:szCs w:val="21"/>
                    </w:rPr>
                    <w:t>(二)采取有效的大气污染防治措施。运营期发泡、成型熟化工序非甲烷总烃、恶臭异味经密闭集气罩收集进二级活性炭装置处理后，通过1根15m高排气简排放。未收集的非甲烷总烃恶臭异味于封闭车间内无组织排放，加强厂区绿化。发泡料储罐为密闭状态，罐内顶部设置氮封装置，少量储罐呼吸废气于封闭车间内无组织排放。定期做好废气处理设施的检修、保养工作，避免设施发生故障等情况</w:t>
                  </w:r>
                  <w:r>
                    <w:rPr>
                      <w:rFonts w:hint="default" w:ascii="Times New Roman" w:hAnsi="Times New Roman" w:eastAsia="宋体" w:cs="Times New Roman"/>
                      <w:b w:val="0"/>
                      <w:bCs w:val="0"/>
                      <w:sz w:val="21"/>
                      <w:szCs w:val="21"/>
                      <w:lang w:eastAsia="zh-CN"/>
                    </w:rPr>
                    <w:t>；</w:t>
                  </w:r>
                  <w:r>
                    <w:rPr>
                      <w:rFonts w:hint="default" w:ascii="Times New Roman" w:hAnsi="Times New Roman" w:eastAsia="宋体" w:cs="Times New Roman"/>
                      <w:b w:val="0"/>
                      <w:bCs w:val="0"/>
                      <w:sz w:val="21"/>
                      <w:szCs w:val="21"/>
                    </w:rPr>
                    <w:t>当污染治理设施发生故障时立即采取停止生产，及时进行检修等措施，直至设施正常运转和污染物达标排放。</w:t>
                  </w:r>
                </w:p>
              </w:tc>
              <w:tc>
                <w:tcPr>
                  <w:tcW w:w="4122" w:type="dxa"/>
                  <w:vAlign w:val="center"/>
                </w:tcPr>
                <w:p w14:paraId="7A07336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①已落实。</w:t>
                  </w:r>
                  <w:r>
                    <w:rPr>
                      <w:rFonts w:hint="default" w:ascii="Times New Roman" w:hAnsi="Times New Roman" w:eastAsia="宋体" w:cs="Times New Roman"/>
                      <w:color w:val="000000"/>
                      <w:kern w:val="0"/>
                      <w:sz w:val="21"/>
                      <w:szCs w:val="21"/>
                      <w:lang w:val="en-US" w:eastAsia="zh-CN" w:bidi="ar"/>
                    </w:rPr>
                    <w:t>根据本次验收现场勘察，项目采取</w:t>
                  </w:r>
                  <w:r>
                    <w:rPr>
                      <w:rFonts w:hint="default" w:ascii="Times New Roman" w:hAnsi="Times New Roman" w:eastAsia="宋体" w:cs="Times New Roman"/>
                      <w:sz w:val="21"/>
                      <w:szCs w:val="21"/>
                      <w:lang w:val="en-US" w:eastAsia="zh-CN"/>
                    </w:rPr>
                    <w:t>密闭发泡设备、集气罩、“UV光解+</w:t>
                  </w:r>
                  <w:r>
                    <w:rPr>
                      <w:rFonts w:hint="eastAsia" w:ascii="Times New Roman" w:hAnsi="Times New Roman" w:eastAsia="宋体" w:cs="Times New Roman"/>
                      <w:sz w:val="21"/>
                      <w:szCs w:val="21"/>
                      <w:lang w:val="en-US" w:eastAsia="zh-CN"/>
                    </w:rPr>
                    <w:t>二级</w:t>
                  </w:r>
                  <w:r>
                    <w:rPr>
                      <w:rFonts w:hint="default" w:ascii="Times New Roman" w:hAnsi="Times New Roman" w:eastAsia="宋体" w:cs="Times New Roman"/>
                      <w:sz w:val="21"/>
                      <w:szCs w:val="21"/>
                      <w:lang w:val="en-US" w:eastAsia="zh-CN"/>
                    </w:rPr>
                    <w:t>活性炭吸附”装置，对发泡废气进行收集处理，后由1根15</w:t>
                  </w:r>
                  <w:r>
                    <w:rPr>
                      <w:rFonts w:hint="eastAsia" w:ascii="Times New Roman" w:hAnsi="Times New Roman" w:eastAsia="宋体" w:cs="Times New Roman"/>
                      <w:sz w:val="21"/>
                      <w:szCs w:val="21"/>
                      <w:lang w:val="en-US" w:eastAsia="zh-CN"/>
                    </w:rPr>
                    <w:t>.5</w:t>
                  </w:r>
                  <w:r>
                    <w:rPr>
                      <w:rFonts w:hint="default" w:ascii="Times New Roman" w:hAnsi="Times New Roman" w:eastAsia="宋体" w:cs="Times New Roman"/>
                      <w:sz w:val="21"/>
                      <w:szCs w:val="21"/>
                      <w:lang w:val="en-US" w:eastAsia="zh-CN"/>
                    </w:rPr>
                    <w:t>m高排气筒DA001达标排放。根据本次验收监测，项目发泡废气有组织排放符合相应标准限值。</w:t>
                  </w:r>
                </w:p>
                <w:p w14:paraId="1A92E5A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②已落实。根据本次验收现场勘察，项目建设为封闭厂房，厂房外有绿化种植。根据本次验收监测，</w:t>
                  </w:r>
                  <w:r>
                    <w:rPr>
                      <w:rFonts w:hint="default" w:ascii="Times New Roman" w:hAnsi="Times New Roman" w:eastAsia="宋体" w:cs="Times New Roman"/>
                      <w:sz w:val="21"/>
                      <w:szCs w:val="21"/>
                      <w:lang w:val="en-US" w:eastAsia="zh-CN"/>
                    </w:rPr>
                    <w:t>项目厂界废气排放符合相应标准限值。</w:t>
                  </w:r>
                </w:p>
                <w:p w14:paraId="41569D5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③本次验收期间未发生设备故障情况</w:t>
                  </w:r>
                </w:p>
              </w:tc>
            </w:tr>
            <w:tr w14:paraId="706AD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dxa"/>
                  <w:vAlign w:val="center"/>
                </w:tcPr>
                <w:p w14:paraId="128CC154">
                  <w:pPr>
                    <w:pStyle w:val="42"/>
                    <w:keepNext w:val="0"/>
                    <w:keepLines w:val="0"/>
                    <w:pageBreakBefore w:val="0"/>
                    <w:shd w:val="clear" w:color="auto" w:fill="auto"/>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w:t>
                  </w:r>
                </w:p>
              </w:tc>
              <w:tc>
                <w:tcPr>
                  <w:tcW w:w="4181" w:type="dxa"/>
                  <w:vAlign w:val="center"/>
                </w:tcPr>
                <w:p w14:paraId="3CE17D9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b w:val="0"/>
                      <w:bCs w:val="0"/>
                      <w:sz w:val="21"/>
                      <w:szCs w:val="21"/>
                    </w:rPr>
                    <w:t>(三)落实水环境保护措施。生活污水依托海南百年新乐幕墙门窗系统工程有限公司综合办公楼已建三级化粪池处理后接入市政管网，最终排入老城污水处理厂(西区)处理。</w:t>
                  </w:r>
                </w:p>
              </w:tc>
              <w:tc>
                <w:tcPr>
                  <w:tcW w:w="4122" w:type="dxa"/>
                  <w:vAlign w:val="center"/>
                </w:tcPr>
                <w:p w14:paraId="319D08E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w:t>
                  </w:r>
                  <w:r>
                    <w:rPr>
                      <w:rFonts w:hint="default" w:ascii="Times New Roman" w:hAnsi="Times New Roman" w:eastAsia="宋体" w:cs="Times New Roman"/>
                      <w:sz w:val="21"/>
                      <w:szCs w:val="21"/>
                      <w:lang w:val="en-US" w:eastAsia="zh-CN"/>
                    </w:rPr>
                    <w:t>根据本次验收现场勘察，</w:t>
                  </w:r>
                  <w:r>
                    <w:rPr>
                      <w:rFonts w:hint="default" w:ascii="Times New Roman" w:hAnsi="Times New Roman" w:eastAsia="宋体" w:cs="Times New Roman"/>
                      <w:bCs/>
                      <w:spacing w:val="-10"/>
                      <w:sz w:val="21"/>
                      <w:szCs w:val="21"/>
                      <w:lang w:val="en-US" w:eastAsia="zh-CN"/>
                    </w:rPr>
                    <w:t>项目厂房内仅设置值班室（不涉及产排污），员工办公依托厂区现有办公楼。</w:t>
                  </w:r>
                  <w:r>
                    <w:rPr>
                      <w:rFonts w:hint="default" w:ascii="Times New Roman" w:hAnsi="Times New Roman" w:eastAsia="宋体" w:cs="Times New Roman"/>
                      <w:bCs/>
                      <w:spacing w:val="-10"/>
                      <w:sz w:val="21"/>
                      <w:szCs w:val="21"/>
                    </w:rPr>
                    <w:t>生活污</w:t>
                  </w:r>
                  <w:r>
                    <w:rPr>
                      <w:rFonts w:hint="default" w:ascii="Times New Roman" w:hAnsi="Times New Roman" w:eastAsia="宋体" w:cs="Times New Roman"/>
                      <w:bCs/>
                      <w:spacing w:val="-10"/>
                      <w:sz w:val="21"/>
                      <w:szCs w:val="21"/>
                      <w:lang w:val="en-US" w:eastAsia="zh-CN"/>
                    </w:rPr>
                    <w:t>水依托厂内三级化粪池，后接入市政污水管网，排入老城污水处理厂（西区）深度处理。无生产废水产排。</w:t>
                  </w:r>
                </w:p>
              </w:tc>
            </w:tr>
            <w:tr w14:paraId="3A81F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dxa"/>
                  <w:vAlign w:val="center"/>
                </w:tcPr>
                <w:p w14:paraId="4E6B4BCC">
                  <w:pPr>
                    <w:pStyle w:val="42"/>
                    <w:keepNext w:val="0"/>
                    <w:keepLines w:val="0"/>
                    <w:pageBreakBefore w:val="0"/>
                    <w:shd w:val="clear" w:color="auto" w:fill="auto"/>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4</w:t>
                  </w:r>
                </w:p>
              </w:tc>
              <w:tc>
                <w:tcPr>
                  <w:tcW w:w="4181" w:type="dxa"/>
                  <w:vAlign w:val="center"/>
                </w:tcPr>
                <w:p w14:paraId="2EDBDE3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200"/>
                    <w:textAlignment w:val="auto"/>
                    <w:rPr>
                      <w:rFonts w:hint="default" w:ascii="Times New Roman" w:hAnsi="Times New Roman" w:eastAsia="宋体" w:cs="Times New Roman"/>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b w:val="0"/>
                      <w:bCs w:val="0"/>
                      <w:sz w:val="21"/>
                      <w:szCs w:val="21"/>
                    </w:rPr>
                    <w:t>(四)落实噪声污染防治措施。优先选用低噪声设备，合理布局，采取基础减振、厂房隔声、设置吸声材料等措施。休息时段禁止高噪声作业，加强对运输以及设备的管理和维护，杜绝因设备不正常运转产生的高噪声现象，确保厂界噪声达标。</w:t>
                  </w:r>
                </w:p>
              </w:tc>
              <w:tc>
                <w:tcPr>
                  <w:tcW w:w="4122" w:type="dxa"/>
                  <w:vAlign w:val="center"/>
                </w:tcPr>
                <w:p w14:paraId="28F783A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w:t>
                  </w:r>
                  <w:r>
                    <w:rPr>
                      <w:rFonts w:hint="default" w:ascii="Times New Roman" w:hAnsi="Times New Roman" w:eastAsia="宋体" w:cs="Times New Roman"/>
                      <w:sz w:val="21"/>
                      <w:szCs w:val="21"/>
                      <w:lang w:val="en-US" w:eastAsia="zh-CN"/>
                    </w:rPr>
                    <w:t>根据本次验收现场勘察，</w:t>
                  </w:r>
                  <w:r>
                    <w:rPr>
                      <w:rFonts w:hint="default" w:ascii="Times New Roman" w:hAnsi="Times New Roman" w:eastAsia="宋体" w:cs="Times New Roman"/>
                      <w:color w:val="000000"/>
                      <w:kern w:val="0"/>
                      <w:sz w:val="21"/>
                      <w:szCs w:val="21"/>
                      <w:lang w:val="en-US" w:eastAsia="zh-CN" w:bidi="ar"/>
                    </w:rPr>
                    <w:t>项目采取封闭厂房隔音，选用低噪声设备，并加装设备基础减振减小噪声产排。根据本次验收监测，</w:t>
                  </w:r>
                  <w:r>
                    <w:rPr>
                      <w:rFonts w:hint="default" w:ascii="Times New Roman" w:hAnsi="Times New Roman" w:eastAsia="宋体" w:cs="Times New Roman"/>
                      <w:sz w:val="21"/>
                      <w:szCs w:val="21"/>
                      <w:lang w:val="en-US" w:eastAsia="zh-CN"/>
                    </w:rPr>
                    <w:t>项目厂界噪声昼夜排放均符合相应标准限值。</w:t>
                  </w:r>
                </w:p>
              </w:tc>
            </w:tr>
            <w:tr w14:paraId="37662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dxa"/>
                  <w:vAlign w:val="center"/>
                </w:tcPr>
                <w:p w14:paraId="274CA16D">
                  <w:pPr>
                    <w:pStyle w:val="42"/>
                    <w:keepNext w:val="0"/>
                    <w:keepLines w:val="0"/>
                    <w:pageBreakBefore w:val="0"/>
                    <w:shd w:val="clear" w:color="auto" w:fill="auto"/>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5</w:t>
                  </w:r>
                </w:p>
              </w:tc>
              <w:tc>
                <w:tcPr>
                  <w:tcW w:w="4181" w:type="dxa"/>
                  <w:vAlign w:val="center"/>
                </w:tcPr>
                <w:p w14:paraId="41D99FD9">
                  <w:pPr>
                    <w:keepNext w:val="0"/>
                    <w:keepLines w:val="0"/>
                    <w:pageBreakBefore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b w:val="0"/>
                      <w:bCs w:val="0"/>
                      <w:sz w:val="21"/>
                      <w:szCs w:val="21"/>
                    </w:rPr>
                    <w:t>(五)落实固体废物分类管理措施。生活垃圾收集后及时交环卫部门清运处理。废发泡料、废边角料收集后暂存于一般固废暂存间，定期外售。废活性炭、废机油等危险废物分类收集，暂存于危废暂存间，落实规范化管理要求，定期交有资质单位处置</w:t>
                  </w:r>
                  <w:r>
                    <w:rPr>
                      <w:rFonts w:hint="default" w:ascii="Times New Roman" w:hAnsi="Times New Roman" w:eastAsia="宋体" w:cs="Times New Roman"/>
                      <w:b w:val="0"/>
                      <w:bCs w:val="0"/>
                      <w:sz w:val="21"/>
                      <w:szCs w:val="21"/>
                      <w:lang w:eastAsia="zh-CN"/>
                    </w:rPr>
                    <w:t>。</w:t>
                  </w:r>
                </w:p>
              </w:tc>
              <w:tc>
                <w:tcPr>
                  <w:tcW w:w="4122" w:type="dxa"/>
                  <w:vAlign w:val="center"/>
                </w:tcPr>
                <w:p w14:paraId="54D62C1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已落实。</w:t>
                  </w:r>
                  <w:r>
                    <w:rPr>
                      <w:rFonts w:hint="default" w:ascii="Times New Roman" w:hAnsi="Times New Roman" w:eastAsia="宋体" w:cs="Times New Roman"/>
                      <w:sz w:val="21"/>
                      <w:szCs w:val="21"/>
                      <w:lang w:val="en-US" w:eastAsia="zh-CN"/>
                    </w:rPr>
                    <w:t>根据本次验收现场勘察，</w:t>
                  </w:r>
                  <w:r>
                    <w:rPr>
                      <w:rFonts w:hint="default" w:ascii="Times New Roman" w:hAnsi="Times New Roman" w:eastAsia="宋体" w:cs="Times New Roman"/>
                      <w:b w:val="0"/>
                      <w:bCs w:val="0"/>
                      <w:kern w:val="2"/>
                      <w:sz w:val="21"/>
                      <w:szCs w:val="21"/>
                      <w:lang w:val="en-US" w:eastAsia="zh-CN" w:bidi="ar-SA"/>
                    </w:rPr>
                    <w:t>项目员工生活垃圾自行收集，交由当地环卫部门清运；废发泡料和废边角料分类收集，外售废品回收公司；危险废物（废机油、废UV灯管</w:t>
                  </w:r>
                  <w:r>
                    <w:rPr>
                      <w:rFonts w:hint="eastAsia" w:ascii="Times New Roman" w:hAnsi="Times New Roman" w:eastAsia="宋体" w:cs="Times New Roman"/>
                      <w:b w:val="0"/>
                      <w:bCs w:val="0"/>
                      <w:kern w:val="2"/>
                      <w:sz w:val="21"/>
                      <w:szCs w:val="21"/>
                      <w:lang w:val="en-US" w:eastAsia="zh-CN" w:bidi="ar-SA"/>
                    </w:rPr>
                    <w:t>、</w:t>
                  </w:r>
                  <w:r>
                    <w:rPr>
                      <w:rFonts w:hint="default" w:ascii="Times New Roman" w:hAnsi="Times New Roman" w:eastAsia="宋体" w:cs="Times New Roman"/>
                      <w:b w:val="0"/>
                      <w:bCs w:val="0"/>
                      <w:kern w:val="2"/>
                      <w:sz w:val="21"/>
                      <w:szCs w:val="21"/>
                      <w:lang w:val="en-US" w:eastAsia="zh-CN" w:bidi="ar-SA"/>
                    </w:rPr>
                    <w:t>废活性炭）等分类收集暂存于危废间，交由海南腾先环保科技有限责任公司（资质单位）处置。一般固废和危险废物暂存处置符合相应标准规范要求。</w:t>
                  </w:r>
                </w:p>
              </w:tc>
            </w:tr>
            <w:tr w14:paraId="06C1C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dxa"/>
                  <w:vAlign w:val="center"/>
                </w:tcPr>
                <w:p w14:paraId="646077B9">
                  <w:pPr>
                    <w:pStyle w:val="42"/>
                    <w:keepNext w:val="0"/>
                    <w:keepLines w:val="0"/>
                    <w:pageBreakBefore w:val="0"/>
                    <w:shd w:val="clear" w:color="auto" w:fill="auto"/>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6</w:t>
                  </w:r>
                </w:p>
              </w:tc>
              <w:tc>
                <w:tcPr>
                  <w:tcW w:w="4181" w:type="dxa"/>
                  <w:vAlign w:val="center"/>
                </w:tcPr>
                <w:p w14:paraId="63DDD024">
                  <w:pPr>
                    <w:keepNext w:val="0"/>
                    <w:keepLines w:val="0"/>
                    <w:pageBreakBefore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b w:val="0"/>
                      <w:bCs w:val="0"/>
                      <w:sz w:val="21"/>
                      <w:szCs w:val="21"/>
                    </w:rPr>
                    <w:t>(六)加强环境风险管理和监测。建立定期巡查、火险报告等制度，按照要求布置消防应急物资。制定环保管理规章制度，配备环保管理人员，确保环保设施正常运行。对生产车间、危废间的发泡料、废机油泄漏事故以及火灾爆炸事故等风险源落实安全管理和风险防范，严格落实《报告表》中提出的环境风险防范措施，编制突发环境事件应急预案。发泡区、危废暂存间及其余厂区地面应按规范要求落实分区防渗措施，防止污染土壤及地下水。严格落实自行监测计划。</w:t>
                  </w:r>
                </w:p>
              </w:tc>
              <w:tc>
                <w:tcPr>
                  <w:tcW w:w="4122" w:type="dxa"/>
                  <w:vAlign w:val="center"/>
                </w:tcPr>
                <w:p w14:paraId="4F86F06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①</w:t>
                  </w:r>
                  <w:r>
                    <w:rPr>
                      <w:rFonts w:hint="default" w:ascii="Times New Roman" w:hAnsi="Times New Roman" w:eastAsia="宋体" w:cs="Times New Roman"/>
                      <w:color w:val="000000"/>
                      <w:kern w:val="0"/>
                      <w:sz w:val="21"/>
                      <w:szCs w:val="21"/>
                      <w:lang w:val="en-US" w:eastAsia="zh-CN" w:bidi="ar"/>
                    </w:rPr>
                    <w:t>已落实。项目已配备环境管理人员、制定环境管理制度；按照环评要求制定企业自行监测计划，后续委托专业单位定期开展。</w:t>
                  </w:r>
                </w:p>
                <w:p w14:paraId="3653323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②</w:t>
                  </w:r>
                  <w:r>
                    <w:rPr>
                      <w:rFonts w:hint="default" w:ascii="Times New Roman" w:hAnsi="Times New Roman" w:eastAsia="宋体" w:cs="Times New Roman"/>
                      <w:b w:val="0"/>
                      <w:bCs w:val="0"/>
                      <w:sz w:val="21"/>
                      <w:szCs w:val="21"/>
                      <w:lang w:val="en-US" w:eastAsia="zh-CN"/>
                    </w:rPr>
                    <w:t>已落实。根据本次验收现场勘察，</w:t>
                  </w:r>
                  <w:r>
                    <w:rPr>
                      <w:rFonts w:hint="default" w:ascii="Times New Roman" w:hAnsi="Times New Roman" w:eastAsia="宋体" w:cs="Times New Roman"/>
                      <w:sz w:val="21"/>
                      <w:szCs w:val="21"/>
                      <w:lang w:val="en-US" w:eastAsia="zh-CN"/>
                    </w:rPr>
                    <w:t>项目发泡料储罐区地面防渗处理，四周设置围堰，确保事故情况下可有效收集到泄漏废料等，事故废料交由资质单位处置；危废间地面防渗处理，四周设置围堰/截流沟，确保事故情况下可有效收集到泄漏废油等，事故废油交由资质单位处置；厂房内设置值班室、监控系统，与相关责任人的手机端互联。出现事故情况及时报告，并采取相关应急措施。同时，企业与厂房管理企业、厂区其他企业及周边企业、当地政府部门建立联动机制，当发生事故时，及时向当地应急、环境等部门上报，及时疏散厂区员工及周围群众。后续企业完善环境风险应急预案，进一步完善落实应急措施。</w:t>
                  </w:r>
                </w:p>
              </w:tc>
            </w:tr>
          </w:tbl>
          <w:p w14:paraId="256EB23D">
            <w:pPr>
              <w:adjustRightInd w:val="0"/>
              <w:snapToGrid w:val="0"/>
              <w:spacing w:line="500" w:lineRule="exact"/>
              <w:ind w:firstLine="482"/>
              <w:rPr>
                <w:rFonts w:ascii="Times New Roman" w:hAnsi="Times New Roman" w:cs="Times New Roman"/>
                <w:b/>
                <w:bCs/>
                <w:sz w:val="24"/>
                <w:highlight w:val="none"/>
              </w:rPr>
            </w:pPr>
            <w:r>
              <w:rPr>
                <w:rFonts w:hint="eastAsia" w:ascii="Times New Roman" w:hAnsi="Times New Roman" w:cs="Times New Roman"/>
                <w:b/>
                <w:bCs/>
                <w:sz w:val="24"/>
                <w:highlight w:val="none"/>
              </w:rPr>
              <w:t>四、</w:t>
            </w:r>
            <w:r>
              <w:rPr>
                <w:rFonts w:ascii="Times New Roman" w:hAnsi="Times New Roman" w:cs="Times New Roman"/>
                <w:b/>
                <w:bCs/>
                <w:sz w:val="24"/>
                <w:highlight w:val="none"/>
              </w:rPr>
              <w:t>项目环保</w:t>
            </w:r>
            <w:r>
              <w:rPr>
                <w:rFonts w:hint="eastAsia" w:ascii="Times New Roman" w:hAnsi="Times New Roman" w:cs="Times New Roman"/>
                <w:b/>
                <w:bCs/>
                <w:sz w:val="24"/>
                <w:highlight w:val="none"/>
              </w:rPr>
              <w:t>措施/</w:t>
            </w:r>
            <w:r>
              <w:rPr>
                <w:rFonts w:ascii="Times New Roman" w:hAnsi="Times New Roman" w:cs="Times New Roman"/>
                <w:b/>
                <w:bCs/>
                <w:sz w:val="24"/>
                <w:highlight w:val="none"/>
              </w:rPr>
              <w:t>投资</w:t>
            </w:r>
            <w:r>
              <w:rPr>
                <w:rFonts w:hint="eastAsia" w:ascii="Times New Roman" w:hAnsi="Times New Roman" w:cs="Times New Roman"/>
                <w:b/>
                <w:bCs/>
                <w:sz w:val="24"/>
                <w:highlight w:val="none"/>
              </w:rPr>
              <w:t>落实情况</w:t>
            </w:r>
          </w:p>
          <w:p w14:paraId="22B89C50">
            <w:pPr>
              <w:pStyle w:val="36"/>
              <w:snapToGrid w:val="0"/>
              <w:spacing w:line="500" w:lineRule="exact"/>
              <w:ind w:firstLine="480" w:firstLineChars="200"/>
              <w:rPr>
                <w:rFonts w:ascii="Times New Roman"/>
                <w:szCs w:val="24"/>
              </w:rPr>
            </w:pPr>
            <w:r>
              <w:rPr>
                <w:rFonts w:ascii="Times New Roman"/>
                <w:szCs w:val="24"/>
              </w:rPr>
              <w:t>项目环评阶段总投资</w:t>
            </w:r>
            <w:r>
              <w:rPr>
                <w:rFonts w:hint="eastAsia" w:ascii="Times New Roman"/>
                <w:szCs w:val="24"/>
              </w:rPr>
              <w:t>概算</w:t>
            </w:r>
            <w:r>
              <w:rPr>
                <w:rFonts w:hint="eastAsia" w:ascii="Times New Roman"/>
                <w:szCs w:val="24"/>
                <w:lang w:val="en-US" w:eastAsia="zh-CN"/>
              </w:rPr>
              <w:t>300</w:t>
            </w:r>
            <w:r>
              <w:rPr>
                <w:rFonts w:ascii="Times New Roman"/>
                <w:szCs w:val="24"/>
              </w:rPr>
              <w:t>万元，</w:t>
            </w:r>
            <w:r>
              <w:rPr>
                <w:rFonts w:hint="eastAsia" w:ascii="Times New Roman"/>
                <w:szCs w:val="24"/>
              </w:rPr>
              <w:t>预计环保投资</w:t>
            </w:r>
            <w:r>
              <w:rPr>
                <w:rFonts w:hint="eastAsia" w:ascii="Times New Roman"/>
                <w:szCs w:val="24"/>
                <w:lang w:val="en-US" w:eastAsia="zh-CN"/>
              </w:rPr>
              <w:t>25</w:t>
            </w:r>
            <w:r>
              <w:rPr>
                <w:rFonts w:hint="eastAsia" w:ascii="Times New Roman"/>
                <w:szCs w:val="24"/>
              </w:rPr>
              <w:t>万元，</w:t>
            </w:r>
            <w:r>
              <w:rPr>
                <w:rFonts w:ascii="Times New Roman"/>
                <w:szCs w:val="24"/>
              </w:rPr>
              <w:t>实际建设总投资</w:t>
            </w:r>
            <w:r>
              <w:rPr>
                <w:rFonts w:hint="eastAsia" w:ascii="Times New Roman"/>
                <w:szCs w:val="24"/>
                <w:lang w:val="en-US" w:eastAsia="zh-CN"/>
              </w:rPr>
              <w:t>350</w:t>
            </w:r>
            <w:r>
              <w:rPr>
                <w:rFonts w:ascii="Times New Roman"/>
                <w:szCs w:val="24"/>
              </w:rPr>
              <w:t>万元</w:t>
            </w:r>
            <w:r>
              <w:rPr>
                <w:rFonts w:hint="eastAsia" w:ascii="Times New Roman"/>
                <w:szCs w:val="24"/>
              </w:rPr>
              <w:t>，</w:t>
            </w:r>
            <w:r>
              <w:rPr>
                <w:rFonts w:ascii="Times New Roman"/>
                <w:szCs w:val="24"/>
              </w:rPr>
              <w:t>其中环保投资</w:t>
            </w:r>
            <w:r>
              <w:rPr>
                <w:rFonts w:hint="eastAsia" w:ascii="Times New Roman"/>
                <w:szCs w:val="24"/>
                <w:lang w:val="en-US" w:eastAsia="zh-CN"/>
              </w:rPr>
              <w:t>32</w:t>
            </w:r>
            <w:r>
              <w:rPr>
                <w:rFonts w:ascii="Times New Roman"/>
                <w:szCs w:val="24"/>
              </w:rPr>
              <w:t>万元，占总投资的</w:t>
            </w:r>
            <w:r>
              <w:rPr>
                <w:rFonts w:hint="eastAsia" w:ascii="Times New Roman"/>
                <w:szCs w:val="24"/>
                <w:lang w:val="en-US" w:eastAsia="zh-CN"/>
              </w:rPr>
              <w:t>9.1</w:t>
            </w:r>
            <w:r>
              <w:rPr>
                <w:rFonts w:ascii="Times New Roman"/>
                <w:szCs w:val="24"/>
              </w:rPr>
              <w:t>%，具体环保投资详见下表。</w:t>
            </w:r>
          </w:p>
          <w:p w14:paraId="1F516DD9">
            <w:pPr>
              <w:adjustRightInd w:val="0"/>
              <w:snapToGrid w:val="0"/>
              <w:spacing w:line="500" w:lineRule="exact"/>
              <w:jc w:val="center"/>
              <w:rPr>
                <w:rFonts w:ascii="Times New Roman" w:hAnsi="Times New Roman" w:cs="Times New Roman"/>
                <w:b/>
                <w:bCs/>
                <w:sz w:val="24"/>
              </w:rPr>
            </w:pPr>
            <w:r>
              <w:rPr>
                <w:rFonts w:ascii="Times New Roman" w:hAnsi="Times New Roman" w:cs="Times New Roman"/>
                <w:b/>
                <w:bCs/>
                <w:sz w:val="24"/>
              </w:rPr>
              <w:t>表</w:t>
            </w:r>
            <w:r>
              <w:rPr>
                <w:rFonts w:hint="eastAsia" w:ascii="Times New Roman" w:hAnsi="Times New Roman" w:cs="Times New Roman"/>
                <w:b/>
                <w:bCs/>
                <w:sz w:val="24"/>
              </w:rPr>
              <w:t>4-3</w:t>
            </w:r>
            <w:r>
              <w:rPr>
                <w:rFonts w:ascii="Times New Roman" w:hAnsi="Times New Roman" w:cs="Times New Roman"/>
                <w:b/>
                <w:bCs/>
                <w:sz w:val="24"/>
              </w:rPr>
              <w:t>项目环保投资估算一览表</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1"/>
              <w:gridCol w:w="3495"/>
              <w:gridCol w:w="3210"/>
              <w:gridCol w:w="1108"/>
            </w:tblGrid>
            <w:tr w14:paraId="2F5EB7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186" w:type="dxa"/>
                  <w:gridSpan w:val="2"/>
                  <w:vAlign w:val="center"/>
                </w:tcPr>
                <w:p w14:paraId="11EFEDEF">
                  <w:pPr>
                    <w:tabs>
                      <w:tab w:val="center" w:pos="4153"/>
                      <w:tab w:val="right" w:pos="8306"/>
                    </w:tabs>
                    <w:adjustRightInd w:val="0"/>
                    <w:snapToGrid w:val="0"/>
                    <w:jc w:val="center"/>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污染源</w:t>
                  </w:r>
                </w:p>
              </w:tc>
              <w:tc>
                <w:tcPr>
                  <w:tcW w:w="3210" w:type="dxa"/>
                  <w:vAlign w:val="center"/>
                </w:tcPr>
                <w:p w14:paraId="3C87A3F8">
                  <w:pPr>
                    <w:tabs>
                      <w:tab w:val="center" w:pos="4153"/>
                      <w:tab w:val="right" w:pos="8306"/>
                    </w:tabs>
                    <w:adjustRightInd w:val="0"/>
                    <w:snapToGrid w:val="0"/>
                    <w:jc w:val="center"/>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污染防治措施</w:t>
                  </w:r>
                </w:p>
              </w:tc>
              <w:tc>
                <w:tcPr>
                  <w:tcW w:w="1108" w:type="dxa"/>
                  <w:vAlign w:val="center"/>
                </w:tcPr>
                <w:p w14:paraId="3AAA3923">
                  <w:pPr>
                    <w:tabs>
                      <w:tab w:val="center" w:pos="4153"/>
                      <w:tab w:val="right" w:pos="8306"/>
                    </w:tabs>
                    <w:adjustRightInd w:val="0"/>
                    <w:snapToGrid w:val="0"/>
                    <w:jc w:val="center"/>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环保投资(万元)</w:t>
                  </w:r>
                </w:p>
              </w:tc>
            </w:tr>
            <w:tr w14:paraId="3E90D5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Align w:val="center"/>
                </w:tcPr>
                <w:p w14:paraId="5FB65826">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废水</w:t>
                  </w:r>
                </w:p>
              </w:tc>
              <w:tc>
                <w:tcPr>
                  <w:tcW w:w="3495" w:type="dxa"/>
                  <w:vAlign w:val="center"/>
                </w:tcPr>
                <w:p w14:paraId="71609566">
                  <w:pPr>
                    <w:widowControl/>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bCs/>
                      <w:szCs w:val="21"/>
                    </w:rPr>
                    <w:t>生活污水</w:t>
                  </w:r>
                </w:p>
              </w:tc>
              <w:tc>
                <w:tcPr>
                  <w:tcW w:w="3210" w:type="dxa"/>
                  <w:vAlign w:val="center"/>
                </w:tcPr>
                <w:p w14:paraId="215063F7">
                  <w:pPr>
                    <w:tabs>
                      <w:tab w:val="center" w:pos="4153"/>
                      <w:tab w:val="right" w:pos="8306"/>
                    </w:tabs>
                    <w:adjustRightInd w:val="0"/>
                    <w:snapToGrid w:val="0"/>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三级化粪池（依托）</w:t>
                  </w:r>
                </w:p>
              </w:tc>
              <w:tc>
                <w:tcPr>
                  <w:tcW w:w="1108" w:type="dxa"/>
                  <w:vAlign w:val="center"/>
                </w:tcPr>
                <w:p w14:paraId="2417C297">
                  <w:pPr>
                    <w:tabs>
                      <w:tab w:val="center" w:pos="4153"/>
                      <w:tab w:val="right" w:pos="8306"/>
                    </w:tabs>
                    <w:adjustRightInd w:val="0"/>
                    <w:snapToGrid w:val="0"/>
                    <w:jc w:val="center"/>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rPr>
                    <w:t>-</w:t>
                  </w:r>
                </w:p>
              </w:tc>
            </w:tr>
            <w:tr w14:paraId="734345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Align w:val="center"/>
                </w:tcPr>
                <w:p w14:paraId="5564F7BF">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废气</w:t>
                  </w:r>
                </w:p>
              </w:tc>
              <w:tc>
                <w:tcPr>
                  <w:tcW w:w="3495" w:type="dxa"/>
                  <w:vAlign w:val="center"/>
                </w:tcPr>
                <w:p w14:paraId="1D8141CA">
                  <w:pPr>
                    <w:widowControl/>
                    <w:adjustRightInd w:val="0"/>
                    <w:snapToGrid w:val="0"/>
                    <w:jc w:val="center"/>
                    <w:rPr>
                      <w:rFonts w:ascii="Times New Roman" w:hAnsi="Times New Roman" w:eastAsia="宋体" w:cs="Times New Roman"/>
                      <w:szCs w:val="21"/>
                    </w:rPr>
                  </w:pPr>
                  <w:r>
                    <w:rPr>
                      <w:rFonts w:ascii="Times New Roman" w:hAnsi="Times New Roman" w:eastAsia="宋体" w:cs="Times New Roman"/>
                      <w:color w:val="000000"/>
                      <w:szCs w:val="21"/>
                    </w:rPr>
                    <w:t>生产废气</w:t>
                  </w:r>
                  <w:r>
                    <w:rPr>
                      <w:rFonts w:hint="eastAsia" w:ascii="Times New Roman" w:hAnsi="Times New Roman" w:eastAsia="宋体" w:cs="Times New Roman"/>
                      <w:color w:val="000000"/>
                      <w:szCs w:val="21"/>
                    </w:rPr>
                    <w:t>（</w:t>
                  </w:r>
                  <w:r>
                    <w:rPr>
                      <w:rFonts w:hint="eastAsia" w:ascii="Times New Roman" w:hAnsi="Times New Roman" w:eastAsia="宋体" w:cs="Times New Roman"/>
                      <w:color w:val="000000"/>
                      <w:szCs w:val="21"/>
                      <w:lang w:val="en-US" w:eastAsia="zh-CN"/>
                    </w:rPr>
                    <w:t>发泡</w:t>
                  </w:r>
                  <w:r>
                    <w:rPr>
                      <w:rFonts w:hint="eastAsia" w:ascii="Times New Roman" w:hAnsi="Times New Roman" w:eastAsia="宋体" w:cs="Times New Roman"/>
                      <w:color w:val="000000"/>
                      <w:szCs w:val="21"/>
                    </w:rPr>
                    <w:t>废气）</w:t>
                  </w:r>
                </w:p>
              </w:tc>
              <w:tc>
                <w:tcPr>
                  <w:tcW w:w="3210" w:type="dxa"/>
                  <w:vAlign w:val="center"/>
                </w:tcPr>
                <w:p w14:paraId="02C5AF57">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集气罩+排气管道</w:t>
                  </w:r>
                  <w:r>
                    <w:rPr>
                      <w:rFonts w:hint="eastAsia" w:ascii="Times New Roman" w:hAnsi="Times New Roman" w:eastAsia="宋体" w:cs="Times New Roman"/>
                      <w:color w:val="000000"/>
                      <w:szCs w:val="21"/>
                    </w:rPr>
                    <w:t>、</w:t>
                  </w:r>
                  <w:r>
                    <w:rPr>
                      <w:rFonts w:hint="eastAsia" w:ascii="Times New Roman" w:hAnsi="Times New Roman" w:eastAsia="宋体" w:cs="Times New Roman"/>
                      <w:color w:val="000000"/>
                      <w:szCs w:val="21"/>
                      <w:lang w:val="en-US" w:eastAsia="zh-CN"/>
                    </w:rPr>
                    <w:t>UV光解+二级活性炭吸附</w:t>
                  </w:r>
                  <w:r>
                    <w:rPr>
                      <w:rFonts w:hint="eastAsia" w:ascii="Times New Roman" w:hAnsi="Times New Roman" w:eastAsia="宋体" w:cs="Times New Roman"/>
                      <w:color w:val="000000"/>
                      <w:szCs w:val="21"/>
                    </w:rPr>
                    <w:t>、排气筒</w:t>
                  </w:r>
                </w:p>
              </w:tc>
              <w:tc>
                <w:tcPr>
                  <w:tcW w:w="1108" w:type="dxa"/>
                  <w:vAlign w:val="center"/>
                </w:tcPr>
                <w:p w14:paraId="74E43E9F">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27</w:t>
                  </w:r>
                </w:p>
              </w:tc>
            </w:tr>
            <w:tr w14:paraId="4CADE6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Align w:val="center"/>
                </w:tcPr>
                <w:p w14:paraId="76CBA4D6">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噪声</w:t>
                  </w:r>
                </w:p>
              </w:tc>
              <w:tc>
                <w:tcPr>
                  <w:tcW w:w="3495" w:type="dxa"/>
                  <w:vAlign w:val="center"/>
                </w:tcPr>
                <w:p w14:paraId="7D7FAD22">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设备噪声、</w:t>
                  </w:r>
                  <w:r>
                    <w:rPr>
                      <w:rFonts w:hint="eastAsia" w:ascii="Times New Roman" w:hAnsi="Times New Roman" w:eastAsia="宋体" w:cs="Times New Roman"/>
                      <w:color w:val="000000"/>
                      <w:szCs w:val="21"/>
                    </w:rPr>
                    <w:t>生产</w:t>
                  </w:r>
                  <w:r>
                    <w:rPr>
                      <w:rFonts w:ascii="Times New Roman" w:hAnsi="Times New Roman" w:eastAsia="宋体" w:cs="Times New Roman"/>
                      <w:color w:val="000000"/>
                      <w:szCs w:val="21"/>
                    </w:rPr>
                    <w:t>噪声</w:t>
                  </w:r>
                </w:p>
              </w:tc>
              <w:tc>
                <w:tcPr>
                  <w:tcW w:w="3210" w:type="dxa"/>
                  <w:vAlign w:val="center"/>
                </w:tcPr>
                <w:p w14:paraId="2621FA3F">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基础减震、</w:t>
                  </w:r>
                  <w:r>
                    <w:rPr>
                      <w:rFonts w:hint="eastAsia" w:ascii="Times New Roman" w:hAnsi="Times New Roman" w:eastAsia="宋体" w:cs="Times New Roman"/>
                      <w:color w:val="000000"/>
                      <w:szCs w:val="21"/>
                    </w:rPr>
                    <w:t>车间隔断</w:t>
                  </w:r>
                </w:p>
              </w:tc>
              <w:tc>
                <w:tcPr>
                  <w:tcW w:w="1108" w:type="dxa"/>
                  <w:vAlign w:val="center"/>
                </w:tcPr>
                <w:p w14:paraId="008A1756">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1.5</w:t>
                  </w:r>
                </w:p>
              </w:tc>
            </w:tr>
            <w:tr w14:paraId="700EDA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Merge w:val="restart"/>
                  <w:vAlign w:val="center"/>
                </w:tcPr>
                <w:p w14:paraId="4672A4C9">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固废</w:t>
                  </w:r>
                </w:p>
              </w:tc>
              <w:tc>
                <w:tcPr>
                  <w:tcW w:w="3495" w:type="dxa"/>
                  <w:vAlign w:val="center"/>
                </w:tcPr>
                <w:p w14:paraId="37289819">
                  <w:pPr>
                    <w:adjustRightInd w:val="0"/>
                    <w:snapToGrid w:val="0"/>
                    <w:jc w:val="center"/>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一般固废</w:t>
                  </w:r>
                </w:p>
              </w:tc>
              <w:tc>
                <w:tcPr>
                  <w:tcW w:w="3210" w:type="dxa"/>
                  <w:vAlign w:val="center"/>
                </w:tcPr>
                <w:p w14:paraId="2B5FD232">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ascii="Times New Roman" w:hAnsi="Times New Roman" w:eastAsia="宋体" w:cs="Times New Roman"/>
                      <w:color w:val="000000"/>
                      <w:szCs w:val="21"/>
                    </w:rPr>
                    <w:t>废品收集袋</w:t>
                  </w:r>
                  <w:r>
                    <w:rPr>
                      <w:rFonts w:hint="eastAsia" w:ascii="Times New Roman" w:hAnsi="Times New Roman" w:eastAsia="宋体" w:cs="Times New Roman"/>
                      <w:color w:val="000000"/>
                      <w:szCs w:val="21"/>
                    </w:rPr>
                    <w:t>、</w:t>
                  </w:r>
                  <w:r>
                    <w:rPr>
                      <w:rFonts w:ascii="Times New Roman" w:hAnsi="Times New Roman" w:eastAsia="宋体" w:cs="Times New Roman"/>
                      <w:color w:val="000000"/>
                      <w:szCs w:val="21"/>
                    </w:rPr>
                    <w:t>垃圾收集箱</w:t>
                  </w:r>
                  <w:r>
                    <w:rPr>
                      <w:rFonts w:hint="eastAsia" w:ascii="Times New Roman" w:hAnsi="Times New Roman" w:eastAsia="宋体" w:cs="Times New Roman"/>
                      <w:color w:val="000000"/>
                      <w:szCs w:val="21"/>
                      <w:lang w:eastAsia="zh-CN"/>
                    </w:rPr>
                    <w:t>、</w:t>
                  </w:r>
                  <w:r>
                    <w:rPr>
                      <w:rFonts w:hint="eastAsia" w:ascii="Times New Roman" w:hAnsi="Times New Roman" w:eastAsia="宋体" w:cs="Times New Roman"/>
                      <w:color w:val="000000"/>
                      <w:szCs w:val="21"/>
                      <w:lang w:val="en-US" w:eastAsia="zh-CN"/>
                    </w:rPr>
                    <w:t>一般固废间</w:t>
                  </w:r>
                </w:p>
              </w:tc>
              <w:tc>
                <w:tcPr>
                  <w:tcW w:w="1108" w:type="dxa"/>
                  <w:vAlign w:val="center"/>
                </w:tcPr>
                <w:p w14:paraId="160F9D36">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1.4</w:t>
                  </w:r>
                </w:p>
              </w:tc>
            </w:tr>
            <w:tr w14:paraId="3B9BF0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Merge w:val="continue"/>
                  <w:vAlign w:val="center"/>
                </w:tcPr>
                <w:p w14:paraId="04DA03A9">
                  <w:pPr>
                    <w:tabs>
                      <w:tab w:val="center" w:pos="4153"/>
                      <w:tab w:val="right" w:pos="8306"/>
                    </w:tabs>
                    <w:adjustRightInd w:val="0"/>
                    <w:snapToGrid w:val="0"/>
                    <w:jc w:val="center"/>
                    <w:rPr>
                      <w:rFonts w:ascii="Times New Roman" w:hAnsi="Times New Roman" w:eastAsia="宋体" w:cs="Times New Roman"/>
                      <w:color w:val="000000"/>
                      <w:szCs w:val="21"/>
                    </w:rPr>
                  </w:pPr>
                </w:p>
              </w:tc>
              <w:tc>
                <w:tcPr>
                  <w:tcW w:w="3495" w:type="dxa"/>
                  <w:vAlign w:val="center"/>
                </w:tcPr>
                <w:p w14:paraId="3ACB20B8">
                  <w:pPr>
                    <w:widowControl/>
                    <w:adjustRightInd w:val="0"/>
                    <w:snapToGrid w:val="0"/>
                    <w:jc w:val="center"/>
                    <w:rPr>
                      <w:rFonts w:hint="eastAsia"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危险废物</w:t>
                  </w:r>
                </w:p>
              </w:tc>
              <w:tc>
                <w:tcPr>
                  <w:tcW w:w="3210" w:type="dxa"/>
                  <w:vAlign w:val="center"/>
                </w:tcPr>
                <w:p w14:paraId="1DB300C6">
                  <w:pPr>
                    <w:tabs>
                      <w:tab w:val="center" w:pos="4153"/>
                      <w:tab w:val="right" w:pos="8306"/>
                    </w:tabs>
                    <w:adjustRightInd w:val="0"/>
                    <w:snapToGrid w:val="0"/>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专用收集容器、危废处置</w:t>
                  </w:r>
                  <w:r>
                    <w:rPr>
                      <w:rFonts w:hint="eastAsia" w:ascii="Times New Roman" w:hAnsi="Times New Roman" w:eastAsia="宋体" w:cs="Times New Roman"/>
                      <w:color w:val="000000"/>
                      <w:szCs w:val="21"/>
                      <w:lang w:val="en-US" w:eastAsia="zh-CN"/>
                    </w:rPr>
                    <w:t>及协议</w:t>
                  </w:r>
                  <w:r>
                    <w:rPr>
                      <w:rFonts w:hint="eastAsia" w:ascii="Times New Roman" w:hAnsi="Times New Roman" w:eastAsia="宋体" w:cs="Times New Roman"/>
                      <w:color w:val="000000"/>
                      <w:szCs w:val="21"/>
                    </w:rPr>
                    <w:t>、危废间</w:t>
                  </w:r>
                </w:p>
              </w:tc>
              <w:tc>
                <w:tcPr>
                  <w:tcW w:w="1108" w:type="dxa"/>
                  <w:vAlign w:val="center"/>
                </w:tcPr>
                <w:p w14:paraId="77315BCE">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2.1</w:t>
                  </w:r>
                </w:p>
              </w:tc>
            </w:tr>
            <w:tr w14:paraId="2C3DBD2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Align w:val="center"/>
                </w:tcPr>
                <w:p w14:paraId="686C62ED">
                  <w:pPr>
                    <w:tabs>
                      <w:tab w:val="center" w:pos="4153"/>
                      <w:tab w:val="right" w:pos="8306"/>
                    </w:tabs>
                    <w:adjustRightInd w:val="0"/>
                    <w:snapToGrid w:val="0"/>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环境风险</w:t>
                  </w:r>
                </w:p>
              </w:tc>
              <w:tc>
                <w:tcPr>
                  <w:tcW w:w="6705" w:type="dxa"/>
                  <w:gridSpan w:val="2"/>
                  <w:vAlign w:val="center"/>
                </w:tcPr>
                <w:p w14:paraId="211C0EA4">
                  <w:pPr>
                    <w:tabs>
                      <w:tab w:val="center" w:pos="4153"/>
                      <w:tab w:val="right" w:pos="8306"/>
                    </w:tabs>
                    <w:adjustRightInd w:val="0"/>
                    <w:snapToGrid w:val="0"/>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地面防渗、</w:t>
                  </w:r>
                  <w:r>
                    <w:rPr>
                      <w:rFonts w:hint="eastAsia" w:ascii="Times New Roman" w:hAnsi="Times New Roman" w:eastAsia="宋体" w:cs="Times New Roman"/>
                      <w:color w:val="000000"/>
                      <w:szCs w:val="21"/>
                      <w:lang w:val="en-US" w:eastAsia="zh-CN"/>
                    </w:rPr>
                    <w:t>围堰、截流沟、</w:t>
                  </w:r>
                  <w:r>
                    <w:rPr>
                      <w:rFonts w:hint="eastAsia" w:ascii="Times New Roman" w:hAnsi="Times New Roman" w:eastAsia="宋体" w:cs="Times New Roman"/>
                      <w:color w:val="000000"/>
                      <w:szCs w:val="21"/>
                    </w:rPr>
                    <w:t>应急物资等</w:t>
                  </w:r>
                </w:p>
              </w:tc>
              <w:tc>
                <w:tcPr>
                  <w:tcW w:w="1108" w:type="dxa"/>
                  <w:vAlign w:val="center"/>
                </w:tcPr>
                <w:p w14:paraId="4C6A7CAC">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0.4</w:t>
                  </w:r>
                </w:p>
              </w:tc>
            </w:tr>
            <w:tr w14:paraId="5E40AD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691" w:type="dxa"/>
                  <w:vAlign w:val="center"/>
                </w:tcPr>
                <w:p w14:paraId="578F80BA">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其他</w:t>
                  </w:r>
                </w:p>
              </w:tc>
              <w:tc>
                <w:tcPr>
                  <w:tcW w:w="6705" w:type="dxa"/>
                  <w:gridSpan w:val="2"/>
                  <w:vAlign w:val="center"/>
                </w:tcPr>
                <w:p w14:paraId="374A3271">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环境管理</w:t>
                  </w:r>
                  <w:r>
                    <w:rPr>
                      <w:rFonts w:hint="eastAsia" w:ascii="Times New Roman" w:hAnsi="Times New Roman" w:eastAsia="宋体" w:cs="Times New Roman"/>
                      <w:color w:val="000000"/>
                      <w:szCs w:val="21"/>
                    </w:rPr>
                    <w:t>、环境</w:t>
                  </w:r>
                  <w:r>
                    <w:rPr>
                      <w:rFonts w:ascii="Times New Roman" w:hAnsi="Times New Roman" w:eastAsia="宋体" w:cs="Times New Roman"/>
                      <w:color w:val="000000"/>
                      <w:szCs w:val="21"/>
                    </w:rPr>
                    <w:t>监测</w:t>
                  </w:r>
                </w:p>
              </w:tc>
              <w:tc>
                <w:tcPr>
                  <w:tcW w:w="1108" w:type="dxa"/>
                  <w:vAlign w:val="center"/>
                </w:tcPr>
                <w:p w14:paraId="347DEED8">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w:t>
                  </w:r>
                </w:p>
              </w:tc>
            </w:tr>
            <w:tr w14:paraId="7073E90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396" w:type="dxa"/>
                  <w:gridSpan w:val="3"/>
                  <w:vAlign w:val="center"/>
                </w:tcPr>
                <w:p w14:paraId="724C3FCA">
                  <w:pPr>
                    <w:tabs>
                      <w:tab w:val="center" w:pos="4153"/>
                      <w:tab w:val="right" w:pos="8306"/>
                    </w:tabs>
                    <w:adjustRightInd w:val="0"/>
                    <w:snapToGrid w:val="0"/>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合计</w:t>
                  </w:r>
                </w:p>
              </w:tc>
              <w:tc>
                <w:tcPr>
                  <w:tcW w:w="1108" w:type="dxa"/>
                  <w:vAlign w:val="center"/>
                </w:tcPr>
                <w:p w14:paraId="72382F1A">
                  <w:pPr>
                    <w:tabs>
                      <w:tab w:val="center" w:pos="4153"/>
                      <w:tab w:val="right" w:pos="8306"/>
                    </w:tabs>
                    <w:adjustRightInd w:val="0"/>
                    <w:snapToGrid w:val="0"/>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32</w:t>
                  </w:r>
                </w:p>
              </w:tc>
            </w:tr>
          </w:tbl>
          <w:p w14:paraId="29C0E4F4">
            <w:pPr>
              <w:rPr>
                <w:rFonts w:ascii="Times New Roman" w:hAnsi="Times New Roman" w:cs="Times New Roman"/>
                <w:color w:val="000000" w:themeColor="text1"/>
                <w14:textFill>
                  <w14:solidFill>
                    <w14:schemeClr w14:val="tx1"/>
                  </w14:solidFill>
                </w14:textFill>
              </w:rPr>
            </w:pPr>
          </w:p>
          <w:p w14:paraId="681C2BE5">
            <w:pPr>
              <w:pStyle w:val="28"/>
              <w:rPr>
                <w:rFonts w:hAnsi="Times New Roman" w:cs="Times New Roman"/>
                <w:color w:val="000000" w:themeColor="text1"/>
                <w14:textFill>
                  <w14:solidFill>
                    <w14:schemeClr w14:val="tx1"/>
                  </w14:solidFill>
                </w14:textFill>
              </w:rPr>
            </w:pPr>
          </w:p>
          <w:p w14:paraId="7DE75868">
            <w:pPr>
              <w:rPr>
                <w:rFonts w:hAnsi="Times New Roman" w:cs="Times New Roman"/>
                <w:color w:val="000000" w:themeColor="text1"/>
                <w14:textFill>
                  <w14:solidFill>
                    <w14:schemeClr w14:val="tx1"/>
                  </w14:solidFill>
                </w14:textFill>
              </w:rPr>
            </w:pPr>
          </w:p>
          <w:p w14:paraId="6D628126">
            <w:pPr>
              <w:rPr>
                <w:rFonts w:hAnsi="Times New Roman" w:cs="Times New Roman"/>
                <w:color w:val="000000" w:themeColor="text1"/>
                <w14:textFill>
                  <w14:solidFill>
                    <w14:schemeClr w14:val="tx1"/>
                  </w14:solidFill>
                </w14:textFill>
              </w:rPr>
            </w:pPr>
          </w:p>
          <w:p w14:paraId="435F88D6">
            <w:pPr>
              <w:rPr>
                <w:rFonts w:hAnsi="Times New Roman" w:cs="Times New Roman"/>
                <w:color w:val="000000" w:themeColor="text1"/>
                <w14:textFill>
                  <w14:solidFill>
                    <w14:schemeClr w14:val="tx1"/>
                  </w14:solidFill>
                </w14:textFill>
              </w:rPr>
            </w:pPr>
          </w:p>
          <w:p w14:paraId="5B0CF49B">
            <w:pPr>
              <w:rPr>
                <w:rFonts w:hAnsi="Times New Roman" w:cs="Times New Roman"/>
                <w:color w:val="000000" w:themeColor="text1"/>
                <w14:textFill>
                  <w14:solidFill>
                    <w14:schemeClr w14:val="tx1"/>
                  </w14:solidFill>
                </w14:textFill>
              </w:rPr>
            </w:pPr>
          </w:p>
          <w:p w14:paraId="4036D8FF">
            <w:pPr>
              <w:rPr>
                <w:rFonts w:hAnsi="Times New Roman" w:cs="Times New Roman"/>
                <w:color w:val="000000" w:themeColor="text1"/>
                <w14:textFill>
                  <w14:solidFill>
                    <w14:schemeClr w14:val="tx1"/>
                  </w14:solidFill>
                </w14:textFill>
              </w:rPr>
            </w:pPr>
          </w:p>
          <w:p w14:paraId="03362D76">
            <w:pPr>
              <w:rPr>
                <w:rFonts w:hAnsi="Times New Roman" w:cs="Times New Roman"/>
                <w:color w:val="000000" w:themeColor="text1"/>
                <w14:textFill>
                  <w14:solidFill>
                    <w14:schemeClr w14:val="tx1"/>
                  </w14:solidFill>
                </w14:textFill>
              </w:rPr>
            </w:pPr>
          </w:p>
          <w:p w14:paraId="41534734">
            <w:pPr>
              <w:rPr>
                <w:rFonts w:hAnsi="Times New Roman" w:cs="Times New Roman"/>
                <w:color w:val="000000" w:themeColor="text1"/>
                <w14:textFill>
                  <w14:solidFill>
                    <w14:schemeClr w14:val="tx1"/>
                  </w14:solidFill>
                </w14:textFill>
              </w:rPr>
            </w:pPr>
          </w:p>
          <w:p w14:paraId="4EDFB978">
            <w:pPr>
              <w:rPr>
                <w:rFonts w:hAnsi="Times New Roman" w:cs="Times New Roman"/>
                <w:color w:val="000000" w:themeColor="text1"/>
                <w14:textFill>
                  <w14:solidFill>
                    <w14:schemeClr w14:val="tx1"/>
                  </w14:solidFill>
                </w14:textFill>
              </w:rPr>
            </w:pPr>
          </w:p>
          <w:p w14:paraId="16BD4BA7">
            <w:pPr>
              <w:rPr>
                <w:rFonts w:hAnsi="Times New Roman" w:cs="Times New Roman"/>
                <w:color w:val="000000" w:themeColor="text1"/>
                <w14:textFill>
                  <w14:solidFill>
                    <w14:schemeClr w14:val="tx1"/>
                  </w14:solidFill>
                </w14:textFill>
              </w:rPr>
            </w:pPr>
          </w:p>
          <w:p w14:paraId="792F8A2E">
            <w:pPr>
              <w:rPr>
                <w:rFonts w:hAnsi="Times New Roman" w:cs="Times New Roman"/>
                <w:color w:val="000000" w:themeColor="text1"/>
                <w14:textFill>
                  <w14:solidFill>
                    <w14:schemeClr w14:val="tx1"/>
                  </w14:solidFill>
                </w14:textFill>
              </w:rPr>
            </w:pPr>
          </w:p>
          <w:p w14:paraId="19A5DB8C">
            <w:pPr>
              <w:rPr>
                <w:rFonts w:hAnsi="Times New Roman" w:cs="Times New Roman"/>
                <w:color w:val="000000" w:themeColor="text1"/>
                <w14:textFill>
                  <w14:solidFill>
                    <w14:schemeClr w14:val="tx1"/>
                  </w14:solidFill>
                </w14:textFill>
              </w:rPr>
            </w:pPr>
          </w:p>
          <w:p w14:paraId="16FCCB6F">
            <w:pPr>
              <w:rPr>
                <w:rFonts w:hAnsi="Times New Roman" w:cs="Times New Roman"/>
                <w:color w:val="000000" w:themeColor="text1"/>
                <w14:textFill>
                  <w14:solidFill>
                    <w14:schemeClr w14:val="tx1"/>
                  </w14:solidFill>
                </w14:textFill>
              </w:rPr>
            </w:pPr>
          </w:p>
          <w:p w14:paraId="662C6737">
            <w:pPr>
              <w:rPr>
                <w:rFonts w:hAnsi="Times New Roman" w:cs="Times New Roman"/>
                <w:color w:val="000000" w:themeColor="text1"/>
                <w14:textFill>
                  <w14:solidFill>
                    <w14:schemeClr w14:val="tx1"/>
                  </w14:solidFill>
                </w14:textFill>
              </w:rPr>
            </w:pPr>
          </w:p>
          <w:p w14:paraId="60178B07">
            <w:pPr>
              <w:rPr>
                <w:rFonts w:hAnsi="Times New Roman" w:cs="Times New Roman"/>
                <w:color w:val="000000" w:themeColor="text1"/>
                <w14:textFill>
                  <w14:solidFill>
                    <w14:schemeClr w14:val="tx1"/>
                  </w14:solidFill>
                </w14:textFill>
              </w:rPr>
            </w:pPr>
          </w:p>
          <w:p w14:paraId="01614D1B">
            <w:pPr>
              <w:rPr>
                <w:rFonts w:hAnsi="Times New Roman" w:cs="Times New Roman"/>
                <w:color w:val="000000" w:themeColor="text1"/>
                <w14:textFill>
                  <w14:solidFill>
                    <w14:schemeClr w14:val="tx1"/>
                  </w14:solidFill>
                </w14:textFill>
              </w:rPr>
            </w:pPr>
          </w:p>
          <w:p w14:paraId="6E62E191">
            <w:pPr>
              <w:rPr>
                <w:rFonts w:hAnsi="Times New Roman" w:cs="Times New Roman"/>
                <w:color w:val="000000" w:themeColor="text1"/>
                <w14:textFill>
                  <w14:solidFill>
                    <w14:schemeClr w14:val="tx1"/>
                  </w14:solidFill>
                </w14:textFill>
              </w:rPr>
            </w:pPr>
          </w:p>
          <w:p w14:paraId="76483A45">
            <w:pPr>
              <w:rPr>
                <w:rFonts w:hAnsi="Times New Roman" w:cs="Times New Roman"/>
                <w:color w:val="000000" w:themeColor="text1"/>
                <w14:textFill>
                  <w14:solidFill>
                    <w14:schemeClr w14:val="tx1"/>
                  </w14:solidFill>
                </w14:textFill>
              </w:rPr>
            </w:pPr>
          </w:p>
          <w:p w14:paraId="1396B2F5">
            <w:pPr>
              <w:rPr>
                <w:rFonts w:hAnsi="Times New Roman" w:cs="Times New Roman"/>
                <w:color w:val="000000" w:themeColor="text1"/>
                <w14:textFill>
                  <w14:solidFill>
                    <w14:schemeClr w14:val="tx1"/>
                  </w14:solidFill>
                </w14:textFill>
              </w:rPr>
            </w:pPr>
          </w:p>
          <w:p w14:paraId="51CFA8CC">
            <w:pPr>
              <w:rPr>
                <w:rFonts w:hAnsi="Times New Roman" w:cs="Times New Roman"/>
                <w:color w:val="000000" w:themeColor="text1"/>
                <w14:textFill>
                  <w14:solidFill>
                    <w14:schemeClr w14:val="tx1"/>
                  </w14:solidFill>
                </w14:textFill>
              </w:rPr>
            </w:pPr>
          </w:p>
          <w:p w14:paraId="62FCBDD2">
            <w:pPr>
              <w:rPr>
                <w:rFonts w:hAnsi="Times New Roman" w:cs="Times New Roman"/>
                <w:color w:val="000000" w:themeColor="text1"/>
                <w14:textFill>
                  <w14:solidFill>
                    <w14:schemeClr w14:val="tx1"/>
                  </w14:solidFill>
                </w14:textFill>
              </w:rPr>
            </w:pPr>
          </w:p>
          <w:p w14:paraId="645CC446">
            <w:pPr>
              <w:rPr>
                <w:rFonts w:hAnsi="Times New Roman" w:cs="Times New Roman"/>
                <w:color w:val="000000" w:themeColor="text1"/>
                <w14:textFill>
                  <w14:solidFill>
                    <w14:schemeClr w14:val="tx1"/>
                  </w14:solidFill>
                </w14:textFill>
              </w:rPr>
            </w:pPr>
          </w:p>
          <w:p w14:paraId="28AAC057">
            <w:pPr>
              <w:rPr>
                <w:rFonts w:hAnsi="Times New Roman" w:cs="Times New Roman"/>
                <w:color w:val="000000" w:themeColor="text1"/>
                <w14:textFill>
                  <w14:solidFill>
                    <w14:schemeClr w14:val="tx1"/>
                  </w14:solidFill>
                </w14:textFill>
              </w:rPr>
            </w:pPr>
          </w:p>
          <w:p w14:paraId="597C465A">
            <w:pPr>
              <w:rPr>
                <w:rFonts w:hAnsi="Times New Roman" w:cs="Times New Roman"/>
                <w:color w:val="000000" w:themeColor="text1"/>
                <w14:textFill>
                  <w14:solidFill>
                    <w14:schemeClr w14:val="tx1"/>
                  </w14:solidFill>
                </w14:textFill>
              </w:rPr>
            </w:pPr>
          </w:p>
          <w:p w14:paraId="395D865C">
            <w:pPr>
              <w:rPr>
                <w:rFonts w:hAnsi="Times New Roman" w:cs="Times New Roman"/>
                <w:color w:val="000000" w:themeColor="text1"/>
                <w14:textFill>
                  <w14:solidFill>
                    <w14:schemeClr w14:val="tx1"/>
                  </w14:solidFill>
                </w14:textFill>
              </w:rPr>
            </w:pPr>
          </w:p>
          <w:p w14:paraId="2752A03B">
            <w:pPr>
              <w:rPr>
                <w:rFonts w:hAnsi="Times New Roman" w:cs="Times New Roman"/>
                <w:color w:val="000000" w:themeColor="text1"/>
                <w14:textFill>
                  <w14:solidFill>
                    <w14:schemeClr w14:val="tx1"/>
                  </w14:solidFill>
                </w14:textFill>
              </w:rPr>
            </w:pPr>
          </w:p>
          <w:p w14:paraId="44A42593">
            <w:pPr>
              <w:rPr>
                <w:rFonts w:hAnsi="Times New Roman" w:cs="Times New Roman"/>
                <w:color w:val="000000" w:themeColor="text1"/>
                <w14:textFill>
                  <w14:solidFill>
                    <w14:schemeClr w14:val="tx1"/>
                  </w14:solidFill>
                </w14:textFill>
              </w:rPr>
            </w:pPr>
          </w:p>
          <w:p w14:paraId="0CED5015">
            <w:pPr>
              <w:rPr>
                <w:rFonts w:ascii="Times New Roman" w:hAnsi="Times New Roman" w:cs="Times New Roman"/>
                <w:color w:val="000000" w:themeColor="text1"/>
                <w14:textFill>
                  <w14:solidFill>
                    <w14:schemeClr w14:val="tx1"/>
                  </w14:solidFill>
                </w14:textFill>
              </w:rPr>
            </w:pPr>
          </w:p>
        </w:tc>
      </w:tr>
    </w:tbl>
    <w:p w14:paraId="5692F9B7">
      <w:pPr>
        <w:pStyle w:val="28"/>
        <w:snapToGrid w:val="0"/>
        <w:spacing w:after="0" w:line="500" w:lineRule="exact"/>
        <w:ind w:left="0" w:leftChars="0" w:firstLine="0"/>
        <w:outlineLvl w:val="0"/>
        <w:rPr>
          <w:rFonts w:ascii="宋体" w:cs="宋体"/>
          <w:b/>
          <w:bCs/>
          <w:color w:val="auto"/>
          <w:sz w:val="28"/>
          <w:szCs w:val="28"/>
          <w:highlight w:val="none"/>
        </w:rPr>
      </w:pPr>
      <w:bookmarkStart w:id="16" w:name="_Toc6109"/>
      <w:bookmarkStart w:id="17" w:name="_Toc15627897"/>
      <w:bookmarkStart w:id="18" w:name="_Toc27970"/>
      <w:r>
        <w:rPr>
          <w:rFonts w:hint="eastAsia" w:ascii="宋体" w:cs="宋体"/>
          <w:b/>
          <w:bCs/>
          <w:color w:val="auto"/>
          <w:sz w:val="28"/>
          <w:szCs w:val="28"/>
          <w:highlight w:val="none"/>
        </w:rPr>
        <w:t>表五、</w:t>
      </w:r>
      <w:r>
        <w:rPr>
          <w:rFonts w:ascii="宋体" w:cs="宋体"/>
          <w:b/>
          <w:bCs/>
          <w:color w:val="auto"/>
          <w:sz w:val="28"/>
          <w:szCs w:val="28"/>
          <w:highlight w:val="none"/>
        </w:rPr>
        <w:t>验收监测质量保证及质量控制</w:t>
      </w:r>
      <w:bookmarkEnd w:id="16"/>
      <w:bookmarkEnd w:id="17"/>
      <w:bookmarkEnd w:id="18"/>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6242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22" w:type="dxa"/>
          </w:tcPr>
          <w:p w14:paraId="5F82B822">
            <w:pPr>
              <w:pStyle w:val="28"/>
              <w:adjustRightInd w:val="0"/>
              <w:snapToGrid w:val="0"/>
              <w:spacing w:after="0" w:line="500" w:lineRule="exact"/>
              <w:ind w:left="0" w:leftChars="0" w:firstLine="482" w:firstLineChars="200"/>
              <w:rPr>
                <w:rFonts w:hAnsi="Times New Roman" w:cs="Times New Roman"/>
                <w:b/>
                <w:color w:val="auto"/>
                <w:sz w:val="24"/>
              </w:rPr>
            </w:pPr>
            <w:r>
              <w:rPr>
                <w:rFonts w:hint="eastAsia" w:hAnsi="Times New Roman" w:cs="Times New Roman"/>
                <w:b/>
                <w:color w:val="auto"/>
                <w:sz w:val="24"/>
              </w:rPr>
              <w:t>1、监测分析方法依据</w:t>
            </w:r>
          </w:p>
          <w:p w14:paraId="34DEDFFF">
            <w:pPr>
              <w:widowControl/>
              <w:adjustRightInd w:val="0"/>
              <w:snapToGrid w:val="0"/>
              <w:spacing w:line="500" w:lineRule="exact"/>
              <w:jc w:val="center"/>
              <w:rPr>
                <w:rFonts w:ascii="Times New Roman" w:hAnsi="Times New Roman" w:cs="Times New Roman"/>
                <w:b/>
                <w:sz w:val="24"/>
              </w:rPr>
            </w:pPr>
            <w:r>
              <w:rPr>
                <w:rFonts w:hint="eastAsia" w:ascii="Times New Roman" w:hAnsi="Times New Roman" w:eastAsia="宋体" w:cs="Times New Roman"/>
                <w:b/>
                <w:sz w:val="24"/>
              </w:rPr>
              <w:t>表5-1</w:t>
            </w:r>
            <w:r>
              <w:rPr>
                <w:rFonts w:hint="eastAsia" w:hAnsi="Times New Roman" w:cs="Times New Roman"/>
                <w:b/>
                <w:sz w:val="24"/>
              </w:rPr>
              <w:t>监测项目分析方法依据</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125"/>
              <w:gridCol w:w="2317"/>
              <w:gridCol w:w="1904"/>
              <w:gridCol w:w="1150"/>
              <w:gridCol w:w="1248"/>
            </w:tblGrid>
            <w:tr w14:paraId="3F519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0" w:type="dxa"/>
                  <w:vAlign w:val="center"/>
                </w:tcPr>
                <w:p w14:paraId="2A203751">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样品类型</w:t>
                  </w:r>
                </w:p>
              </w:tc>
              <w:tc>
                <w:tcPr>
                  <w:tcW w:w="1125" w:type="dxa"/>
                  <w:vAlign w:val="center"/>
                </w:tcPr>
                <w:p w14:paraId="71333C9D">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检测项目</w:t>
                  </w:r>
                </w:p>
              </w:tc>
              <w:tc>
                <w:tcPr>
                  <w:tcW w:w="2317" w:type="dxa"/>
                  <w:vAlign w:val="center"/>
                </w:tcPr>
                <w:p w14:paraId="00B2D122">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检测方法及来源</w:t>
                  </w:r>
                </w:p>
              </w:tc>
              <w:tc>
                <w:tcPr>
                  <w:tcW w:w="1904" w:type="dxa"/>
                  <w:vAlign w:val="center"/>
                </w:tcPr>
                <w:p w14:paraId="53F71FFD">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仪器名称及型号</w:t>
                  </w:r>
                </w:p>
              </w:tc>
              <w:tc>
                <w:tcPr>
                  <w:tcW w:w="1150" w:type="dxa"/>
                  <w:vAlign w:val="center"/>
                </w:tcPr>
                <w:p w14:paraId="2C36CE84">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检出限</w:t>
                  </w:r>
                </w:p>
              </w:tc>
              <w:tc>
                <w:tcPr>
                  <w:tcW w:w="1248" w:type="dxa"/>
                  <w:vAlign w:val="center"/>
                </w:tcPr>
                <w:p w14:paraId="4C2ECFE2">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lang w:val="en-US" w:eastAsia="zh-CN"/>
                    </w:rPr>
                    <w:t>仪器检定/校准有效日期</w:t>
                  </w:r>
                </w:p>
              </w:tc>
            </w:tr>
            <w:tr w14:paraId="17A9A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0" w:type="dxa"/>
                  <w:vMerge w:val="restart"/>
                  <w:vAlign w:val="center"/>
                </w:tcPr>
                <w:p w14:paraId="4439665C">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有组织废气</w:t>
                  </w:r>
                </w:p>
              </w:tc>
              <w:tc>
                <w:tcPr>
                  <w:tcW w:w="1125" w:type="dxa"/>
                  <w:shd w:val="clear" w:color="auto" w:fill="auto"/>
                  <w:vAlign w:val="center"/>
                </w:tcPr>
                <w:p w14:paraId="042D6C97">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非甲烷</w:t>
                  </w:r>
                </w:p>
                <w:p w14:paraId="6D11F002">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总烃</w:t>
                  </w:r>
                </w:p>
              </w:tc>
              <w:tc>
                <w:tcPr>
                  <w:tcW w:w="2317" w:type="dxa"/>
                  <w:shd w:val="clear" w:color="auto" w:fill="auto"/>
                  <w:vAlign w:val="center"/>
                </w:tcPr>
                <w:p w14:paraId="2413A9E4">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固定污染源废气 总烃、甲烷和非甲烷总烃的测定 气相色谱法</w:t>
                  </w:r>
                </w:p>
                <w:p w14:paraId="59F41427">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HJ 38—2017</w:t>
                  </w:r>
                </w:p>
              </w:tc>
              <w:tc>
                <w:tcPr>
                  <w:tcW w:w="1904" w:type="dxa"/>
                  <w:shd w:val="clear" w:color="auto" w:fill="auto"/>
                  <w:vAlign w:val="center"/>
                </w:tcPr>
                <w:p w14:paraId="1FCCE285">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气相色谱仪GC9790II（ZCYQ-035）</w:t>
                  </w:r>
                </w:p>
              </w:tc>
              <w:tc>
                <w:tcPr>
                  <w:tcW w:w="1150" w:type="dxa"/>
                  <w:shd w:val="clear" w:color="auto" w:fill="auto"/>
                  <w:vAlign w:val="center"/>
                </w:tcPr>
                <w:p w14:paraId="162D2255">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0.07mg/m</w:t>
                  </w:r>
                  <w:r>
                    <w:rPr>
                      <w:rFonts w:hint="default" w:ascii="Times New Roman" w:hAnsi="Times New Roman" w:cs="Times New Roman"/>
                      <w:color w:val="auto"/>
                      <w:sz w:val="21"/>
                      <w:szCs w:val="21"/>
                      <w:highlight w:val="none"/>
                      <w:vertAlign w:val="superscript"/>
                    </w:rPr>
                    <w:t>3</w:t>
                  </w:r>
                  <w:r>
                    <w:rPr>
                      <w:rFonts w:hint="default" w:ascii="Times New Roman" w:hAnsi="Times New Roman" w:cs="Times New Roman"/>
                      <w:color w:val="auto"/>
                      <w:sz w:val="21"/>
                      <w:szCs w:val="21"/>
                      <w:highlight w:val="none"/>
                    </w:rPr>
                    <w:t>（以碳计）</w:t>
                  </w:r>
                </w:p>
              </w:tc>
              <w:tc>
                <w:tcPr>
                  <w:tcW w:w="1248" w:type="dxa"/>
                  <w:shd w:val="clear" w:color="auto" w:fill="auto"/>
                  <w:vAlign w:val="center"/>
                </w:tcPr>
                <w:p w14:paraId="7C3FE0E4">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rPr>
                    <w:t>2026.12.26</w:t>
                  </w:r>
                </w:p>
              </w:tc>
            </w:tr>
            <w:tr w14:paraId="0906F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0" w:type="dxa"/>
                  <w:vMerge w:val="continue"/>
                  <w:vAlign w:val="center"/>
                </w:tcPr>
                <w:p w14:paraId="29457A9E">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p>
              </w:tc>
              <w:tc>
                <w:tcPr>
                  <w:tcW w:w="1125" w:type="dxa"/>
                  <w:vAlign w:val="center"/>
                </w:tcPr>
                <w:p w14:paraId="4FD4D508">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臭气浓度</w:t>
                  </w:r>
                </w:p>
              </w:tc>
              <w:tc>
                <w:tcPr>
                  <w:tcW w:w="2317" w:type="dxa"/>
                  <w:vAlign w:val="center"/>
                </w:tcPr>
                <w:p w14:paraId="0D3742CD">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环境空气和废气  臭气的测定 三点比较式臭袋法HJ 1262—2022</w:t>
                  </w:r>
                </w:p>
              </w:tc>
              <w:tc>
                <w:tcPr>
                  <w:tcW w:w="1904" w:type="dxa"/>
                  <w:vAlign w:val="center"/>
                </w:tcPr>
                <w:p w14:paraId="0852C1AD">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臭气袋</w:t>
                  </w:r>
                </w:p>
              </w:tc>
              <w:tc>
                <w:tcPr>
                  <w:tcW w:w="1150" w:type="dxa"/>
                  <w:vAlign w:val="center"/>
                </w:tcPr>
                <w:p w14:paraId="7C52437F">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w:t>
                  </w:r>
                </w:p>
              </w:tc>
              <w:tc>
                <w:tcPr>
                  <w:tcW w:w="1248" w:type="dxa"/>
                  <w:vAlign w:val="center"/>
                </w:tcPr>
                <w:p w14:paraId="3D0E519B">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eastAsia="zh-CN"/>
                    </w:rPr>
                    <w:t>—</w:t>
                  </w:r>
                </w:p>
              </w:tc>
            </w:tr>
            <w:tr w14:paraId="4C93E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0" w:type="dxa"/>
                  <w:vMerge w:val="restart"/>
                  <w:vAlign w:val="center"/>
                </w:tcPr>
                <w:p w14:paraId="026F7E6C">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rPr>
                    <w:t>无组织废气</w:t>
                  </w:r>
                </w:p>
              </w:tc>
              <w:tc>
                <w:tcPr>
                  <w:tcW w:w="1125" w:type="dxa"/>
                  <w:shd w:val="clear" w:color="auto" w:fill="auto"/>
                  <w:vAlign w:val="center"/>
                </w:tcPr>
                <w:p w14:paraId="4D29AF0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w:t>
                  </w:r>
                </w:p>
                <w:p w14:paraId="25C3592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textAlignment w:val="auto"/>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总烃</w:t>
                  </w:r>
                </w:p>
              </w:tc>
              <w:tc>
                <w:tcPr>
                  <w:tcW w:w="2317" w:type="dxa"/>
                  <w:shd w:val="clear" w:color="auto" w:fill="auto"/>
                  <w:vAlign w:val="center"/>
                </w:tcPr>
                <w:p w14:paraId="4B28373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环境空气 总烃、甲烷和非甲烷总烃的测定直接进样-气相色谱法 </w:t>
                  </w:r>
                </w:p>
                <w:p w14:paraId="38ED37D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HJ 604—2017</w:t>
                  </w:r>
                </w:p>
              </w:tc>
              <w:tc>
                <w:tcPr>
                  <w:tcW w:w="1904" w:type="dxa"/>
                  <w:shd w:val="clear" w:color="auto" w:fill="auto"/>
                  <w:vAlign w:val="center"/>
                </w:tcPr>
                <w:p w14:paraId="05570791">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气相色谱仪GC9790II（ZCYQ-035）</w:t>
                  </w:r>
                </w:p>
              </w:tc>
              <w:tc>
                <w:tcPr>
                  <w:tcW w:w="1150" w:type="dxa"/>
                  <w:shd w:val="clear" w:color="auto" w:fill="auto"/>
                  <w:vAlign w:val="center"/>
                </w:tcPr>
                <w:p w14:paraId="2A52BB99">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0.07mg/m</w:t>
                  </w:r>
                  <w:r>
                    <w:rPr>
                      <w:rFonts w:hint="default" w:ascii="Times New Roman" w:hAnsi="Times New Roman" w:cs="Times New Roman"/>
                      <w:color w:val="auto"/>
                      <w:sz w:val="21"/>
                      <w:szCs w:val="21"/>
                      <w:highlight w:val="none"/>
                      <w:vertAlign w:val="superscript"/>
                    </w:rPr>
                    <w:t>3</w:t>
                  </w:r>
                  <w:r>
                    <w:rPr>
                      <w:rFonts w:hint="default" w:ascii="Times New Roman" w:hAnsi="Times New Roman" w:cs="Times New Roman"/>
                      <w:color w:val="auto"/>
                      <w:sz w:val="21"/>
                      <w:szCs w:val="21"/>
                      <w:highlight w:val="none"/>
                    </w:rPr>
                    <w:t>（以碳计）</w:t>
                  </w:r>
                </w:p>
              </w:tc>
              <w:tc>
                <w:tcPr>
                  <w:tcW w:w="1248" w:type="dxa"/>
                  <w:shd w:val="clear" w:color="auto" w:fill="auto"/>
                  <w:vAlign w:val="center"/>
                </w:tcPr>
                <w:p w14:paraId="2192085D">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lang w:val="en-US" w:eastAsia="zh-CN"/>
                    </w:rPr>
                    <w:t>2026.12.26</w:t>
                  </w:r>
                </w:p>
              </w:tc>
            </w:tr>
            <w:tr w14:paraId="076AF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0" w:type="dxa"/>
                  <w:vMerge w:val="continue"/>
                  <w:vAlign w:val="center"/>
                </w:tcPr>
                <w:p w14:paraId="3F69C38E">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p>
              </w:tc>
              <w:tc>
                <w:tcPr>
                  <w:tcW w:w="1125" w:type="dxa"/>
                  <w:shd w:val="clear" w:color="auto" w:fill="auto"/>
                  <w:vAlign w:val="center"/>
                </w:tcPr>
                <w:p w14:paraId="0D6A392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臭气浓度</w:t>
                  </w:r>
                </w:p>
              </w:tc>
              <w:tc>
                <w:tcPr>
                  <w:tcW w:w="2317" w:type="dxa"/>
                  <w:shd w:val="clear" w:color="auto" w:fill="auto"/>
                  <w:vAlign w:val="center"/>
                </w:tcPr>
                <w:p w14:paraId="65F2376D">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环境空气和废气  臭气的测定 三点比较式臭袋法HJ 1262—2022</w:t>
                  </w:r>
                </w:p>
              </w:tc>
              <w:tc>
                <w:tcPr>
                  <w:tcW w:w="1904" w:type="dxa"/>
                  <w:shd w:val="clear" w:color="auto" w:fill="auto"/>
                  <w:vAlign w:val="center"/>
                </w:tcPr>
                <w:p w14:paraId="1D76DAA8">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臭气袋</w:t>
                  </w:r>
                </w:p>
              </w:tc>
              <w:tc>
                <w:tcPr>
                  <w:tcW w:w="1150" w:type="dxa"/>
                  <w:shd w:val="clear" w:color="auto" w:fill="auto"/>
                  <w:vAlign w:val="center"/>
                </w:tcPr>
                <w:p w14:paraId="1D74D393">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eastAsia="zh-CN"/>
                    </w:rPr>
                    <w:t>—</w:t>
                  </w:r>
                </w:p>
              </w:tc>
              <w:tc>
                <w:tcPr>
                  <w:tcW w:w="1248" w:type="dxa"/>
                  <w:shd w:val="clear" w:color="auto" w:fill="auto"/>
                  <w:vAlign w:val="center"/>
                </w:tcPr>
                <w:p w14:paraId="0021BDAD">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eastAsia="zh-CN"/>
                    </w:rPr>
                    <w:t>—</w:t>
                  </w:r>
                </w:p>
              </w:tc>
            </w:tr>
            <w:tr w14:paraId="384A7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60" w:type="dxa"/>
                  <w:vAlign w:val="center"/>
                </w:tcPr>
                <w:p w14:paraId="63C25A2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噪声</w:t>
                  </w:r>
                </w:p>
              </w:tc>
              <w:tc>
                <w:tcPr>
                  <w:tcW w:w="1125" w:type="dxa"/>
                  <w:vAlign w:val="center"/>
                </w:tcPr>
                <w:p w14:paraId="3FFD3E6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厂界环境噪声</w:t>
                  </w:r>
                </w:p>
              </w:tc>
              <w:tc>
                <w:tcPr>
                  <w:tcW w:w="2317" w:type="dxa"/>
                  <w:vAlign w:val="center"/>
                </w:tcPr>
                <w:p w14:paraId="1CB102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工业企业厂界环境噪声排放标准</w:t>
                  </w:r>
                </w:p>
                <w:p w14:paraId="75BF15E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GB 12348—2008</w:t>
                  </w:r>
                </w:p>
              </w:tc>
              <w:tc>
                <w:tcPr>
                  <w:tcW w:w="1904" w:type="dxa"/>
                  <w:vAlign w:val="center"/>
                </w:tcPr>
                <w:p w14:paraId="4CFC9784">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多功能声级计AWA5688</w:t>
                  </w:r>
                  <w:r>
                    <w:rPr>
                      <w:rFonts w:hint="default" w:ascii="Times New Roman" w:hAnsi="Times New Roman" w:cs="Times New Roman"/>
                      <w:color w:val="auto"/>
                      <w:sz w:val="21"/>
                      <w:szCs w:val="21"/>
                      <w:lang w:eastAsia="zh-CN"/>
                    </w:rPr>
                    <w:t>（ZCYQ-10</w:t>
                  </w:r>
                  <w:r>
                    <w:rPr>
                      <w:rFonts w:hint="default" w:ascii="Times New Roman" w:hAnsi="Times New Roman" w:cs="Times New Roman"/>
                      <w:color w:val="auto"/>
                      <w:sz w:val="21"/>
                      <w:szCs w:val="21"/>
                      <w:lang w:val="en-US" w:eastAsia="zh-CN"/>
                    </w:rPr>
                    <w:t>7</w:t>
                  </w:r>
                  <w:r>
                    <w:rPr>
                      <w:rFonts w:hint="default" w:ascii="Times New Roman" w:hAnsi="Times New Roman" w:cs="Times New Roman"/>
                      <w:color w:val="auto"/>
                      <w:sz w:val="21"/>
                      <w:szCs w:val="21"/>
                      <w:lang w:eastAsia="zh-CN"/>
                    </w:rPr>
                    <w:t>）</w:t>
                  </w:r>
                </w:p>
              </w:tc>
              <w:tc>
                <w:tcPr>
                  <w:tcW w:w="1150" w:type="dxa"/>
                  <w:vAlign w:val="center"/>
                </w:tcPr>
                <w:p w14:paraId="5CD5DF2A">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w:t>
                  </w:r>
                </w:p>
              </w:tc>
              <w:tc>
                <w:tcPr>
                  <w:tcW w:w="1248" w:type="dxa"/>
                  <w:vAlign w:val="center"/>
                </w:tcPr>
                <w:p w14:paraId="2AA41140">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2026.02.25</w:t>
                  </w:r>
                </w:p>
              </w:tc>
            </w:tr>
          </w:tbl>
          <w:p w14:paraId="1238920A">
            <w:pPr>
              <w:widowControl/>
              <w:adjustRightInd w:val="0"/>
              <w:snapToGrid w:val="0"/>
              <w:spacing w:line="500" w:lineRule="exact"/>
              <w:ind w:firstLine="482" w:firstLineChars="200"/>
              <w:rPr>
                <w:rFonts w:ascii="Times New Roman" w:hAnsi="Times New Roman" w:eastAsia="宋体" w:cs="Times New Roman"/>
                <w:b/>
                <w:sz w:val="24"/>
              </w:rPr>
            </w:pPr>
            <w:r>
              <w:rPr>
                <w:rFonts w:hint="eastAsia" w:ascii="Times New Roman" w:hAnsi="Times New Roman" w:eastAsia="宋体" w:cs="Times New Roman"/>
                <w:b/>
                <w:sz w:val="24"/>
              </w:rPr>
              <w:t>2、验收监测质量保证及质量控制</w:t>
            </w:r>
          </w:p>
          <w:p w14:paraId="5168ECC3">
            <w:pPr>
              <w:pStyle w:val="36"/>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cs="Times New Roman"/>
                <w:color w:val="auto"/>
                <w:kern w:val="2"/>
                <w:sz w:val="24"/>
                <w:szCs w:val="24"/>
                <w:highlight w:val="none"/>
                <w:lang w:val="en-US" w:eastAsia="zh-CN" w:bidi="ar-SA"/>
              </w:rPr>
              <w:t>废气</w:t>
            </w:r>
            <w:r>
              <w:rPr>
                <w:rFonts w:hint="default" w:ascii="Times New Roman" w:hAnsi="Times New Roman" w:eastAsia="宋体" w:cs="Times New Roman"/>
                <w:color w:val="auto"/>
                <w:kern w:val="2"/>
                <w:sz w:val="24"/>
                <w:szCs w:val="24"/>
                <w:highlight w:val="none"/>
                <w:lang w:val="en-US" w:eastAsia="zh-CN" w:bidi="ar-SA"/>
              </w:rPr>
              <w:t>现场采样检测、样品保存运输、样品实验室分析和数据计算全过程的质量控制和质量保证严格按照《固定源废气监测技术规范》（HJ/T 397-2007）、《固定污染源排气中颗粒物测定与气态污染物采样方法》（GB/T 16157-1996）</w:t>
            </w:r>
            <w:r>
              <w:rPr>
                <w:rFonts w:hint="eastAsia" w:ascii="Times New Roman" w:hAnsi="Times New Roman" w:eastAsia="宋体" w:cs="Times New Roman"/>
                <w:color w:val="auto"/>
                <w:kern w:val="2"/>
                <w:sz w:val="24"/>
                <w:szCs w:val="24"/>
                <w:highlight w:val="none"/>
                <w:lang w:val="en-US" w:eastAsia="zh-CN" w:bidi="ar-SA"/>
              </w:rPr>
              <w:t>、《大气污染物无组织排放监测技术导则》（HJ/T 55-2000）等相关技术规范要求执行</w:t>
            </w:r>
            <w:r>
              <w:rPr>
                <w:rFonts w:hint="default" w:ascii="Times New Roman" w:hAnsi="Times New Roman" w:eastAsia="宋体" w:cs="Times New Roman"/>
                <w:color w:val="auto"/>
                <w:kern w:val="2"/>
                <w:sz w:val="24"/>
                <w:szCs w:val="24"/>
                <w:highlight w:val="none"/>
                <w:lang w:val="en-US" w:eastAsia="zh-CN" w:bidi="ar-SA"/>
              </w:rPr>
              <w:t>，室内样品分析采用室内</w:t>
            </w:r>
            <w:r>
              <w:rPr>
                <w:rFonts w:hint="eastAsia" w:ascii="Times New Roman" w:cs="Times New Roman"/>
                <w:color w:val="auto"/>
                <w:kern w:val="2"/>
                <w:sz w:val="24"/>
                <w:szCs w:val="24"/>
                <w:highlight w:val="none"/>
                <w:lang w:val="en-US" w:eastAsia="zh-CN" w:bidi="ar-SA"/>
              </w:rPr>
              <w:t>平行样</w:t>
            </w:r>
            <w:r>
              <w:rPr>
                <w:rFonts w:hint="default" w:ascii="Times New Roman" w:hAnsi="Times New Roman" w:eastAsia="宋体" w:cs="Times New Roman"/>
                <w:color w:val="auto"/>
                <w:kern w:val="2"/>
                <w:sz w:val="24"/>
                <w:szCs w:val="24"/>
                <w:highlight w:val="none"/>
                <w:lang w:val="en-US" w:eastAsia="zh-CN" w:bidi="ar-SA"/>
              </w:rPr>
              <w:t>、带标准样品等措施进行质量控制。详细质控结果统计见</w:t>
            </w:r>
            <w:r>
              <w:rPr>
                <w:rFonts w:hint="eastAsia" w:ascii="Times New Roman" w:hAnsi="Times New Roman" w:eastAsia="宋体" w:cs="Times New Roman"/>
                <w:color w:val="auto"/>
                <w:kern w:val="2"/>
                <w:sz w:val="24"/>
                <w:szCs w:val="24"/>
                <w:highlight w:val="none"/>
                <w:lang w:val="en-US" w:eastAsia="zh-CN" w:bidi="ar-SA"/>
              </w:rPr>
              <w:t>下表</w:t>
            </w:r>
            <w:r>
              <w:rPr>
                <w:rFonts w:hint="default" w:ascii="Times New Roman" w:hAnsi="Times New Roman" w:eastAsia="宋体" w:cs="Times New Roman"/>
                <w:color w:val="auto"/>
                <w:kern w:val="2"/>
                <w:sz w:val="24"/>
                <w:szCs w:val="24"/>
                <w:highlight w:val="none"/>
                <w:lang w:val="en-US" w:eastAsia="zh-CN" w:bidi="ar-SA"/>
              </w:rPr>
              <w:t>。</w:t>
            </w:r>
          </w:p>
          <w:p w14:paraId="0AEC0DC1">
            <w:pPr>
              <w:widowControl/>
              <w:adjustRightInd w:val="0"/>
              <w:snapToGrid w:val="0"/>
              <w:spacing w:line="500" w:lineRule="exact"/>
              <w:jc w:val="center"/>
              <w:rPr>
                <w:rFonts w:ascii="Times New Roman" w:hAnsi="Times New Roman" w:eastAsia="宋体" w:cs="Times New Roman"/>
                <w:b/>
                <w:sz w:val="24"/>
              </w:rPr>
            </w:pPr>
            <w:r>
              <w:rPr>
                <w:rFonts w:ascii="Times New Roman" w:hAnsi="Times New Roman" w:eastAsia="宋体" w:cs="Times New Roman"/>
                <w:b/>
                <w:sz w:val="24"/>
              </w:rPr>
              <w:t>表5-</w:t>
            </w:r>
            <w:r>
              <w:rPr>
                <w:rFonts w:hint="eastAsia" w:ascii="Times New Roman" w:hAnsi="Times New Roman" w:eastAsia="宋体" w:cs="Times New Roman"/>
                <w:b/>
                <w:sz w:val="24"/>
              </w:rPr>
              <w:t>2</w:t>
            </w:r>
            <w:r>
              <w:rPr>
                <w:rFonts w:ascii="Times New Roman" w:hAnsi="Times New Roman" w:eastAsia="宋体" w:cs="Times New Roman"/>
                <w:b/>
                <w:sz w:val="24"/>
              </w:rPr>
              <w:t>质控结果统计一览表</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39"/>
              <w:gridCol w:w="1081"/>
              <w:gridCol w:w="648"/>
              <w:gridCol w:w="811"/>
              <w:gridCol w:w="743"/>
              <w:gridCol w:w="814"/>
              <w:gridCol w:w="732"/>
              <w:gridCol w:w="666"/>
              <w:gridCol w:w="668"/>
              <w:gridCol w:w="725"/>
              <w:gridCol w:w="677"/>
            </w:tblGrid>
            <w:tr w14:paraId="39336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3" w:hRule="atLeast"/>
                <w:jc w:val="center"/>
              </w:trPr>
              <w:tc>
                <w:tcPr>
                  <w:tcW w:w="1010" w:type="dxa"/>
                  <w:vMerge w:val="restart"/>
                  <w:tcBorders>
                    <w:top w:val="single" w:color="auto" w:sz="4" w:space="0"/>
                    <w:left w:val="single" w:color="auto" w:sz="4" w:space="0"/>
                    <w:right w:val="single" w:color="auto" w:sz="4" w:space="0"/>
                  </w:tcBorders>
                  <w:noWrap w:val="0"/>
                  <w:vAlign w:val="center"/>
                </w:tcPr>
                <w:p w14:paraId="7900142D">
                  <w:pPr>
                    <w:widowControl/>
                    <w:jc w:val="center"/>
                    <w:rPr>
                      <w:rFonts w:hint="default" w:ascii="Times New Roman" w:hAnsi="Times New Roman" w:cs="Times New Roman"/>
                      <w:color w:val="auto"/>
                      <w:sz w:val="21"/>
                      <w:szCs w:val="21"/>
                    </w:rPr>
                  </w:pPr>
                  <w:r>
                    <w:rPr>
                      <w:rFonts w:hint="default" w:ascii="Times New Roman" w:hAnsi="Times New Roman" w:cs="Times New Roman"/>
                      <w:color w:val="auto"/>
                      <w:kern w:val="0"/>
                      <w:sz w:val="21"/>
                      <w:szCs w:val="21"/>
                    </w:rPr>
                    <w:t>样品类型</w:t>
                  </w:r>
                </w:p>
              </w:tc>
              <w:tc>
                <w:tcPr>
                  <w:tcW w:w="1162" w:type="dxa"/>
                  <w:vMerge w:val="restart"/>
                  <w:tcBorders>
                    <w:top w:val="single" w:color="auto" w:sz="4" w:space="0"/>
                    <w:left w:val="single" w:color="auto" w:sz="4" w:space="0"/>
                    <w:right w:val="single" w:color="auto" w:sz="4" w:space="0"/>
                  </w:tcBorders>
                  <w:noWrap w:val="0"/>
                  <w:vAlign w:val="center"/>
                </w:tcPr>
                <w:p w14:paraId="100C085B">
                  <w:pPr>
                    <w:widowControl/>
                    <w:jc w:val="center"/>
                    <w:rPr>
                      <w:rFonts w:hint="default" w:ascii="Times New Roman" w:hAnsi="Times New Roman" w:cs="Times New Roman"/>
                      <w:color w:val="auto"/>
                      <w:sz w:val="21"/>
                      <w:szCs w:val="21"/>
                    </w:rPr>
                  </w:pPr>
                  <w:r>
                    <w:rPr>
                      <w:rFonts w:hint="default" w:ascii="Times New Roman" w:hAnsi="Times New Roman" w:cs="Times New Roman"/>
                      <w:color w:val="auto"/>
                      <w:kern w:val="0"/>
                      <w:sz w:val="21"/>
                      <w:szCs w:val="21"/>
                    </w:rPr>
                    <w:t>检测项目</w:t>
                  </w:r>
                </w:p>
              </w:tc>
              <w:tc>
                <w:tcPr>
                  <w:tcW w:w="696" w:type="dxa"/>
                  <w:vMerge w:val="restart"/>
                  <w:tcBorders>
                    <w:top w:val="single" w:color="auto" w:sz="4" w:space="0"/>
                    <w:left w:val="single" w:color="auto" w:sz="4" w:space="0"/>
                    <w:right w:val="single" w:color="auto" w:sz="4" w:space="0"/>
                  </w:tcBorders>
                  <w:noWrap w:val="0"/>
                  <w:vAlign w:val="center"/>
                </w:tcPr>
                <w:p w14:paraId="2039FFE6">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样品数</w:t>
                  </w:r>
                </w:p>
                <w:p w14:paraId="148A60EC">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（个）</w:t>
                  </w:r>
                </w:p>
              </w:tc>
              <w:tc>
                <w:tcPr>
                  <w:tcW w:w="3331" w:type="dxa"/>
                  <w:gridSpan w:val="4"/>
                  <w:tcBorders>
                    <w:top w:val="single" w:color="auto" w:sz="4" w:space="0"/>
                    <w:left w:val="single" w:color="auto" w:sz="4" w:space="0"/>
                    <w:bottom w:val="single" w:color="auto" w:sz="4" w:space="0"/>
                    <w:right w:val="single" w:color="auto" w:sz="4" w:space="0"/>
                  </w:tcBorders>
                  <w:noWrap w:val="0"/>
                  <w:vAlign w:val="center"/>
                </w:tcPr>
                <w:p w14:paraId="2756A231">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精密度控制</w:t>
                  </w:r>
                </w:p>
              </w:tc>
              <w:tc>
                <w:tcPr>
                  <w:tcW w:w="2939" w:type="dxa"/>
                  <w:gridSpan w:val="4"/>
                  <w:tcBorders>
                    <w:top w:val="single" w:color="auto" w:sz="4" w:space="0"/>
                    <w:left w:val="single" w:color="auto" w:sz="4" w:space="0"/>
                    <w:bottom w:val="single" w:color="auto" w:sz="4" w:space="0"/>
                    <w:right w:val="single" w:color="auto" w:sz="4" w:space="0"/>
                  </w:tcBorders>
                  <w:noWrap w:val="0"/>
                  <w:vAlign w:val="center"/>
                </w:tcPr>
                <w:p w14:paraId="44039506">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准确度控制</w:t>
                  </w:r>
                </w:p>
              </w:tc>
            </w:tr>
            <w:tr w14:paraId="1E46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36" w:hRule="atLeast"/>
                <w:jc w:val="center"/>
              </w:trPr>
              <w:tc>
                <w:tcPr>
                  <w:tcW w:w="1010" w:type="dxa"/>
                  <w:vMerge w:val="continue"/>
                  <w:tcBorders>
                    <w:left w:val="single" w:color="auto" w:sz="4" w:space="0"/>
                    <w:bottom w:val="single" w:color="auto" w:sz="4" w:space="0"/>
                    <w:right w:val="single" w:color="auto" w:sz="4" w:space="0"/>
                  </w:tcBorders>
                  <w:noWrap w:val="0"/>
                  <w:vAlign w:val="center"/>
                </w:tcPr>
                <w:p w14:paraId="3861D4F2">
                  <w:pPr>
                    <w:snapToGrid w:val="0"/>
                    <w:spacing w:line="240" w:lineRule="exact"/>
                    <w:jc w:val="center"/>
                    <w:rPr>
                      <w:rFonts w:hint="default" w:ascii="Times New Roman" w:hAnsi="Times New Roman" w:cs="Times New Roman"/>
                      <w:color w:val="auto"/>
                      <w:sz w:val="21"/>
                      <w:szCs w:val="21"/>
                    </w:rPr>
                  </w:pPr>
                </w:p>
              </w:tc>
              <w:tc>
                <w:tcPr>
                  <w:tcW w:w="1162" w:type="dxa"/>
                  <w:vMerge w:val="continue"/>
                  <w:tcBorders>
                    <w:left w:val="single" w:color="auto" w:sz="4" w:space="0"/>
                    <w:bottom w:val="single" w:color="auto" w:sz="4" w:space="0"/>
                    <w:right w:val="single" w:color="auto" w:sz="4" w:space="0"/>
                  </w:tcBorders>
                  <w:noWrap w:val="0"/>
                  <w:vAlign w:val="center"/>
                </w:tcPr>
                <w:p w14:paraId="774693E0">
                  <w:pPr>
                    <w:snapToGrid w:val="0"/>
                    <w:spacing w:line="240" w:lineRule="exact"/>
                    <w:jc w:val="center"/>
                    <w:rPr>
                      <w:rFonts w:hint="default" w:ascii="Times New Roman" w:hAnsi="Times New Roman" w:cs="Times New Roman"/>
                      <w:color w:val="auto"/>
                      <w:sz w:val="21"/>
                      <w:szCs w:val="21"/>
                    </w:rPr>
                  </w:pPr>
                </w:p>
              </w:tc>
              <w:tc>
                <w:tcPr>
                  <w:tcW w:w="696" w:type="dxa"/>
                  <w:vMerge w:val="continue"/>
                  <w:tcBorders>
                    <w:left w:val="single" w:color="auto" w:sz="4" w:space="0"/>
                    <w:bottom w:val="single" w:color="auto" w:sz="4" w:space="0"/>
                    <w:right w:val="single" w:color="auto" w:sz="4" w:space="0"/>
                  </w:tcBorders>
                  <w:noWrap w:val="0"/>
                  <w:vAlign w:val="center"/>
                </w:tcPr>
                <w:p w14:paraId="7F88E4E9">
                  <w:pPr>
                    <w:snapToGrid w:val="0"/>
                    <w:spacing w:line="240" w:lineRule="exact"/>
                    <w:jc w:val="center"/>
                    <w:rPr>
                      <w:rFonts w:hint="default" w:ascii="Times New Roman" w:hAnsi="Times New Roman" w:cs="Times New Roman"/>
                      <w:color w:val="auto"/>
                      <w:sz w:val="21"/>
                      <w:szCs w:val="21"/>
                    </w:rPr>
                  </w:pPr>
                </w:p>
              </w:tc>
              <w:tc>
                <w:tcPr>
                  <w:tcW w:w="871" w:type="dxa"/>
                  <w:tcBorders>
                    <w:top w:val="single" w:color="auto" w:sz="4" w:space="0"/>
                    <w:left w:val="single" w:color="auto" w:sz="4" w:space="0"/>
                    <w:bottom w:val="single" w:color="auto" w:sz="4" w:space="0"/>
                    <w:right w:val="single" w:color="auto" w:sz="4" w:space="0"/>
                  </w:tcBorders>
                  <w:noWrap w:val="0"/>
                  <w:vAlign w:val="center"/>
                </w:tcPr>
                <w:p w14:paraId="7C1342D9">
                  <w:pPr>
                    <w:snapToGrid w:val="0"/>
                    <w:spacing w:line="240" w:lineRule="exact"/>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现场</w:t>
                  </w:r>
                </w:p>
                <w:p w14:paraId="6E1E4E10">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平行样</w:t>
                  </w:r>
                </w:p>
                <w:p w14:paraId="669DD046">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百分数</w:t>
                  </w:r>
                </w:p>
                <w:p w14:paraId="1B20B6A0">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798" w:type="dxa"/>
                  <w:tcBorders>
                    <w:top w:val="single" w:color="auto" w:sz="4" w:space="0"/>
                    <w:left w:val="single" w:color="auto" w:sz="4" w:space="0"/>
                    <w:bottom w:val="single" w:color="auto" w:sz="4" w:space="0"/>
                    <w:right w:val="single" w:color="auto" w:sz="4" w:space="0"/>
                  </w:tcBorders>
                  <w:noWrap w:val="0"/>
                  <w:vAlign w:val="center"/>
                </w:tcPr>
                <w:p w14:paraId="12191968">
                  <w:pPr>
                    <w:snapToGrid w:val="0"/>
                    <w:spacing w:line="240" w:lineRule="exact"/>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现场</w:t>
                  </w:r>
                </w:p>
                <w:p w14:paraId="2A2B5650">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平行样</w:t>
                  </w:r>
                </w:p>
                <w:p w14:paraId="168A7F50">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合格率</w:t>
                  </w:r>
                </w:p>
                <w:p w14:paraId="2A9EB875">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875" w:type="dxa"/>
                  <w:tcBorders>
                    <w:top w:val="single" w:color="auto" w:sz="4" w:space="0"/>
                    <w:left w:val="single" w:color="auto" w:sz="4" w:space="0"/>
                    <w:bottom w:val="single" w:color="auto" w:sz="4" w:space="0"/>
                    <w:right w:val="single" w:color="auto" w:sz="4" w:space="0"/>
                  </w:tcBorders>
                  <w:noWrap w:val="0"/>
                  <w:vAlign w:val="center"/>
                </w:tcPr>
                <w:p w14:paraId="2F375F9A">
                  <w:pPr>
                    <w:snapToGrid w:val="0"/>
                    <w:spacing w:line="240" w:lineRule="exact"/>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实验室</w:t>
                  </w:r>
                </w:p>
                <w:p w14:paraId="195CFBE6">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平行样</w:t>
                  </w:r>
                </w:p>
                <w:p w14:paraId="59EB5BD9">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百分数</w:t>
                  </w:r>
                </w:p>
                <w:p w14:paraId="0DCFD97B">
                  <w:pPr>
                    <w:snapToGrid w:val="0"/>
                    <w:spacing w:line="240" w:lineRule="exact"/>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50DA778E">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实验室</w:t>
                  </w:r>
                  <w:r>
                    <w:rPr>
                      <w:rFonts w:hint="default" w:ascii="Times New Roman" w:hAnsi="Times New Roman" w:cs="Times New Roman"/>
                      <w:color w:val="auto"/>
                      <w:sz w:val="21"/>
                      <w:szCs w:val="21"/>
                    </w:rPr>
                    <w:t>平行样</w:t>
                  </w:r>
                </w:p>
                <w:p w14:paraId="2C8C1E3E">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合格率</w:t>
                  </w:r>
                </w:p>
                <w:p w14:paraId="1E00BBA7">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715" w:type="dxa"/>
                  <w:tcBorders>
                    <w:top w:val="single" w:color="auto" w:sz="4" w:space="0"/>
                    <w:left w:val="single" w:color="auto" w:sz="4" w:space="0"/>
                    <w:bottom w:val="single" w:color="auto" w:sz="4" w:space="0"/>
                    <w:right w:val="single" w:color="auto" w:sz="4" w:space="0"/>
                  </w:tcBorders>
                  <w:noWrap w:val="0"/>
                  <w:vAlign w:val="center"/>
                </w:tcPr>
                <w:p w14:paraId="012948F5">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带标</w:t>
                  </w:r>
                </w:p>
                <w:p w14:paraId="4F15DA52">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百分数</w:t>
                  </w:r>
                </w:p>
                <w:p w14:paraId="5F06116D">
                  <w:pPr>
                    <w:snapToGrid w:val="0"/>
                    <w:spacing w:line="240" w:lineRule="exact"/>
                    <w:jc w:val="center"/>
                    <w:rPr>
                      <w:rFonts w:hint="default" w:ascii="Times New Roman" w:hAnsi="Times New Roman" w:cs="Times New Roman"/>
                      <w:color w:val="auto"/>
                      <w:kern w:val="2"/>
                      <w:sz w:val="21"/>
                      <w:szCs w:val="21"/>
                      <w:lang w:val="en-US" w:eastAsia="zh-CN" w:bidi="ar-SA"/>
                    </w:rPr>
                  </w:pPr>
                  <w:r>
                    <w:rPr>
                      <w:rFonts w:hint="default" w:ascii="Times New Roman" w:hAnsi="Times New Roman" w:cs="Times New Roman"/>
                      <w:color w:val="auto"/>
                      <w:sz w:val="21"/>
                      <w:szCs w:val="21"/>
                    </w:rPr>
                    <w:t>（%）</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04765108">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带标</w:t>
                  </w:r>
                </w:p>
                <w:p w14:paraId="73EB4B8A">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合格率</w:t>
                  </w:r>
                </w:p>
                <w:p w14:paraId="63260A90">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108346E7">
                  <w:pPr>
                    <w:snapToGrid w:val="0"/>
                    <w:spacing w:line="240" w:lineRule="exact"/>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加标</w:t>
                  </w:r>
                </w:p>
                <w:p w14:paraId="0133C3D5">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百分数</w:t>
                  </w:r>
                </w:p>
                <w:p w14:paraId="2A679843">
                  <w:pPr>
                    <w:snapToGrid w:val="0"/>
                    <w:spacing w:line="240" w:lineRule="exact"/>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color w:val="auto"/>
                      <w:sz w:val="21"/>
                      <w:szCs w:val="21"/>
                    </w:rPr>
                    <w:t>（%）</w:t>
                  </w:r>
                </w:p>
              </w:tc>
              <w:tc>
                <w:tcPr>
                  <w:tcW w:w="727" w:type="dxa"/>
                  <w:tcBorders>
                    <w:top w:val="single" w:color="auto" w:sz="4" w:space="0"/>
                    <w:left w:val="single" w:color="auto" w:sz="4" w:space="0"/>
                    <w:bottom w:val="single" w:color="auto" w:sz="4" w:space="0"/>
                    <w:right w:val="single" w:color="auto" w:sz="4" w:space="0"/>
                  </w:tcBorders>
                  <w:noWrap w:val="0"/>
                  <w:vAlign w:val="center"/>
                </w:tcPr>
                <w:p w14:paraId="48A4104E">
                  <w:pPr>
                    <w:snapToGrid w:val="0"/>
                    <w:spacing w:line="240" w:lineRule="exact"/>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加标</w:t>
                  </w:r>
                </w:p>
                <w:p w14:paraId="0E7FAA9B">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合格率</w:t>
                  </w:r>
                </w:p>
                <w:p w14:paraId="3250B1C6">
                  <w:pPr>
                    <w:snapToGrid w:val="0"/>
                    <w:spacing w:line="240" w:lineRule="exact"/>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r>
            <w:tr w14:paraId="0225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6" w:hRule="atLeast"/>
                <w:jc w:val="center"/>
              </w:trPr>
              <w:tc>
                <w:tcPr>
                  <w:tcW w:w="1010" w:type="dxa"/>
                  <w:vMerge w:val="restart"/>
                  <w:tcBorders>
                    <w:left w:val="single" w:color="auto" w:sz="4" w:space="0"/>
                    <w:right w:val="single" w:color="auto" w:sz="4" w:space="0"/>
                  </w:tcBorders>
                  <w:noWrap w:val="0"/>
                  <w:vAlign w:val="center"/>
                </w:tcPr>
                <w:p w14:paraId="01EA3022">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有组织</w:t>
                  </w:r>
                </w:p>
                <w:p w14:paraId="6237A3CC">
                  <w:pPr>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kern w:val="0"/>
                      <w:sz w:val="21"/>
                      <w:szCs w:val="21"/>
                    </w:rPr>
                    <w:t>废气</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006B2235">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非甲烷</w:t>
                  </w:r>
                </w:p>
                <w:p w14:paraId="397D84DC">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highlight w:val="none"/>
                    </w:rPr>
                    <w:t>总烃</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24BE384D">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36</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697B01DD">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kern w:val="0"/>
                      <w:sz w:val="21"/>
                      <w:szCs w:val="21"/>
                      <w:highlight w:val="none"/>
                      <w:lang w:val="en-US" w:eastAsia="zh-CN" w:bidi="ar"/>
                    </w:rPr>
                    <w:t>—</w:t>
                  </w:r>
                </w:p>
              </w:tc>
              <w:tc>
                <w:tcPr>
                  <w:tcW w:w="798" w:type="dxa"/>
                  <w:tcBorders>
                    <w:top w:val="single" w:color="auto" w:sz="4" w:space="0"/>
                    <w:left w:val="single" w:color="auto" w:sz="4" w:space="0"/>
                    <w:bottom w:val="single" w:color="auto" w:sz="4" w:space="0"/>
                    <w:right w:val="single" w:color="auto" w:sz="4" w:space="0"/>
                  </w:tcBorders>
                  <w:noWrap w:val="0"/>
                  <w:vAlign w:val="center"/>
                </w:tcPr>
                <w:p w14:paraId="2C622F62">
                  <w:pPr>
                    <w:jc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w:t>
                  </w:r>
                </w:p>
              </w:tc>
              <w:tc>
                <w:tcPr>
                  <w:tcW w:w="875" w:type="dxa"/>
                  <w:tcBorders>
                    <w:top w:val="single" w:color="auto" w:sz="4" w:space="0"/>
                    <w:left w:val="single" w:color="auto" w:sz="4" w:space="0"/>
                    <w:bottom w:val="single" w:color="auto" w:sz="4" w:space="0"/>
                    <w:right w:val="single" w:color="auto" w:sz="4" w:space="0"/>
                  </w:tcBorders>
                  <w:noWrap w:val="0"/>
                  <w:vAlign w:val="center"/>
                </w:tcPr>
                <w:p w14:paraId="30F217E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11.1</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FC00157">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100</w:t>
                  </w:r>
                </w:p>
              </w:tc>
              <w:tc>
                <w:tcPr>
                  <w:tcW w:w="715" w:type="dxa"/>
                  <w:tcBorders>
                    <w:top w:val="single" w:color="auto" w:sz="4" w:space="0"/>
                    <w:left w:val="single" w:color="auto" w:sz="4" w:space="0"/>
                    <w:bottom w:val="single" w:color="auto" w:sz="4" w:space="0"/>
                    <w:right w:val="single" w:color="auto" w:sz="4" w:space="0"/>
                  </w:tcBorders>
                  <w:noWrap w:val="0"/>
                  <w:vAlign w:val="center"/>
                </w:tcPr>
                <w:p w14:paraId="2569928F">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5.6</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0C2552E6">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100</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1E256853">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kern w:val="0"/>
                      <w:sz w:val="21"/>
                      <w:szCs w:val="21"/>
                      <w:highlight w:val="none"/>
                      <w:lang w:val="en-US" w:eastAsia="zh-CN" w:bidi="ar"/>
                    </w:rPr>
                    <w:t>—</w:t>
                  </w:r>
                </w:p>
              </w:tc>
              <w:tc>
                <w:tcPr>
                  <w:tcW w:w="727" w:type="dxa"/>
                  <w:tcBorders>
                    <w:top w:val="single" w:color="auto" w:sz="4" w:space="0"/>
                    <w:left w:val="single" w:color="auto" w:sz="4" w:space="0"/>
                    <w:bottom w:val="single" w:color="auto" w:sz="4" w:space="0"/>
                    <w:right w:val="single" w:color="auto" w:sz="4" w:space="0"/>
                  </w:tcBorders>
                  <w:noWrap w:val="0"/>
                  <w:vAlign w:val="center"/>
                </w:tcPr>
                <w:p w14:paraId="36069781">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kern w:val="0"/>
                      <w:sz w:val="21"/>
                      <w:szCs w:val="21"/>
                      <w:highlight w:val="none"/>
                      <w:lang w:val="en-US" w:eastAsia="zh-CN" w:bidi="ar"/>
                    </w:rPr>
                    <w:t>—</w:t>
                  </w:r>
                </w:p>
              </w:tc>
            </w:tr>
            <w:tr w14:paraId="310BE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6" w:hRule="atLeast"/>
                <w:jc w:val="center"/>
              </w:trPr>
              <w:tc>
                <w:tcPr>
                  <w:tcW w:w="1010" w:type="dxa"/>
                  <w:vMerge w:val="continue"/>
                  <w:tcBorders>
                    <w:left w:val="single" w:color="auto" w:sz="4" w:space="0"/>
                    <w:right w:val="single" w:color="auto" w:sz="4" w:space="0"/>
                  </w:tcBorders>
                  <w:noWrap w:val="0"/>
                  <w:vAlign w:val="center"/>
                </w:tcPr>
                <w:p w14:paraId="0977922C">
                  <w:pPr>
                    <w:spacing w:line="240" w:lineRule="exact"/>
                    <w:jc w:val="center"/>
                    <w:rPr>
                      <w:rFonts w:hint="default" w:ascii="Times New Roman" w:hAnsi="Times New Roman" w:eastAsia="宋体" w:cs="Times New Roman"/>
                      <w:color w:val="auto"/>
                      <w:sz w:val="21"/>
                      <w:szCs w:val="21"/>
                      <w:lang w:val="en-US" w:eastAsia="zh-CN"/>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71CB2B4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臭气浓度</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51F935EC">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12</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7E16507C">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kern w:val="0"/>
                      <w:sz w:val="21"/>
                      <w:szCs w:val="21"/>
                      <w:highlight w:val="none"/>
                      <w:lang w:val="en-US" w:eastAsia="zh-CN" w:bidi="ar"/>
                    </w:rPr>
                    <w:t>—</w:t>
                  </w:r>
                </w:p>
              </w:tc>
              <w:tc>
                <w:tcPr>
                  <w:tcW w:w="798" w:type="dxa"/>
                  <w:tcBorders>
                    <w:top w:val="single" w:color="auto" w:sz="4" w:space="0"/>
                    <w:left w:val="single" w:color="auto" w:sz="4" w:space="0"/>
                    <w:bottom w:val="single" w:color="auto" w:sz="4" w:space="0"/>
                    <w:right w:val="single" w:color="auto" w:sz="4" w:space="0"/>
                  </w:tcBorders>
                  <w:noWrap w:val="0"/>
                  <w:vAlign w:val="center"/>
                </w:tcPr>
                <w:p w14:paraId="25F999DB">
                  <w:pPr>
                    <w:jc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w:t>
                  </w:r>
                </w:p>
              </w:tc>
              <w:tc>
                <w:tcPr>
                  <w:tcW w:w="875" w:type="dxa"/>
                  <w:tcBorders>
                    <w:top w:val="single" w:color="auto" w:sz="4" w:space="0"/>
                    <w:left w:val="single" w:color="auto" w:sz="4" w:space="0"/>
                    <w:bottom w:val="single" w:color="auto" w:sz="4" w:space="0"/>
                    <w:right w:val="single" w:color="auto" w:sz="4" w:space="0"/>
                  </w:tcBorders>
                  <w:noWrap w:val="0"/>
                  <w:vAlign w:val="center"/>
                </w:tcPr>
                <w:p w14:paraId="590F3A8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highlight w:val="none"/>
                      <w:lang w:val="en-US" w:eastAsia="zh-CN" w:bidi="ar"/>
                    </w:rPr>
                    <w:t>—</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593DF21A">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kern w:val="0"/>
                      <w:sz w:val="21"/>
                      <w:szCs w:val="21"/>
                      <w:highlight w:val="none"/>
                      <w:lang w:val="en-US" w:eastAsia="zh-CN" w:bidi="ar"/>
                    </w:rPr>
                    <w:t>—</w:t>
                  </w:r>
                </w:p>
              </w:tc>
              <w:tc>
                <w:tcPr>
                  <w:tcW w:w="715" w:type="dxa"/>
                  <w:tcBorders>
                    <w:top w:val="single" w:color="auto" w:sz="4" w:space="0"/>
                    <w:left w:val="single" w:color="auto" w:sz="4" w:space="0"/>
                    <w:bottom w:val="single" w:color="auto" w:sz="4" w:space="0"/>
                    <w:right w:val="single" w:color="auto" w:sz="4" w:space="0"/>
                  </w:tcBorders>
                  <w:noWrap w:val="0"/>
                  <w:vAlign w:val="center"/>
                </w:tcPr>
                <w:p w14:paraId="3B15DC76">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highlight w:val="none"/>
                      <w:lang w:val="en-US" w:eastAsia="zh-CN" w:bidi="ar"/>
                    </w:rPr>
                    <w:t>—</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76D9919C">
                  <w:pPr>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kern w:val="0"/>
                      <w:sz w:val="21"/>
                      <w:szCs w:val="21"/>
                      <w:highlight w:val="none"/>
                      <w:lang w:val="en-US" w:eastAsia="zh-CN" w:bidi="ar"/>
                    </w:rPr>
                    <w:t>—</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6BD688BF">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kern w:val="0"/>
                      <w:sz w:val="21"/>
                      <w:szCs w:val="21"/>
                      <w:highlight w:val="none"/>
                      <w:lang w:val="en-US" w:eastAsia="zh-CN" w:bidi="ar"/>
                    </w:rPr>
                    <w:t>—</w:t>
                  </w:r>
                </w:p>
              </w:tc>
              <w:tc>
                <w:tcPr>
                  <w:tcW w:w="727" w:type="dxa"/>
                  <w:tcBorders>
                    <w:top w:val="single" w:color="auto" w:sz="4" w:space="0"/>
                    <w:left w:val="single" w:color="auto" w:sz="4" w:space="0"/>
                    <w:bottom w:val="single" w:color="auto" w:sz="4" w:space="0"/>
                    <w:right w:val="single" w:color="auto" w:sz="4" w:space="0"/>
                  </w:tcBorders>
                  <w:noWrap w:val="0"/>
                  <w:vAlign w:val="center"/>
                </w:tcPr>
                <w:p w14:paraId="66B7BAAF">
                  <w:pPr>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kern w:val="0"/>
                      <w:sz w:val="21"/>
                      <w:szCs w:val="21"/>
                      <w:highlight w:val="none"/>
                      <w:lang w:val="en-US" w:eastAsia="zh-CN" w:bidi="ar"/>
                    </w:rPr>
                    <w:t>—</w:t>
                  </w:r>
                </w:p>
              </w:tc>
            </w:tr>
            <w:tr w14:paraId="072BF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6" w:hRule="atLeast"/>
                <w:jc w:val="center"/>
              </w:trPr>
              <w:tc>
                <w:tcPr>
                  <w:tcW w:w="1010" w:type="dxa"/>
                  <w:vMerge w:val="restart"/>
                  <w:tcBorders>
                    <w:left w:val="single" w:color="auto" w:sz="4" w:space="0"/>
                    <w:right w:val="single" w:color="auto" w:sz="4" w:space="0"/>
                  </w:tcBorders>
                  <w:noWrap w:val="0"/>
                  <w:vAlign w:val="center"/>
                </w:tcPr>
                <w:p w14:paraId="46C95718">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无组织</w:t>
                  </w:r>
                </w:p>
                <w:p w14:paraId="08D9CD66">
                  <w:pPr>
                    <w:spacing w:line="240" w:lineRule="exact"/>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kern w:val="0"/>
                      <w:sz w:val="21"/>
                      <w:szCs w:val="21"/>
                    </w:rPr>
                    <w:t>废气</w:t>
                  </w:r>
                </w:p>
              </w:tc>
              <w:tc>
                <w:tcPr>
                  <w:tcW w:w="1162" w:type="dxa"/>
                  <w:tcBorders>
                    <w:top w:val="single" w:color="auto" w:sz="4" w:space="0"/>
                    <w:left w:val="single" w:color="auto" w:sz="4" w:space="0"/>
                    <w:bottom w:val="single" w:color="auto" w:sz="4" w:space="0"/>
                    <w:right w:val="single" w:color="auto" w:sz="4" w:space="0"/>
                  </w:tcBorders>
                  <w:noWrap w:val="0"/>
                  <w:vAlign w:val="center"/>
                </w:tcPr>
                <w:p w14:paraId="3269809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w:t>
                  </w:r>
                </w:p>
                <w:p w14:paraId="583D325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70" w:lineRule="exact"/>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总烃</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38DC54B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96</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0B518E9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highlight w:val="none"/>
                      <w:lang w:val="en-US" w:eastAsia="zh-CN" w:bidi="ar"/>
                    </w:rPr>
                    <w:t>—</w:t>
                  </w:r>
                </w:p>
              </w:tc>
              <w:tc>
                <w:tcPr>
                  <w:tcW w:w="798" w:type="dxa"/>
                  <w:tcBorders>
                    <w:top w:val="single" w:color="auto" w:sz="4" w:space="0"/>
                    <w:left w:val="single" w:color="auto" w:sz="4" w:space="0"/>
                    <w:bottom w:val="single" w:color="auto" w:sz="4" w:space="0"/>
                    <w:right w:val="single" w:color="auto" w:sz="4" w:space="0"/>
                  </w:tcBorders>
                  <w:noWrap w:val="0"/>
                  <w:vAlign w:val="center"/>
                </w:tcPr>
                <w:p w14:paraId="7FAC5C2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highlight w:val="none"/>
                      <w:lang w:val="en-US" w:eastAsia="zh-CN" w:bidi="ar"/>
                    </w:rPr>
                    <w:t>—</w:t>
                  </w:r>
                </w:p>
              </w:tc>
              <w:tc>
                <w:tcPr>
                  <w:tcW w:w="875" w:type="dxa"/>
                  <w:tcBorders>
                    <w:top w:val="single" w:color="auto" w:sz="4" w:space="0"/>
                    <w:left w:val="single" w:color="auto" w:sz="4" w:space="0"/>
                    <w:bottom w:val="single" w:color="auto" w:sz="4" w:space="0"/>
                    <w:right w:val="single" w:color="auto" w:sz="4" w:space="0"/>
                  </w:tcBorders>
                  <w:noWrap w:val="0"/>
                  <w:vAlign w:val="center"/>
                </w:tcPr>
                <w:p w14:paraId="71C646B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10.4</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1BE1A5C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100</w:t>
                  </w:r>
                </w:p>
              </w:tc>
              <w:tc>
                <w:tcPr>
                  <w:tcW w:w="715" w:type="dxa"/>
                  <w:tcBorders>
                    <w:top w:val="single" w:color="auto" w:sz="4" w:space="0"/>
                    <w:left w:val="single" w:color="auto" w:sz="4" w:space="0"/>
                    <w:bottom w:val="single" w:color="auto" w:sz="4" w:space="0"/>
                    <w:right w:val="single" w:color="auto" w:sz="4" w:space="0"/>
                  </w:tcBorders>
                  <w:noWrap w:val="0"/>
                  <w:vAlign w:val="center"/>
                </w:tcPr>
                <w:p w14:paraId="0214CB8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2.1</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03A1AB62">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100</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4BF6C61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highlight w:val="none"/>
                      <w:lang w:val="en-US" w:eastAsia="zh-CN" w:bidi="ar"/>
                    </w:rPr>
                    <w:t>—</w:t>
                  </w:r>
                </w:p>
              </w:tc>
              <w:tc>
                <w:tcPr>
                  <w:tcW w:w="727" w:type="dxa"/>
                  <w:tcBorders>
                    <w:top w:val="single" w:color="auto" w:sz="4" w:space="0"/>
                    <w:left w:val="single" w:color="auto" w:sz="4" w:space="0"/>
                    <w:bottom w:val="single" w:color="auto" w:sz="4" w:space="0"/>
                    <w:right w:val="single" w:color="auto" w:sz="4" w:space="0"/>
                  </w:tcBorders>
                  <w:noWrap w:val="0"/>
                  <w:vAlign w:val="center"/>
                </w:tcPr>
                <w:p w14:paraId="59C04184">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highlight w:val="none"/>
                      <w:lang w:val="en-US" w:eastAsia="zh-CN" w:bidi="ar"/>
                    </w:rPr>
                    <w:t>—</w:t>
                  </w:r>
                </w:p>
              </w:tc>
            </w:tr>
            <w:tr w14:paraId="56E33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26" w:hRule="atLeast"/>
                <w:jc w:val="center"/>
              </w:trPr>
              <w:tc>
                <w:tcPr>
                  <w:tcW w:w="1010" w:type="dxa"/>
                  <w:vMerge w:val="continue"/>
                  <w:tcBorders>
                    <w:left w:val="single" w:color="auto" w:sz="4" w:space="0"/>
                    <w:right w:val="single" w:color="auto" w:sz="4" w:space="0"/>
                  </w:tcBorders>
                  <w:noWrap w:val="0"/>
                  <w:vAlign w:val="center"/>
                </w:tcPr>
                <w:p w14:paraId="21AFC406">
                  <w:pPr>
                    <w:spacing w:line="240" w:lineRule="exact"/>
                    <w:jc w:val="center"/>
                    <w:rPr>
                      <w:rFonts w:hint="default" w:ascii="Times New Roman" w:hAnsi="Times New Roman" w:cs="Times New Roman"/>
                      <w:color w:val="auto"/>
                      <w:kern w:val="0"/>
                      <w:sz w:val="21"/>
                      <w:szCs w:val="21"/>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7D6A9B8A">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臭气浓度</w:t>
                  </w:r>
                </w:p>
              </w:tc>
              <w:tc>
                <w:tcPr>
                  <w:tcW w:w="696" w:type="dxa"/>
                  <w:tcBorders>
                    <w:top w:val="single" w:color="auto" w:sz="4" w:space="0"/>
                    <w:left w:val="single" w:color="auto" w:sz="4" w:space="0"/>
                    <w:bottom w:val="single" w:color="auto" w:sz="4" w:space="0"/>
                    <w:right w:val="single" w:color="auto" w:sz="4" w:space="0"/>
                  </w:tcBorders>
                  <w:noWrap w:val="0"/>
                  <w:vAlign w:val="center"/>
                </w:tcPr>
                <w:p w14:paraId="50016563">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24</w:t>
                  </w:r>
                </w:p>
              </w:tc>
              <w:tc>
                <w:tcPr>
                  <w:tcW w:w="871" w:type="dxa"/>
                  <w:tcBorders>
                    <w:top w:val="single" w:color="auto" w:sz="4" w:space="0"/>
                    <w:left w:val="single" w:color="auto" w:sz="4" w:space="0"/>
                    <w:bottom w:val="single" w:color="auto" w:sz="4" w:space="0"/>
                    <w:right w:val="single" w:color="auto" w:sz="4" w:space="0"/>
                  </w:tcBorders>
                  <w:noWrap w:val="0"/>
                  <w:vAlign w:val="center"/>
                </w:tcPr>
                <w:p w14:paraId="671EBB79">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highlight w:val="none"/>
                      <w:lang w:val="en-US" w:eastAsia="zh-CN" w:bidi="ar"/>
                    </w:rPr>
                    <w:t>—</w:t>
                  </w:r>
                </w:p>
              </w:tc>
              <w:tc>
                <w:tcPr>
                  <w:tcW w:w="798" w:type="dxa"/>
                  <w:tcBorders>
                    <w:top w:val="single" w:color="auto" w:sz="4" w:space="0"/>
                    <w:left w:val="single" w:color="auto" w:sz="4" w:space="0"/>
                    <w:bottom w:val="single" w:color="auto" w:sz="4" w:space="0"/>
                    <w:right w:val="single" w:color="auto" w:sz="4" w:space="0"/>
                  </w:tcBorders>
                  <w:noWrap w:val="0"/>
                  <w:vAlign w:val="center"/>
                </w:tcPr>
                <w:p w14:paraId="38667BBC">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highlight w:val="none"/>
                      <w:lang w:val="en-US" w:eastAsia="zh-CN" w:bidi="ar"/>
                    </w:rPr>
                    <w:t>—</w:t>
                  </w:r>
                </w:p>
              </w:tc>
              <w:tc>
                <w:tcPr>
                  <w:tcW w:w="875" w:type="dxa"/>
                  <w:tcBorders>
                    <w:top w:val="single" w:color="auto" w:sz="4" w:space="0"/>
                    <w:left w:val="single" w:color="auto" w:sz="4" w:space="0"/>
                    <w:bottom w:val="single" w:color="auto" w:sz="4" w:space="0"/>
                    <w:right w:val="single" w:color="auto" w:sz="4" w:space="0"/>
                  </w:tcBorders>
                  <w:noWrap w:val="0"/>
                  <w:vAlign w:val="center"/>
                </w:tcPr>
                <w:p w14:paraId="1F7918AB">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highlight w:val="none"/>
                      <w:lang w:val="en-US" w:eastAsia="zh-CN" w:bidi="ar"/>
                    </w:rPr>
                    <w:t>—</w:t>
                  </w:r>
                </w:p>
              </w:tc>
              <w:tc>
                <w:tcPr>
                  <w:tcW w:w="787" w:type="dxa"/>
                  <w:tcBorders>
                    <w:top w:val="single" w:color="auto" w:sz="4" w:space="0"/>
                    <w:left w:val="single" w:color="auto" w:sz="4" w:space="0"/>
                    <w:bottom w:val="single" w:color="auto" w:sz="4" w:space="0"/>
                    <w:right w:val="single" w:color="auto" w:sz="4" w:space="0"/>
                  </w:tcBorders>
                  <w:noWrap w:val="0"/>
                  <w:vAlign w:val="center"/>
                </w:tcPr>
                <w:p w14:paraId="281A1C21">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highlight w:val="none"/>
                      <w:lang w:val="en-US" w:eastAsia="zh-CN" w:bidi="ar"/>
                    </w:rPr>
                    <w:t>—</w:t>
                  </w:r>
                </w:p>
              </w:tc>
              <w:tc>
                <w:tcPr>
                  <w:tcW w:w="715" w:type="dxa"/>
                  <w:tcBorders>
                    <w:top w:val="single" w:color="auto" w:sz="4" w:space="0"/>
                    <w:left w:val="single" w:color="auto" w:sz="4" w:space="0"/>
                    <w:bottom w:val="single" w:color="auto" w:sz="4" w:space="0"/>
                    <w:right w:val="single" w:color="auto" w:sz="4" w:space="0"/>
                  </w:tcBorders>
                  <w:noWrap w:val="0"/>
                  <w:vAlign w:val="center"/>
                </w:tcPr>
                <w:p w14:paraId="178919C7">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highlight w:val="none"/>
                      <w:lang w:val="en-US" w:eastAsia="zh-CN" w:bidi="ar"/>
                    </w:rPr>
                    <w:t>—</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110503D5">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 w:val="21"/>
                      <w:szCs w:val="21"/>
                      <w:highlight w:val="none"/>
                      <w:lang w:val="en-US" w:eastAsia="zh-CN" w:bidi="ar"/>
                    </w:rPr>
                    <w:t>—</w:t>
                  </w:r>
                </w:p>
              </w:tc>
              <w:tc>
                <w:tcPr>
                  <w:tcW w:w="779" w:type="dxa"/>
                  <w:tcBorders>
                    <w:top w:val="single" w:color="auto" w:sz="4" w:space="0"/>
                    <w:left w:val="single" w:color="auto" w:sz="4" w:space="0"/>
                    <w:bottom w:val="single" w:color="auto" w:sz="4" w:space="0"/>
                    <w:right w:val="single" w:color="auto" w:sz="4" w:space="0"/>
                  </w:tcBorders>
                  <w:noWrap w:val="0"/>
                  <w:vAlign w:val="center"/>
                </w:tcPr>
                <w:p w14:paraId="67AF3599">
                  <w:pPr>
                    <w:jc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w:t>
                  </w:r>
                </w:p>
              </w:tc>
              <w:tc>
                <w:tcPr>
                  <w:tcW w:w="727" w:type="dxa"/>
                  <w:tcBorders>
                    <w:top w:val="single" w:color="auto" w:sz="4" w:space="0"/>
                    <w:left w:val="single" w:color="auto" w:sz="4" w:space="0"/>
                    <w:bottom w:val="single" w:color="auto" w:sz="4" w:space="0"/>
                    <w:right w:val="single" w:color="auto" w:sz="4" w:space="0"/>
                  </w:tcBorders>
                  <w:noWrap w:val="0"/>
                  <w:vAlign w:val="center"/>
                </w:tcPr>
                <w:p w14:paraId="61517090">
                  <w:pPr>
                    <w:jc w:val="center"/>
                    <w:rPr>
                      <w:rFonts w:hint="default" w:ascii="Times New Roman" w:hAnsi="Times New Roman" w:cs="Times New Roman"/>
                      <w:color w:val="auto"/>
                      <w:kern w:val="0"/>
                      <w:sz w:val="21"/>
                      <w:szCs w:val="21"/>
                      <w:highlight w:val="none"/>
                      <w:lang w:val="en-US" w:eastAsia="zh-CN" w:bidi="ar"/>
                    </w:rPr>
                  </w:pPr>
                  <w:r>
                    <w:rPr>
                      <w:rFonts w:hint="default" w:ascii="Times New Roman" w:hAnsi="Times New Roman" w:cs="Times New Roman"/>
                      <w:color w:val="auto"/>
                      <w:kern w:val="0"/>
                      <w:sz w:val="21"/>
                      <w:szCs w:val="21"/>
                      <w:highlight w:val="none"/>
                      <w:lang w:val="en-US" w:eastAsia="zh-CN" w:bidi="ar"/>
                    </w:rPr>
                    <w:t>—</w:t>
                  </w:r>
                </w:p>
              </w:tc>
            </w:tr>
          </w:tbl>
          <w:p w14:paraId="0041400A">
            <w:pPr>
              <w:widowControl/>
              <w:adjustRightInd w:val="0"/>
              <w:snapToGrid w:val="0"/>
              <w:spacing w:line="500" w:lineRule="exact"/>
            </w:pPr>
          </w:p>
        </w:tc>
      </w:tr>
    </w:tbl>
    <w:p w14:paraId="2AF902D4">
      <w:pPr>
        <w:pStyle w:val="28"/>
        <w:adjustRightInd w:val="0"/>
        <w:snapToGrid w:val="0"/>
        <w:spacing w:after="0" w:line="500" w:lineRule="exact"/>
        <w:ind w:left="0" w:leftChars="0" w:firstLine="0"/>
        <w:outlineLvl w:val="0"/>
        <w:rPr>
          <w:rFonts w:hAnsi="Times New Roman" w:cs="Times New Roman"/>
          <w:b/>
          <w:bCs/>
          <w:color w:val="auto"/>
          <w:sz w:val="28"/>
          <w:szCs w:val="28"/>
        </w:rPr>
      </w:pPr>
      <w:bookmarkStart w:id="19" w:name="_Toc24486"/>
      <w:bookmarkStart w:id="20" w:name="_Toc28816"/>
      <w:bookmarkStart w:id="21" w:name="_Toc15627898"/>
      <w:r>
        <w:rPr>
          <w:rFonts w:hAnsi="Times New Roman" w:cs="Times New Roman"/>
          <w:b/>
          <w:bCs/>
          <w:color w:val="auto"/>
          <w:sz w:val="28"/>
          <w:szCs w:val="28"/>
        </w:rPr>
        <w:t>表六</w:t>
      </w:r>
      <w:r>
        <w:rPr>
          <w:rFonts w:hint="eastAsia" w:hAnsi="Times New Roman" w:cs="Times New Roman"/>
          <w:b/>
          <w:bCs/>
          <w:color w:val="auto"/>
          <w:sz w:val="28"/>
          <w:szCs w:val="28"/>
        </w:rPr>
        <w:t>、</w:t>
      </w:r>
      <w:r>
        <w:rPr>
          <w:rFonts w:hAnsi="Times New Roman" w:cs="Times New Roman"/>
          <w:b/>
          <w:bCs/>
          <w:color w:val="auto"/>
          <w:sz w:val="28"/>
          <w:szCs w:val="28"/>
        </w:rPr>
        <w:t>验收监测点位、监测项目及监测频率</w:t>
      </w:r>
      <w:bookmarkEnd w:id="19"/>
      <w:bookmarkEnd w:id="20"/>
      <w:bookmarkEnd w:id="21"/>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3F37F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5AF3AE35">
            <w:pPr>
              <w:pStyle w:val="28"/>
              <w:widowControl/>
              <w:adjustRightInd w:val="0"/>
              <w:snapToGrid w:val="0"/>
              <w:spacing w:after="0" w:line="500" w:lineRule="exact"/>
              <w:ind w:left="0" w:leftChars="0" w:firstLine="482" w:firstLineChars="200"/>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1</w:t>
            </w:r>
            <w:r>
              <w:rPr>
                <w:rFonts w:hint="eastAsia" w:hAnsi="Times New Roman" w:cs="Times New Roman" w:eastAsiaTheme="minorEastAsia"/>
                <w:b/>
                <w:bCs/>
                <w:color w:val="auto"/>
                <w:sz w:val="24"/>
              </w:rPr>
              <w:t>、</w:t>
            </w:r>
            <w:r>
              <w:rPr>
                <w:rFonts w:hAnsi="Times New Roman" w:cs="Times New Roman" w:eastAsiaTheme="minorEastAsia"/>
                <w:b/>
                <w:bCs/>
                <w:color w:val="auto"/>
                <w:sz w:val="24"/>
              </w:rPr>
              <w:t>废气监测</w:t>
            </w:r>
          </w:p>
          <w:p w14:paraId="516F0763">
            <w:pPr>
              <w:pStyle w:val="28"/>
              <w:adjustRightInd w:val="0"/>
              <w:snapToGrid w:val="0"/>
              <w:spacing w:after="0" w:line="500" w:lineRule="exact"/>
              <w:ind w:left="0" w:leftChars="0" w:firstLine="0"/>
              <w:jc w:val="center"/>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-2</w:t>
            </w:r>
            <w:r>
              <w:rPr>
                <w:rFonts w:hAnsi="Times New Roman" w:cs="Times New Roman" w:eastAsiaTheme="minorEastAsia"/>
                <w:b/>
                <w:color w:val="auto"/>
                <w:sz w:val="24"/>
              </w:rPr>
              <w:t>废气监测内容</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346"/>
              <w:gridCol w:w="1875"/>
              <w:gridCol w:w="1275"/>
              <w:gridCol w:w="1485"/>
              <w:gridCol w:w="2878"/>
            </w:tblGrid>
            <w:tr w14:paraId="64D4B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5" w:type="dxa"/>
                  <w:vAlign w:val="center"/>
                </w:tcPr>
                <w:p w14:paraId="2B7B3C87">
                  <w:pPr>
                    <w:pStyle w:val="36"/>
                    <w:snapToGrid w:val="0"/>
                    <w:jc w:val="center"/>
                    <w:rPr>
                      <w:rFonts w:ascii="Times New Roman"/>
                      <w:color w:val="auto"/>
                      <w:sz w:val="21"/>
                      <w:szCs w:val="21"/>
                    </w:rPr>
                  </w:pPr>
                  <w:r>
                    <w:rPr>
                      <w:rFonts w:ascii="Times New Roman"/>
                      <w:color w:val="auto"/>
                      <w:sz w:val="21"/>
                      <w:szCs w:val="21"/>
                    </w:rPr>
                    <w:t>监测项目</w:t>
                  </w:r>
                </w:p>
              </w:tc>
              <w:tc>
                <w:tcPr>
                  <w:tcW w:w="2221" w:type="dxa"/>
                  <w:gridSpan w:val="2"/>
                  <w:vAlign w:val="center"/>
                </w:tcPr>
                <w:p w14:paraId="31CDDF89">
                  <w:pPr>
                    <w:pStyle w:val="36"/>
                    <w:snapToGrid w:val="0"/>
                    <w:jc w:val="center"/>
                    <w:rPr>
                      <w:rFonts w:ascii="Times New Roman"/>
                      <w:color w:val="auto"/>
                      <w:sz w:val="21"/>
                      <w:szCs w:val="21"/>
                    </w:rPr>
                  </w:pPr>
                  <w:r>
                    <w:rPr>
                      <w:rFonts w:ascii="Times New Roman"/>
                      <w:color w:val="auto"/>
                      <w:sz w:val="21"/>
                      <w:szCs w:val="21"/>
                    </w:rPr>
                    <w:t>监测点位</w:t>
                  </w:r>
                </w:p>
              </w:tc>
              <w:tc>
                <w:tcPr>
                  <w:tcW w:w="1275" w:type="dxa"/>
                  <w:vAlign w:val="center"/>
                </w:tcPr>
                <w:p w14:paraId="4205521A">
                  <w:pPr>
                    <w:pStyle w:val="36"/>
                    <w:snapToGrid w:val="0"/>
                    <w:jc w:val="center"/>
                    <w:rPr>
                      <w:rFonts w:ascii="Times New Roman"/>
                      <w:color w:val="auto"/>
                      <w:sz w:val="21"/>
                      <w:szCs w:val="21"/>
                    </w:rPr>
                  </w:pPr>
                  <w:r>
                    <w:rPr>
                      <w:rFonts w:ascii="Times New Roman"/>
                      <w:color w:val="auto"/>
                      <w:sz w:val="21"/>
                      <w:szCs w:val="21"/>
                    </w:rPr>
                    <w:t>监测因子</w:t>
                  </w:r>
                </w:p>
              </w:tc>
              <w:tc>
                <w:tcPr>
                  <w:tcW w:w="1485" w:type="dxa"/>
                  <w:vAlign w:val="center"/>
                </w:tcPr>
                <w:p w14:paraId="612B8649">
                  <w:pPr>
                    <w:pStyle w:val="36"/>
                    <w:snapToGrid w:val="0"/>
                    <w:jc w:val="center"/>
                    <w:rPr>
                      <w:rFonts w:ascii="Times New Roman"/>
                      <w:color w:val="auto"/>
                      <w:sz w:val="21"/>
                      <w:szCs w:val="21"/>
                    </w:rPr>
                  </w:pPr>
                  <w:r>
                    <w:rPr>
                      <w:rFonts w:ascii="Times New Roman"/>
                      <w:color w:val="auto"/>
                      <w:sz w:val="21"/>
                      <w:szCs w:val="21"/>
                    </w:rPr>
                    <w:t>频次</w:t>
                  </w:r>
                </w:p>
              </w:tc>
              <w:tc>
                <w:tcPr>
                  <w:tcW w:w="2878" w:type="dxa"/>
                  <w:vAlign w:val="center"/>
                </w:tcPr>
                <w:p w14:paraId="5DCB8C5D">
                  <w:pPr>
                    <w:pStyle w:val="36"/>
                    <w:snapToGrid w:val="0"/>
                    <w:jc w:val="center"/>
                    <w:rPr>
                      <w:rFonts w:ascii="Times New Roman"/>
                      <w:color w:val="auto"/>
                      <w:sz w:val="21"/>
                      <w:szCs w:val="21"/>
                    </w:rPr>
                  </w:pPr>
                  <w:r>
                    <w:rPr>
                      <w:rFonts w:ascii="Times New Roman"/>
                      <w:color w:val="auto"/>
                      <w:sz w:val="21"/>
                      <w:szCs w:val="21"/>
                    </w:rPr>
                    <w:t>执行标准</w:t>
                  </w:r>
                </w:p>
              </w:tc>
            </w:tr>
            <w:tr w14:paraId="7D6EC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5" w:type="dxa"/>
                  <w:vMerge w:val="restart"/>
                  <w:vAlign w:val="center"/>
                </w:tcPr>
                <w:p w14:paraId="4E8669EA">
                  <w:pPr>
                    <w:pStyle w:val="36"/>
                    <w:snapToGrid w:val="0"/>
                    <w:jc w:val="center"/>
                    <w:rPr>
                      <w:rFonts w:ascii="Times New Roman"/>
                      <w:color w:val="auto"/>
                      <w:sz w:val="21"/>
                      <w:szCs w:val="21"/>
                    </w:rPr>
                  </w:pPr>
                  <w:r>
                    <w:rPr>
                      <w:rFonts w:ascii="Times New Roman"/>
                      <w:color w:val="auto"/>
                      <w:sz w:val="21"/>
                      <w:szCs w:val="21"/>
                    </w:rPr>
                    <w:t>废气</w:t>
                  </w:r>
                </w:p>
              </w:tc>
              <w:tc>
                <w:tcPr>
                  <w:tcW w:w="346" w:type="dxa"/>
                  <w:vAlign w:val="center"/>
                </w:tcPr>
                <w:p w14:paraId="159A1B8A">
                  <w:pPr>
                    <w:adjustRightInd w:val="0"/>
                    <w:snapToGrid w:val="0"/>
                    <w:jc w:val="center"/>
                    <w:rPr>
                      <w:rFonts w:ascii="Times New Roman" w:hAnsi="Times New Roman" w:eastAsia="宋体" w:cs="Times New Roman"/>
                      <w:sz w:val="21"/>
                      <w:szCs w:val="21"/>
                    </w:rPr>
                  </w:pPr>
                  <w:r>
                    <w:rPr>
                      <w:rFonts w:ascii="Times New Roman" w:hAnsi="Times New Roman" w:eastAsia="宋体" w:cs="Times New Roman"/>
                      <w:sz w:val="21"/>
                      <w:szCs w:val="21"/>
                    </w:rPr>
                    <w:t>有组织</w:t>
                  </w:r>
                </w:p>
              </w:tc>
              <w:tc>
                <w:tcPr>
                  <w:tcW w:w="1875" w:type="dxa"/>
                  <w:vAlign w:val="center"/>
                </w:tcPr>
                <w:p w14:paraId="541F3554">
                  <w:pPr>
                    <w:adjustRightInd w:val="0"/>
                    <w:snapToGrid w:val="0"/>
                    <w:jc w:val="center"/>
                    <w:rPr>
                      <w:rFonts w:hint="eastAsia" w:ascii="Times New Roman" w:hAnsi="Times New Roman" w:eastAsia="宋体" w:cs="Times New Roman"/>
                      <w:sz w:val="21"/>
                      <w:szCs w:val="21"/>
                      <w:lang w:eastAsia="zh-CN"/>
                    </w:rPr>
                  </w:pPr>
                  <w:r>
                    <w:rPr>
                      <w:rFonts w:hint="default" w:ascii="Times New Roman" w:hAnsi="Times New Roman" w:eastAsia="宋体" w:cs="Times New Roman"/>
                      <w:bCs/>
                      <w:sz w:val="21"/>
                      <w:szCs w:val="21"/>
                    </w:rPr>
                    <w:t>车间有组织废气排放口</w:t>
                  </w:r>
                  <w:r>
                    <w:rPr>
                      <w:rFonts w:hint="eastAsia" w:ascii="Times New Roman" w:hAnsi="Times New Roman" w:eastAsia="宋体" w:cs="Times New Roman"/>
                      <w:bCs/>
                      <w:sz w:val="21"/>
                      <w:szCs w:val="21"/>
                      <w:lang w:eastAsia="zh-CN"/>
                    </w:rPr>
                    <w:t>，</w:t>
                  </w:r>
                  <w:r>
                    <w:rPr>
                      <w:rFonts w:hint="default" w:ascii="Times New Roman" w:hAnsi="Times New Roman" w:eastAsia="宋体" w:cs="Times New Roman"/>
                      <w:bCs/>
                      <w:sz w:val="21"/>
                      <w:szCs w:val="21"/>
                      <w:lang w:val="en-US" w:eastAsia="zh-CN"/>
                    </w:rPr>
                    <w:t>进</w:t>
                  </w:r>
                  <w:r>
                    <w:rPr>
                      <w:rFonts w:hint="eastAsia" w:ascii="Times New Roman" w:hAnsi="Times New Roman" w:eastAsia="宋体" w:cs="Times New Roman"/>
                      <w:bCs/>
                      <w:sz w:val="21"/>
                      <w:szCs w:val="21"/>
                      <w:lang w:val="en-US" w:eastAsia="zh-CN"/>
                    </w:rPr>
                    <w:t>、</w:t>
                  </w:r>
                  <w:r>
                    <w:rPr>
                      <w:rFonts w:hint="default" w:ascii="Times New Roman" w:hAnsi="Times New Roman" w:eastAsia="宋体" w:cs="Times New Roman"/>
                      <w:bCs/>
                      <w:sz w:val="21"/>
                      <w:szCs w:val="21"/>
                      <w:lang w:val="en-US" w:eastAsia="zh-CN"/>
                    </w:rPr>
                    <w:t>出口各</w:t>
                  </w:r>
                  <w:r>
                    <w:rPr>
                      <w:rFonts w:hint="default" w:ascii="Times New Roman" w:hAnsi="Times New Roman" w:eastAsia="宋体" w:cs="Times New Roman"/>
                      <w:bCs/>
                      <w:sz w:val="21"/>
                      <w:szCs w:val="21"/>
                    </w:rPr>
                    <w:t>监测1个点位</w:t>
                  </w:r>
                  <w:r>
                    <w:rPr>
                      <w:rFonts w:hint="default" w:ascii="Times New Roman" w:hAnsi="Times New Roman" w:eastAsia="宋体" w:cs="Times New Roman"/>
                      <w:bCs/>
                      <w:sz w:val="21"/>
                      <w:szCs w:val="21"/>
                      <w:lang w:val="en-US" w:eastAsia="zh-CN"/>
                    </w:rPr>
                    <w:t>G1、G2</w:t>
                  </w:r>
                </w:p>
              </w:tc>
              <w:tc>
                <w:tcPr>
                  <w:tcW w:w="1275" w:type="dxa"/>
                  <w:vAlign w:val="center"/>
                </w:tcPr>
                <w:p w14:paraId="4C4DBA32">
                  <w:pPr>
                    <w:widowControl/>
                    <w:adjustRightInd w:val="0"/>
                    <w:snapToGrid w:val="0"/>
                    <w:jc w:val="center"/>
                    <w:rPr>
                      <w:rFonts w:hint="default" w:ascii="Times New Roman" w:hAnsi="Times New Roman" w:eastAsia="宋体" w:cs="Times New Roman"/>
                      <w:sz w:val="21"/>
                      <w:szCs w:val="21"/>
                      <w:lang w:val="en-US" w:eastAsia="zh-CN"/>
                    </w:rPr>
                  </w:pPr>
                  <w:r>
                    <w:rPr>
                      <w:rFonts w:ascii="Times New Roman" w:hAnsi="Times New Roman" w:eastAsia="宋体" w:cs="Times New Roman"/>
                      <w:bCs/>
                      <w:sz w:val="21"/>
                      <w:szCs w:val="21"/>
                    </w:rPr>
                    <w:t>非甲烷总烃</w:t>
                  </w:r>
                  <w:r>
                    <w:rPr>
                      <w:rFonts w:hint="eastAsia" w:ascii="Times New Roman" w:hAnsi="Times New Roman" w:eastAsia="宋体" w:cs="Times New Roman"/>
                      <w:bCs/>
                      <w:sz w:val="21"/>
                      <w:szCs w:val="21"/>
                      <w:lang w:eastAsia="zh-CN"/>
                    </w:rPr>
                    <w:t>、</w:t>
                  </w:r>
                  <w:r>
                    <w:rPr>
                      <w:rFonts w:hint="eastAsia" w:ascii="Times New Roman" w:hAnsi="Times New Roman" w:eastAsia="宋体" w:cs="Times New Roman"/>
                      <w:bCs/>
                      <w:sz w:val="21"/>
                      <w:szCs w:val="21"/>
                      <w:lang w:val="en-US" w:eastAsia="zh-CN"/>
                    </w:rPr>
                    <w:t>臭气浓度</w:t>
                  </w:r>
                </w:p>
              </w:tc>
              <w:tc>
                <w:tcPr>
                  <w:tcW w:w="1485" w:type="dxa"/>
                  <w:vAlign w:val="center"/>
                </w:tcPr>
                <w:p w14:paraId="5CECF278">
                  <w:pPr>
                    <w:pStyle w:val="36"/>
                    <w:snapToGrid w:val="0"/>
                    <w:jc w:val="center"/>
                    <w:rPr>
                      <w:rFonts w:ascii="Times New Roman"/>
                      <w:color w:val="auto"/>
                      <w:sz w:val="21"/>
                      <w:szCs w:val="21"/>
                    </w:rPr>
                  </w:pPr>
                  <w:r>
                    <w:rPr>
                      <w:rFonts w:ascii="Times New Roman"/>
                      <w:color w:val="auto"/>
                      <w:sz w:val="21"/>
                      <w:szCs w:val="21"/>
                    </w:rPr>
                    <w:t>正常工况下，连续监测2天，每天3次</w:t>
                  </w:r>
                </w:p>
              </w:tc>
              <w:tc>
                <w:tcPr>
                  <w:tcW w:w="2878" w:type="dxa"/>
                  <w:vAlign w:val="center"/>
                </w:tcPr>
                <w:p w14:paraId="091ECB6D">
                  <w:pPr>
                    <w:pStyle w:val="36"/>
                    <w:snapToGrid w:val="0"/>
                    <w:jc w:val="center"/>
                    <w:rPr>
                      <w:rFonts w:ascii="Times New Roman"/>
                      <w:color w:val="auto"/>
                      <w:sz w:val="21"/>
                      <w:szCs w:val="21"/>
                    </w:rPr>
                  </w:pPr>
                  <w:r>
                    <w:rPr>
                      <w:rFonts w:hint="default" w:ascii="Times New Roman" w:hAnsi="Times New Roman" w:eastAsia="宋体" w:cs="Times New Roman"/>
                      <w:color w:val="000000"/>
                      <w:kern w:val="0"/>
                      <w:sz w:val="21"/>
                      <w:szCs w:val="21"/>
                      <w:lang w:val="en-US" w:eastAsia="zh-CN" w:bidi="ar"/>
                    </w:rPr>
                    <w:t>非甲烷总烃执行《合成树脂工业污染物排放标准》（GB31572-2015）（含2024年修改单）中表4大气污染物排放限值；臭气浓度执行</w:t>
                  </w:r>
                  <w:r>
                    <w:rPr>
                      <w:rFonts w:hint="default" w:ascii="Times New Roman" w:hAnsi="Times New Roman" w:cs="Times New Roman"/>
                      <w:sz w:val="21"/>
                      <w:szCs w:val="21"/>
                      <w:lang w:val="en-US" w:eastAsia="zh-CN"/>
                    </w:rPr>
                    <w:t>《恶臭污染物排放标准》（GB14554-93）中表2排放标准限值</w:t>
                  </w:r>
                </w:p>
              </w:tc>
            </w:tr>
            <w:tr w14:paraId="1CF3B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5" w:type="dxa"/>
                  <w:vMerge w:val="continue"/>
                  <w:vAlign w:val="center"/>
                </w:tcPr>
                <w:p w14:paraId="1D20FC89">
                  <w:pPr>
                    <w:pStyle w:val="36"/>
                    <w:snapToGrid w:val="0"/>
                    <w:jc w:val="center"/>
                    <w:rPr>
                      <w:rFonts w:ascii="Times New Roman"/>
                      <w:color w:val="auto"/>
                      <w:sz w:val="21"/>
                      <w:szCs w:val="21"/>
                    </w:rPr>
                  </w:pPr>
                </w:p>
              </w:tc>
              <w:tc>
                <w:tcPr>
                  <w:tcW w:w="346" w:type="dxa"/>
                  <w:vAlign w:val="center"/>
                </w:tcPr>
                <w:p w14:paraId="1584D14A">
                  <w:pPr>
                    <w:adjustRightInd w:val="0"/>
                    <w:snapToGrid w:val="0"/>
                    <w:jc w:val="center"/>
                    <w:rPr>
                      <w:rFonts w:ascii="Times New Roman" w:hAnsi="Times New Roman" w:eastAsia="宋体" w:cs="Times New Roman"/>
                      <w:sz w:val="21"/>
                      <w:szCs w:val="21"/>
                    </w:rPr>
                  </w:pPr>
                  <w:r>
                    <w:rPr>
                      <w:rFonts w:ascii="Times New Roman" w:hAnsi="Times New Roman" w:eastAsia="宋体" w:cs="Times New Roman"/>
                      <w:sz w:val="21"/>
                      <w:szCs w:val="21"/>
                    </w:rPr>
                    <w:t>无组织</w:t>
                  </w:r>
                </w:p>
              </w:tc>
              <w:tc>
                <w:tcPr>
                  <w:tcW w:w="1875" w:type="dxa"/>
                  <w:vAlign w:val="center"/>
                </w:tcPr>
                <w:p w14:paraId="235DBC3B">
                  <w:pPr>
                    <w:adjustRightInd w:val="0"/>
                    <w:snapToGrid w:val="0"/>
                    <w:jc w:val="center"/>
                    <w:rPr>
                      <w:rFonts w:ascii="Times New Roman" w:hAnsi="Times New Roman" w:eastAsia="宋体" w:cs="Times New Roman"/>
                      <w:sz w:val="21"/>
                      <w:szCs w:val="21"/>
                    </w:rPr>
                  </w:pPr>
                  <w:r>
                    <w:rPr>
                      <w:rFonts w:ascii="Times New Roman" w:hAnsi="Times New Roman" w:eastAsia="宋体" w:cs="Times New Roman"/>
                      <w:bCs/>
                      <w:sz w:val="21"/>
                      <w:szCs w:val="21"/>
                    </w:rPr>
                    <w:t>厂界外上风向1个监测点位1#，下风向3个监测点位2#、3#、4#，共计4个监测点位（根据现场风向布置）</w:t>
                  </w:r>
                </w:p>
              </w:tc>
              <w:tc>
                <w:tcPr>
                  <w:tcW w:w="1275" w:type="dxa"/>
                  <w:vAlign w:val="center"/>
                </w:tcPr>
                <w:p w14:paraId="5E0AEDB0">
                  <w:pPr>
                    <w:widowControl/>
                    <w:adjustRightInd w:val="0"/>
                    <w:snapToGrid w:val="0"/>
                    <w:jc w:val="center"/>
                    <w:rPr>
                      <w:rFonts w:ascii="Times New Roman" w:hAnsi="Times New Roman" w:eastAsia="宋体" w:cs="Times New Roman"/>
                      <w:sz w:val="21"/>
                      <w:szCs w:val="21"/>
                    </w:rPr>
                  </w:pPr>
                  <w:r>
                    <w:rPr>
                      <w:rFonts w:ascii="Times New Roman" w:hAnsi="Times New Roman" w:eastAsia="宋体" w:cs="Times New Roman"/>
                      <w:bCs/>
                      <w:sz w:val="21"/>
                      <w:szCs w:val="21"/>
                    </w:rPr>
                    <w:t>非甲烷总烃</w:t>
                  </w:r>
                  <w:r>
                    <w:rPr>
                      <w:rFonts w:hint="eastAsia" w:ascii="Times New Roman" w:hAnsi="Times New Roman" w:eastAsia="宋体" w:cs="Times New Roman"/>
                      <w:bCs/>
                      <w:sz w:val="21"/>
                      <w:szCs w:val="21"/>
                      <w:lang w:eastAsia="zh-CN"/>
                    </w:rPr>
                    <w:t>、</w:t>
                  </w:r>
                  <w:r>
                    <w:rPr>
                      <w:rFonts w:hint="eastAsia" w:ascii="Times New Roman" w:hAnsi="Times New Roman" w:eastAsia="宋体" w:cs="Times New Roman"/>
                      <w:bCs/>
                      <w:sz w:val="21"/>
                      <w:szCs w:val="21"/>
                      <w:lang w:val="en-US" w:eastAsia="zh-CN"/>
                    </w:rPr>
                    <w:t>臭气浓度</w:t>
                  </w:r>
                </w:p>
              </w:tc>
              <w:tc>
                <w:tcPr>
                  <w:tcW w:w="1485" w:type="dxa"/>
                  <w:vAlign w:val="center"/>
                </w:tcPr>
                <w:p w14:paraId="644D5300">
                  <w:pPr>
                    <w:adjustRightInd w:val="0"/>
                    <w:snapToGrid w:val="0"/>
                    <w:jc w:val="center"/>
                    <w:rPr>
                      <w:rFonts w:ascii="Times New Roman" w:hAnsi="Times New Roman" w:eastAsia="宋体" w:cs="Times New Roman"/>
                      <w:sz w:val="21"/>
                      <w:szCs w:val="21"/>
                    </w:rPr>
                  </w:pPr>
                  <w:r>
                    <w:rPr>
                      <w:rFonts w:ascii="Times New Roman" w:hAnsi="Times New Roman" w:eastAsia="宋体" w:cs="Times New Roman"/>
                      <w:sz w:val="21"/>
                      <w:szCs w:val="21"/>
                    </w:rPr>
                    <w:t>正常工况下，连续监测2天，每天3次</w:t>
                  </w:r>
                </w:p>
              </w:tc>
              <w:tc>
                <w:tcPr>
                  <w:tcW w:w="2878" w:type="dxa"/>
                  <w:vAlign w:val="center"/>
                </w:tcPr>
                <w:p w14:paraId="05760D95">
                  <w:pPr>
                    <w:pStyle w:val="36"/>
                    <w:snapToGrid w:val="0"/>
                    <w:jc w:val="center"/>
                    <w:rPr>
                      <w:rFonts w:ascii="Times New Roman"/>
                      <w:bCs/>
                      <w:sz w:val="21"/>
                      <w:szCs w:val="21"/>
                    </w:rPr>
                  </w:pPr>
                  <w:r>
                    <w:rPr>
                      <w:rFonts w:hint="eastAsia" w:ascii="Times New Roman" w:hAnsi="Times New Roman" w:eastAsia="宋体" w:cs="Times New Roman"/>
                      <w:sz w:val="21"/>
                      <w:szCs w:val="21"/>
                      <w:lang w:val="en-US" w:eastAsia="zh-CN"/>
                    </w:rPr>
                    <w:t>非甲烷总烃执行《合成树脂工业污染物排放标准》（</w:t>
                  </w:r>
                  <w:r>
                    <w:rPr>
                      <w:rFonts w:hint="default" w:ascii="Times New Roman" w:hAnsi="Times New Roman" w:eastAsia="宋体" w:cs="Times New Roman"/>
                      <w:sz w:val="21"/>
                      <w:szCs w:val="21"/>
                      <w:lang w:val="en-US" w:eastAsia="zh-CN"/>
                    </w:rPr>
                    <w:t>GB31572-2015</w:t>
                  </w:r>
                  <w:r>
                    <w:rPr>
                      <w:rFonts w:hint="eastAsia" w:ascii="Times New Roman" w:hAnsi="Times New Roman" w:eastAsia="宋体" w:cs="Times New Roman"/>
                      <w:sz w:val="21"/>
                      <w:szCs w:val="21"/>
                      <w:lang w:val="en-US" w:eastAsia="zh-CN"/>
                    </w:rPr>
                    <w:t>）（含2024年修改单）中表9企业边界大气污染物浓度限值；臭气浓度执行《恶臭污染物排放标准》（</w:t>
                  </w:r>
                  <w:r>
                    <w:rPr>
                      <w:rFonts w:hint="default" w:ascii="Times New Roman" w:hAnsi="Times New Roman" w:eastAsia="宋体" w:cs="Times New Roman"/>
                      <w:sz w:val="21"/>
                      <w:szCs w:val="21"/>
                      <w:lang w:val="en-US" w:eastAsia="zh-CN"/>
                    </w:rPr>
                    <w:t>GB14554-93</w:t>
                  </w:r>
                  <w:r>
                    <w:rPr>
                      <w:rFonts w:hint="eastAsia" w:ascii="Times New Roman" w:hAnsi="Times New Roman" w:eastAsia="宋体" w:cs="Times New Roman"/>
                      <w:sz w:val="21"/>
                      <w:szCs w:val="21"/>
                      <w:lang w:val="en-US" w:eastAsia="zh-CN"/>
                    </w:rPr>
                    <w:t>）中“表</w:t>
                  </w:r>
                  <w:r>
                    <w:rPr>
                      <w:rFonts w:hint="default" w:ascii="Times New Roman" w:hAnsi="Times New Roman" w:eastAsia="宋体" w:cs="Times New Roman"/>
                      <w:sz w:val="21"/>
                      <w:szCs w:val="21"/>
                      <w:lang w:val="en-US" w:eastAsia="zh-CN"/>
                    </w:rPr>
                    <w:t>1</w:t>
                  </w:r>
                  <w:r>
                    <w:rPr>
                      <w:rFonts w:hint="eastAsia" w:ascii="Times New Roman" w:hAnsi="Times New Roman" w:eastAsia="宋体" w:cs="Times New Roman"/>
                      <w:sz w:val="21"/>
                      <w:szCs w:val="21"/>
                      <w:lang w:val="en-US" w:eastAsia="zh-CN"/>
                    </w:rPr>
                    <w:t>二级新扩改建”排放标准限值</w:t>
                  </w:r>
                </w:p>
              </w:tc>
            </w:tr>
          </w:tbl>
          <w:p w14:paraId="42AF2E7A">
            <w:pPr>
              <w:pStyle w:val="28"/>
              <w:widowControl/>
              <w:adjustRightInd w:val="0"/>
              <w:snapToGrid w:val="0"/>
              <w:spacing w:after="0" w:line="460" w:lineRule="exact"/>
              <w:ind w:left="0" w:leftChars="0" w:firstLine="482" w:firstLineChars="200"/>
              <w:rPr>
                <w:rFonts w:cs="Times New Roman"/>
                <w:b/>
                <w:bCs/>
                <w:color w:val="auto"/>
                <w:sz w:val="24"/>
              </w:rPr>
            </w:pPr>
            <w:r>
              <w:rPr>
                <w:rFonts w:hint="eastAsia" w:cs="Times New Roman"/>
                <w:b/>
                <w:bCs/>
                <w:color w:val="auto"/>
                <w:sz w:val="24"/>
                <w:lang w:val="en-US" w:eastAsia="zh-CN"/>
              </w:rPr>
              <w:t>2</w:t>
            </w:r>
            <w:r>
              <w:rPr>
                <w:rFonts w:hint="eastAsia" w:cs="Times New Roman"/>
                <w:b/>
                <w:bCs/>
                <w:color w:val="auto"/>
                <w:sz w:val="24"/>
              </w:rPr>
              <w:t>、噪声监测</w:t>
            </w:r>
          </w:p>
          <w:p w14:paraId="5596D310">
            <w:pPr>
              <w:pStyle w:val="28"/>
              <w:adjustRightInd w:val="0"/>
              <w:snapToGrid w:val="0"/>
              <w:spacing w:after="0" w:line="460" w:lineRule="exact"/>
              <w:ind w:left="0" w:leftChars="0" w:firstLine="0"/>
              <w:jc w:val="center"/>
              <w:rPr>
                <w:rFonts w:cs="Times New Roman"/>
                <w:b/>
                <w:color w:val="auto"/>
                <w:sz w:val="24"/>
              </w:rPr>
            </w:pPr>
            <w:r>
              <w:rPr>
                <w:rFonts w:hint="eastAsia" w:cs="Times New Roman"/>
                <w:b/>
                <w:color w:val="auto"/>
                <w:sz w:val="24"/>
              </w:rPr>
              <w:t>表6-3噪声监测内容</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515"/>
              <w:gridCol w:w="1110"/>
              <w:gridCol w:w="2070"/>
              <w:gridCol w:w="2729"/>
            </w:tblGrid>
            <w:tr w14:paraId="5EF96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Align w:val="center"/>
                </w:tcPr>
                <w:p w14:paraId="162BF75D">
                  <w:pPr>
                    <w:pStyle w:val="36"/>
                    <w:jc w:val="center"/>
                    <w:rPr>
                      <w:rFonts w:ascii="Times New Roman"/>
                      <w:color w:val="auto"/>
                      <w:sz w:val="21"/>
                      <w:szCs w:val="21"/>
                    </w:rPr>
                  </w:pPr>
                  <w:r>
                    <w:rPr>
                      <w:rFonts w:ascii="Times New Roman"/>
                      <w:color w:val="auto"/>
                      <w:sz w:val="21"/>
                      <w:szCs w:val="21"/>
                    </w:rPr>
                    <w:t>监测项目</w:t>
                  </w:r>
                </w:p>
              </w:tc>
              <w:tc>
                <w:tcPr>
                  <w:tcW w:w="1515" w:type="dxa"/>
                  <w:vAlign w:val="center"/>
                </w:tcPr>
                <w:p w14:paraId="2FBD6980">
                  <w:pPr>
                    <w:pStyle w:val="36"/>
                    <w:jc w:val="center"/>
                    <w:rPr>
                      <w:rFonts w:ascii="Times New Roman"/>
                      <w:color w:val="auto"/>
                      <w:sz w:val="21"/>
                      <w:szCs w:val="21"/>
                    </w:rPr>
                  </w:pPr>
                  <w:r>
                    <w:rPr>
                      <w:rFonts w:ascii="Times New Roman"/>
                      <w:color w:val="auto"/>
                      <w:sz w:val="21"/>
                      <w:szCs w:val="21"/>
                    </w:rPr>
                    <w:t>监测点位</w:t>
                  </w:r>
                </w:p>
              </w:tc>
              <w:tc>
                <w:tcPr>
                  <w:tcW w:w="1110" w:type="dxa"/>
                  <w:vAlign w:val="center"/>
                </w:tcPr>
                <w:p w14:paraId="10852E9E">
                  <w:pPr>
                    <w:pStyle w:val="36"/>
                    <w:jc w:val="center"/>
                    <w:rPr>
                      <w:rFonts w:ascii="Times New Roman"/>
                      <w:color w:val="auto"/>
                      <w:sz w:val="21"/>
                      <w:szCs w:val="21"/>
                    </w:rPr>
                  </w:pPr>
                  <w:r>
                    <w:rPr>
                      <w:rFonts w:ascii="Times New Roman"/>
                      <w:color w:val="auto"/>
                      <w:sz w:val="21"/>
                      <w:szCs w:val="21"/>
                    </w:rPr>
                    <w:t>监测因子</w:t>
                  </w:r>
                </w:p>
              </w:tc>
              <w:tc>
                <w:tcPr>
                  <w:tcW w:w="2070" w:type="dxa"/>
                  <w:vAlign w:val="center"/>
                </w:tcPr>
                <w:p w14:paraId="605A1214">
                  <w:pPr>
                    <w:pStyle w:val="36"/>
                    <w:jc w:val="center"/>
                    <w:rPr>
                      <w:rFonts w:ascii="Times New Roman"/>
                      <w:color w:val="auto"/>
                      <w:sz w:val="21"/>
                      <w:szCs w:val="21"/>
                    </w:rPr>
                  </w:pPr>
                  <w:r>
                    <w:rPr>
                      <w:rFonts w:ascii="Times New Roman"/>
                      <w:color w:val="auto"/>
                      <w:sz w:val="21"/>
                      <w:szCs w:val="21"/>
                    </w:rPr>
                    <w:t>频次</w:t>
                  </w:r>
                </w:p>
              </w:tc>
              <w:tc>
                <w:tcPr>
                  <w:tcW w:w="2729" w:type="dxa"/>
                  <w:vAlign w:val="center"/>
                </w:tcPr>
                <w:p w14:paraId="7A746952">
                  <w:pPr>
                    <w:pStyle w:val="36"/>
                    <w:jc w:val="center"/>
                    <w:rPr>
                      <w:rFonts w:ascii="Times New Roman"/>
                      <w:color w:val="auto"/>
                      <w:sz w:val="21"/>
                      <w:szCs w:val="21"/>
                    </w:rPr>
                  </w:pPr>
                  <w:r>
                    <w:rPr>
                      <w:rFonts w:ascii="Times New Roman"/>
                      <w:color w:val="auto"/>
                      <w:sz w:val="21"/>
                      <w:szCs w:val="21"/>
                    </w:rPr>
                    <w:t>执行标准</w:t>
                  </w:r>
                </w:p>
              </w:tc>
            </w:tr>
            <w:tr w14:paraId="4F12B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Align w:val="center"/>
                </w:tcPr>
                <w:p w14:paraId="215AA113">
                  <w:pPr>
                    <w:pStyle w:val="36"/>
                    <w:jc w:val="center"/>
                    <w:rPr>
                      <w:rFonts w:ascii="Times New Roman"/>
                      <w:color w:val="auto"/>
                      <w:sz w:val="21"/>
                      <w:szCs w:val="21"/>
                    </w:rPr>
                  </w:pPr>
                  <w:r>
                    <w:rPr>
                      <w:rFonts w:ascii="Times New Roman"/>
                      <w:color w:val="auto"/>
                      <w:sz w:val="21"/>
                      <w:szCs w:val="21"/>
                    </w:rPr>
                    <w:t>厂界噪声</w:t>
                  </w:r>
                </w:p>
              </w:tc>
              <w:tc>
                <w:tcPr>
                  <w:tcW w:w="1515" w:type="dxa"/>
                  <w:vAlign w:val="center"/>
                </w:tcPr>
                <w:p w14:paraId="2CE223D4">
                  <w:pPr>
                    <w:pStyle w:val="36"/>
                    <w:jc w:val="center"/>
                    <w:rPr>
                      <w:rFonts w:ascii="Times New Roman"/>
                      <w:color w:val="auto"/>
                      <w:sz w:val="21"/>
                      <w:szCs w:val="21"/>
                    </w:rPr>
                  </w:pPr>
                  <w:r>
                    <w:rPr>
                      <w:rFonts w:hint="eastAsia" w:ascii="Times New Roman" w:eastAsia="宋体" w:cs="Times New Roman"/>
                      <w:bCs/>
                      <w:spacing w:val="4"/>
                      <w:sz w:val="21"/>
                      <w:szCs w:val="21"/>
                      <w:lang w:val="en-US" w:eastAsia="zh-CN"/>
                    </w:rPr>
                    <w:t>*</w:t>
                  </w:r>
                  <w:r>
                    <w:rPr>
                      <w:rFonts w:hint="default" w:ascii="Times New Roman" w:hAnsi="Times New Roman" w:eastAsia="宋体" w:cs="Times New Roman"/>
                      <w:bCs/>
                      <w:spacing w:val="4"/>
                      <w:sz w:val="21"/>
                      <w:szCs w:val="21"/>
                      <w:lang w:val="en-US" w:eastAsia="zh-CN"/>
                    </w:rPr>
                    <w:t>厂界</w:t>
                  </w:r>
                  <w:r>
                    <w:rPr>
                      <w:rFonts w:hint="default" w:ascii="Times New Roman" w:hAnsi="Times New Roman" w:eastAsia="宋体" w:cs="Times New Roman"/>
                      <w:sz w:val="21"/>
                      <w:szCs w:val="21"/>
                      <w:lang w:val="en-US" w:eastAsia="zh-CN"/>
                    </w:rPr>
                    <w:t>共</w:t>
                  </w:r>
                  <w:r>
                    <w:rPr>
                      <w:rFonts w:hint="default" w:ascii="Times New Roman" w:hAnsi="Times New Roman" w:eastAsia="宋体" w:cs="Times New Roman"/>
                      <w:sz w:val="21"/>
                      <w:szCs w:val="21"/>
                    </w:rPr>
                    <w:t>布设</w:t>
                  </w:r>
                  <w:r>
                    <w:rPr>
                      <w:rFonts w:hint="eastAsia"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个监测点</w:t>
                  </w:r>
                  <w:r>
                    <w:rPr>
                      <w:rFonts w:hint="eastAsia" w:ascii="Times New Roman" w:hAnsi="Times New Roman" w:eastAsia="宋体" w:cs="Times New Roman"/>
                      <w:sz w:val="21"/>
                      <w:szCs w:val="21"/>
                      <w:lang w:val="en-US" w:eastAsia="zh-CN"/>
                    </w:rPr>
                    <w:t>北侧N1、南侧N2</w:t>
                  </w:r>
                </w:p>
              </w:tc>
              <w:tc>
                <w:tcPr>
                  <w:tcW w:w="1110" w:type="dxa"/>
                  <w:vAlign w:val="center"/>
                </w:tcPr>
                <w:p w14:paraId="7A855241">
                  <w:pPr>
                    <w:pStyle w:val="36"/>
                    <w:jc w:val="center"/>
                    <w:rPr>
                      <w:rFonts w:ascii="Times New Roman"/>
                      <w:color w:val="auto"/>
                      <w:sz w:val="21"/>
                      <w:szCs w:val="21"/>
                    </w:rPr>
                  </w:pPr>
                  <w:r>
                    <w:rPr>
                      <w:rFonts w:ascii="Times New Roman"/>
                      <w:bCs/>
                      <w:spacing w:val="4"/>
                      <w:sz w:val="21"/>
                      <w:szCs w:val="21"/>
                    </w:rPr>
                    <w:t>等效连续A声级</w:t>
                  </w:r>
                </w:p>
              </w:tc>
              <w:tc>
                <w:tcPr>
                  <w:tcW w:w="2070" w:type="dxa"/>
                  <w:vAlign w:val="center"/>
                </w:tcPr>
                <w:p w14:paraId="67B18A70">
                  <w:pPr>
                    <w:jc w:val="center"/>
                    <w:rPr>
                      <w:rFonts w:ascii="Times New Roman" w:hAnsi="Times New Roman" w:eastAsia="宋体" w:cs="Times New Roman"/>
                      <w:sz w:val="21"/>
                      <w:szCs w:val="21"/>
                    </w:rPr>
                  </w:pPr>
                  <w:r>
                    <w:rPr>
                      <w:rFonts w:ascii="Times New Roman" w:hAnsi="Times New Roman" w:eastAsia="宋体" w:cs="Times New Roman"/>
                      <w:sz w:val="21"/>
                      <w:szCs w:val="21"/>
                    </w:rPr>
                    <w:t>正常工况下，连续监测2天，每天昼夜各监测1次</w:t>
                  </w:r>
                  <w:r>
                    <w:rPr>
                      <w:rFonts w:ascii="Times New Roman" w:hAnsi="Times New Roman" w:eastAsia="宋体" w:cs="Times New Roman"/>
                      <w:color w:val="000000"/>
                      <w:sz w:val="21"/>
                      <w:szCs w:val="21"/>
                    </w:rPr>
                    <w:t>，共4次</w:t>
                  </w:r>
                </w:p>
              </w:tc>
              <w:tc>
                <w:tcPr>
                  <w:tcW w:w="2729" w:type="dxa"/>
                  <w:vAlign w:val="center"/>
                </w:tcPr>
                <w:p w14:paraId="2118CA39">
                  <w:pPr>
                    <w:jc w:val="center"/>
                    <w:rPr>
                      <w:rFonts w:ascii="Times New Roman" w:hAnsi="Times New Roman" w:eastAsia="宋体" w:cs="Times New Roman"/>
                      <w:sz w:val="21"/>
                      <w:szCs w:val="21"/>
                    </w:rPr>
                  </w:pPr>
                  <w:r>
                    <w:rPr>
                      <w:rFonts w:ascii="Times New Roman" w:hAnsi="Times New Roman" w:eastAsia="宋体" w:cs="Times New Roman"/>
                      <w:color w:val="000000"/>
                      <w:sz w:val="21"/>
                      <w:szCs w:val="21"/>
                      <w:lang w:val="zh-TW" w:eastAsia="zh-TW"/>
                    </w:rPr>
                    <w:t>《工业企业厂界环境噪声排放标准》</w:t>
                  </w:r>
                  <w:r>
                    <w:rPr>
                      <w:rFonts w:ascii="Times New Roman" w:hAnsi="Times New Roman" w:eastAsia="宋体" w:cs="Times New Roman"/>
                      <w:color w:val="000000"/>
                      <w:sz w:val="21"/>
                      <w:szCs w:val="21"/>
                    </w:rPr>
                    <w:t>（</w:t>
                  </w:r>
                  <w:r>
                    <w:rPr>
                      <w:rFonts w:ascii="Times New Roman" w:hAnsi="Times New Roman" w:eastAsia="宋体" w:cs="Times New Roman"/>
                      <w:color w:val="000000"/>
                      <w:sz w:val="21"/>
                      <w:szCs w:val="21"/>
                      <w:lang w:val="zh-TW" w:eastAsia="zh-TW"/>
                    </w:rPr>
                    <w:t>GB</w:t>
                  </w:r>
                  <w:r>
                    <w:rPr>
                      <w:rFonts w:ascii="Times New Roman" w:hAnsi="Times New Roman" w:eastAsia="宋体" w:cs="Times New Roman"/>
                      <w:color w:val="000000"/>
                      <w:sz w:val="21"/>
                      <w:szCs w:val="21"/>
                    </w:rPr>
                    <w:t>12348-2008)</w:t>
                  </w:r>
                  <w:r>
                    <w:rPr>
                      <w:rFonts w:ascii="Times New Roman" w:hAnsi="Times New Roman" w:eastAsia="宋体" w:cs="Times New Roman"/>
                      <w:sz w:val="21"/>
                      <w:szCs w:val="21"/>
                    </w:rPr>
                    <w:t>中的3类标准</w:t>
                  </w:r>
                </w:p>
              </w:tc>
            </w:tr>
          </w:tbl>
          <w:p w14:paraId="1BFEF590">
            <w:pPr>
              <w:adjustRightInd w:val="0"/>
              <w:snapToGrid w:val="0"/>
              <w:spacing w:line="460" w:lineRule="exact"/>
              <w:ind w:firstLine="480" w:firstLineChars="200"/>
              <w:rPr>
                <w:rFonts w:ascii="Times New Roman" w:hAnsi="Times New Roman" w:cs="Times New Roman"/>
                <w:sz w:val="24"/>
              </w:rPr>
            </w:pPr>
            <w:r>
              <w:rPr>
                <w:rFonts w:hint="eastAsia" w:ascii="Times New Roman" w:hAnsi="Times New Roman" w:cs="Times New Roman"/>
                <w:sz w:val="24"/>
                <w:lang w:val="en-US" w:eastAsia="zh-CN"/>
              </w:rPr>
              <w:t>*由于厂房东西两侧与其他厂房相连，未开展噪声监测。</w:t>
            </w:r>
            <w:r>
              <w:rPr>
                <w:rFonts w:hint="eastAsia" w:ascii="Times New Roman" w:hAnsi="Times New Roman" w:cs="Times New Roman"/>
                <w:sz w:val="24"/>
              </w:rPr>
              <w:t xml:space="preserve"> </w:t>
            </w:r>
          </w:p>
          <w:p w14:paraId="1F1F59A6">
            <w:pPr>
              <w:adjustRightInd w:val="0"/>
              <w:snapToGrid w:val="0"/>
              <w:spacing w:line="460" w:lineRule="exact"/>
              <w:ind w:firstLine="480" w:firstLineChars="200"/>
              <w:rPr>
                <w:rFonts w:ascii="Times New Roman" w:hAnsi="Times New Roman" w:cs="Times New Roman"/>
                <w:sz w:val="24"/>
              </w:rPr>
            </w:pPr>
          </w:p>
          <w:p w14:paraId="50D37E7D">
            <w:pPr>
              <w:adjustRightInd w:val="0"/>
              <w:snapToGrid w:val="0"/>
              <w:spacing w:line="460" w:lineRule="exact"/>
              <w:ind w:firstLine="480" w:firstLineChars="200"/>
              <w:rPr>
                <w:rFonts w:ascii="Times New Roman" w:hAnsi="Times New Roman" w:cs="Times New Roman"/>
                <w:sz w:val="24"/>
              </w:rPr>
            </w:pPr>
          </w:p>
          <w:p w14:paraId="6AEAEC47">
            <w:pPr>
              <w:adjustRightInd w:val="0"/>
              <w:snapToGrid w:val="0"/>
              <w:spacing w:line="460" w:lineRule="exact"/>
              <w:ind w:firstLine="480" w:firstLineChars="200"/>
              <w:rPr>
                <w:rFonts w:ascii="Times New Roman" w:hAnsi="Times New Roman" w:cs="Times New Roman"/>
                <w:sz w:val="24"/>
              </w:rPr>
            </w:pPr>
          </w:p>
          <w:p w14:paraId="647B94AA">
            <w:pPr>
              <w:adjustRightInd w:val="0"/>
              <w:snapToGrid w:val="0"/>
              <w:spacing w:line="460" w:lineRule="exact"/>
              <w:ind w:firstLine="480" w:firstLineChars="200"/>
              <w:rPr>
                <w:rFonts w:ascii="Times New Roman" w:hAnsi="Times New Roman" w:cs="Times New Roman"/>
                <w:sz w:val="24"/>
              </w:rPr>
            </w:pPr>
          </w:p>
          <w:p w14:paraId="59CD2EF1">
            <w:pPr>
              <w:adjustRightInd w:val="0"/>
              <w:snapToGrid w:val="0"/>
              <w:spacing w:line="460" w:lineRule="exact"/>
              <w:ind w:firstLine="480" w:firstLineChars="200"/>
              <w:rPr>
                <w:rFonts w:ascii="Times New Roman" w:hAnsi="Times New Roman" w:cs="Times New Roman"/>
                <w:sz w:val="24"/>
              </w:rPr>
            </w:pPr>
          </w:p>
          <w:p w14:paraId="10BF01F6">
            <w:pPr>
              <w:adjustRightInd w:val="0"/>
              <w:snapToGrid w:val="0"/>
              <w:spacing w:line="460" w:lineRule="exact"/>
              <w:ind w:firstLine="480" w:firstLineChars="200"/>
              <w:rPr>
                <w:rFonts w:ascii="Times New Roman" w:hAnsi="Times New Roman" w:cs="Times New Roman"/>
                <w:sz w:val="24"/>
              </w:rPr>
            </w:pPr>
          </w:p>
          <w:p w14:paraId="62AFBC6E">
            <w:pPr>
              <w:adjustRightInd w:val="0"/>
              <w:snapToGrid w:val="0"/>
              <w:spacing w:line="460" w:lineRule="exact"/>
              <w:ind w:firstLine="480" w:firstLineChars="200"/>
              <w:rPr>
                <w:rFonts w:ascii="Times New Roman" w:hAnsi="Times New Roman" w:cs="Times New Roman"/>
                <w:sz w:val="24"/>
              </w:rPr>
            </w:pPr>
          </w:p>
          <w:p w14:paraId="731B158C">
            <w:pPr>
              <w:adjustRightInd w:val="0"/>
              <w:snapToGrid w:val="0"/>
              <w:spacing w:line="460" w:lineRule="exact"/>
              <w:ind w:firstLine="480" w:firstLineChars="200"/>
              <w:rPr>
                <w:rFonts w:ascii="Times New Roman" w:hAnsi="Times New Roman" w:cs="Times New Roman"/>
                <w:sz w:val="24"/>
              </w:rPr>
            </w:pPr>
          </w:p>
          <w:p w14:paraId="1512C15B">
            <w:pPr>
              <w:adjustRightInd w:val="0"/>
              <w:snapToGrid w:val="0"/>
              <w:spacing w:line="460" w:lineRule="exact"/>
              <w:ind w:firstLine="480" w:firstLineChars="200"/>
              <w:rPr>
                <w:rFonts w:ascii="Times New Roman" w:hAnsi="Times New Roman" w:cs="Times New Roman"/>
                <w:sz w:val="24"/>
              </w:rPr>
            </w:pPr>
          </w:p>
          <w:p w14:paraId="0ABAE6E1">
            <w:pPr>
              <w:adjustRightInd w:val="0"/>
              <w:snapToGrid w:val="0"/>
              <w:spacing w:line="460" w:lineRule="exact"/>
            </w:pPr>
          </w:p>
        </w:tc>
      </w:tr>
    </w:tbl>
    <w:p w14:paraId="60C54BA2">
      <w:pPr>
        <w:pStyle w:val="28"/>
        <w:adjustRightInd w:val="0"/>
        <w:snapToGrid w:val="0"/>
        <w:spacing w:after="0" w:line="500" w:lineRule="exact"/>
        <w:ind w:left="0" w:leftChars="0" w:firstLine="0"/>
        <w:outlineLvl w:val="0"/>
        <w:rPr>
          <w:rFonts w:hAnsi="Times New Roman" w:cs="Times New Roman"/>
          <w:b/>
          <w:bCs/>
          <w:color w:val="auto"/>
          <w:sz w:val="28"/>
          <w:szCs w:val="28"/>
        </w:rPr>
      </w:pPr>
      <w:r>
        <w:rPr>
          <w:rFonts w:hAnsi="Times New Roman" w:cs="Times New Roman"/>
          <w:b/>
          <w:bCs/>
          <w:color w:val="auto"/>
          <w:sz w:val="28"/>
          <w:szCs w:val="28"/>
        </w:rPr>
        <mc:AlternateContent>
          <mc:Choice Requires="wps">
            <w:drawing>
              <wp:anchor distT="0" distB="0" distL="114300" distR="114300" simplePos="0" relativeHeight="251660288" behindDoc="0" locked="0" layoutInCell="1" allowOverlap="1">
                <wp:simplePos x="0" y="0"/>
                <wp:positionH relativeFrom="column">
                  <wp:posOffset>8383270</wp:posOffset>
                </wp:positionH>
                <wp:positionV relativeFrom="paragraph">
                  <wp:posOffset>-5439410</wp:posOffset>
                </wp:positionV>
                <wp:extent cx="431165" cy="487680"/>
                <wp:effectExtent l="0" t="0" r="0" b="0"/>
                <wp:wrapNone/>
                <wp:docPr id="231" name="文本框 231"/>
                <wp:cNvGraphicFramePr/>
                <a:graphic xmlns:a="http://schemas.openxmlformats.org/drawingml/2006/main">
                  <a:graphicData uri="http://schemas.microsoft.com/office/word/2010/wordprocessingShape">
                    <wps:wsp>
                      <wps:cNvSpPr txBox="1"/>
                      <wps:spPr>
                        <a:xfrm>
                          <a:off x="8867140" y="1054100"/>
                          <a:ext cx="431165" cy="487680"/>
                        </a:xfrm>
                        <a:prstGeom prst="rect">
                          <a:avLst/>
                        </a:prstGeom>
                        <a:noFill/>
                        <a:ln w="6350">
                          <a:noFill/>
                        </a:ln>
                        <a:effectLst/>
                      </wps:spPr>
                      <wps:txbx>
                        <w:txbxContent>
                          <w:p w14:paraId="11E284E4">
                            <w:pPr>
                              <w:rPr>
                                <w:rFonts w:eastAsia="微软雅黑"/>
                                <w:b/>
                                <w:bCs/>
                                <w:sz w:val="36"/>
                                <w:szCs w:val="36"/>
                              </w:rPr>
                            </w:pPr>
                            <w:r>
                              <w:rPr>
                                <w:rFonts w:hint="eastAsia"/>
                                <w:b/>
                                <w:bCs/>
                                <w:sz w:val="36"/>
                                <w:szCs w:val="36"/>
                              </w:rPr>
                              <w:t>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60.1pt;margin-top:-428.3pt;height:38.4pt;width:33.95pt;z-index:251660288;mso-width-relative:page;mso-height-relative:page;" filled="f" stroked="f" coordsize="21600,21600" o:gfxdata="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KjNgN94AAAAP&#10;AQAADwAAAAAAAAABACAAAAAiAAAAZHJzL2Rvd25yZXYueG1sUEsBAhQAFAAAAAgAh07iQKPOoT1P&#10;AgAAgwQAAA4AAAAAAAAAAQAgAAAALQEAAGRycy9lMm9Eb2MueG1sUEsFBgAAAAAGAAYAWQEAAO4F&#10;AAAAAA==&#10;">
                <v:fill on="f" focussize="0,0"/>
                <v:stroke on="f" weight="0.5pt"/>
                <v:imagedata o:title=""/>
                <o:lock v:ext="edit" aspectratio="f"/>
                <v:textbox>
                  <w:txbxContent>
                    <w:p w14:paraId="11E284E4">
                      <w:pPr>
                        <w:rPr>
                          <w:rFonts w:eastAsia="微软雅黑"/>
                          <w:b/>
                          <w:bCs/>
                          <w:sz w:val="36"/>
                          <w:szCs w:val="36"/>
                        </w:rPr>
                      </w:pPr>
                      <w:r>
                        <w:rPr>
                          <w:rFonts w:hint="eastAsia"/>
                          <w:b/>
                          <w:bCs/>
                          <w:sz w:val="36"/>
                          <w:szCs w:val="36"/>
                        </w:rPr>
                        <w:t>N</w:t>
                      </w:r>
                    </w:p>
                  </w:txbxContent>
                </v:textbox>
              </v:shape>
            </w:pict>
          </mc:Fallback>
        </mc:AlternateContent>
      </w:r>
      <w:r>
        <w:rPr>
          <w:rFonts w:hAnsi="Times New Roman" w:cs="Times New Roman"/>
          <w:b/>
          <w:bCs/>
          <w:color w:val="auto"/>
          <w:sz w:val="28"/>
          <w:szCs w:val="28"/>
        </w:rPr>
        <mc:AlternateContent>
          <mc:Choice Requires="wps">
            <w:drawing>
              <wp:anchor distT="0" distB="0" distL="114300" distR="114300" simplePos="0" relativeHeight="251659264" behindDoc="0" locked="0" layoutInCell="1" allowOverlap="1">
                <wp:simplePos x="0" y="0"/>
                <wp:positionH relativeFrom="column">
                  <wp:posOffset>8179435</wp:posOffset>
                </wp:positionH>
                <wp:positionV relativeFrom="paragraph">
                  <wp:posOffset>-5597525</wp:posOffset>
                </wp:positionV>
                <wp:extent cx="237490" cy="657860"/>
                <wp:effectExtent l="0" t="0" r="10160" b="8890"/>
                <wp:wrapNone/>
                <wp:docPr id="230" name="上箭头 230"/>
                <wp:cNvGraphicFramePr/>
                <a:graphic xmlns:a="http://schemas.openxmlformats.org/drawingml/2006/main">
                  <a:graphicData uri="http://schemas.microsoft.com/office/word/2010/wordprocessingShape">
                    <wps:wsp>
                      <wps:cNvSpPr/>
                      <wps:spPr>
                        <a:xfrm>
                          <a:off x="9093835" y="873125"/>
                          <a:ext cx="237490" cy="657860"/>
                        </a:xfrm>
                        <a:prstGeom prst="upArrow">
                          <a:avLst/>
                        </a:prstGeom>
                        <a:solidFill>
                          <a:srgbClr val="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644.05pt;margin-top:-440.75pt;height:51.8pt;width:18.7pt;z-index:251659264;v-text-anchor:middle;mso-width-relative:page;mso-height-relative:page;" fillcolor="#000000" filled="t" stroked="f" coordsize="21600,21600" o:gfxdata="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0tvIhNoAAAAPAQAADwAAAAAAAAABACAAAAAi&#10;AAAAZHJzL2Rvd25yZXYueG1sUEsBAhQAFAAAAAgAh07iQPA8sdF6AgAA1gQAAA4AAAAAAAAAAQAg&#10;AAAAKQEAAGRycy9lMm9Eb2MueG1sUEsFBgAAAAAGAAYAWQEAABUGAAAAAA==&#10;" adj="3898,5400">
                <v:fill on="t" focussize="0,0"/>
                <v:stroke on="f" weight="2pt"/>
                <v:imagedata o:title=""/>
                <o:lock v:ext="edit" aspectratio="f"/>
              </v:shape>
            </w:pict>
          </mc:Fallback>
        </mc:AlternateContent>
      </w:r>
      <w:bookmarkStart w:id="22" w:name="_Toc31583"/>
      <w:bookmarkStart w:id="23" w:name="_Toc15627899"/>
      <w:bookmarkStart w:id="24" w:name="_Toc12705"/>
      <w:r>
        <w:rPr>
          <w:rFonts w:hint="eastAsia" w:hAnsi="Times New Roman" w:cs="Times New Roman"/>
          <w:b/>
          <w:bCs/>
          <w:color w:val="auto"/>
          <w:sz w:val="28"/>
          <w:szCs w:val="28"/>
        </w:rPr>
        <w:t>表七、验收监测工况及监测结果</w:t>
      </w:r>
      <w:bookmarkEnd w:id="22"/>
      <w:bookmarkEnd w:id="23"/>
      <w:bookmarkEnd w:id="24"/>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14:paraId="79CA5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0BF37DF7">
            <w:pPr>
              <w:pStyle w:val="28"/>
              <w:adjustRightInd w:val="0"/>
              <w:snapToGrid w:val="0"/>
              <w:spacing w:after="0" w:line="500" w:lineRule="exact"/>
              <w:ind w:left="0" w:leftChars="0" w:firstLine="0"/>
              <w:rPr>
                <w:rFonts w:hAnsi="Times New Roman" w:cs="Times New Roman"/>
                <w:b/>
                <w:bCs/>
                <w:color w:val="auto"/>
                <w:sz w:val="24"/>
              </w:rPr>
            </w:pPr>
            <w:r>
              <w:rPr>
                <w:rFonts w:hAnsi="Times New Roman" w:cs="Times New Roman"/>
                <w:b/>
                <w:bCs/>
                <w:color w:val="auto"/>
                <w:sz w:val="24"/>
              </w:rPr>
              <w:t>验收监测期间生产工况记录：</w:t>
            </w:r>
          </w:p>
          <w:p w14:paraId="173426BA">
            <w:pPr>
              <w:pStyle w:val="36"/>
              <w:snapToGrid w:val="0"/>
              <w:spacing w:line="500" w:lineRule="exact"/>
              <w:ind w:firstLine="480" w:firstLineChars="200"/>
              <w:rPr>
                <w:rFonts w:ascii="Times New Roman"/>
                <w:bCs/>
                <w:color w:val="auto"/>
                <w:szCs w:val="24"/>
              </w:rPr>
            </w:pPr>
            <w:r>
              <w:rPr>
                <w:rFonts w:hint="eastAsia" w:ascii="Times New Roman"/>
                <w:bCs/>
                <w:color w:val="auto"/>
                <w:szCs w:val="24"/>
              </w:rPr>
              <w:t>企业委托</w:t>
            </w:r>
            <w:r>
              <w:rPr>
                <w:rFonts w:ascii="Times New Roman"/>
                <w:bCs/>
                <w:color w:val="auto"/>
                <w:szCs w:val="24"/>
              </w:rPr>
              <w:t>海南</w:t>
            </w:r>
            <w:r>
              <w:rPr>
                <w:rFonts w:hint="eastAsia" w:ascii="Times New Roman"/>
                <w:bCs/>
                <w:color w:val="auto"/>
                <w:szCs w:val="24"/>
              </w:rPr>
              <w:t>中成检测技术</w:t>
            </w:r>
            <w:r>
              <w:rPr>
                <w:rFonts w:ascii="Times New Roman"/>
                <w:bCs/>
                <w:color w:val="auto"/>
                <w:szCs w:val="24"/>
              </w:rPr>
              <w:t>有限公司于</w:t>
            </w:r>
            <w:r>
              <w:rPr>
                <w:rFonts w:ascii="Times New Roman"/>
                <w:bCs/>
                <w:color w:val="auto"/>
                <w:szCs w:val="24"/>
                <w:highlight w:val="none"/>
              </w:rPr>
              <w:t>202</w:t>
            </w:r>
            <w:r>
              <w:rPr>
                <w:rFonts w:hint="eastAsia" w:ascii="Times New Roman"/>
                <w:bCs/>
                <w:color w:val="auto"/>
                <w:szCs w:val="24"/>
                <w:highlight w:val="none"/>
                <w:lang w:val="en-US" w:eastAsia="zh-CN"/>
              </w:rPr>
              <w:t>5</w:t>
            </w:r>
            <w:r>
              <w:rPr>
                <w:rFonts w:ascii="Times New Roman"/>
                <w:bCs/>
                <w:color w:val="auto"/>
                <w:szCs w:val="24"/>
                <w:highlight w:val="none"/>
              </w:rPr>
              <w:t>年</w:t>
            </w:r>
            <w:r>
              <w:rPr>
                <w:rFonts w:hint="eastAsia" w:ascii="Times New Roman"/>
                <w:bCs/>
                <w:color w:val="auto"/>
                <w:szCs w:val="24"/>
                <w:highlight w:val="none"/>
                <w:lang w:val="en-US" w:eastAsia="zh-CN"/>
              </w:rPr>
              <w:t>4</w:t>
            </w:r>
            <w:r>
              <w:rPr>
                <w:rFonts w:ascii="Times New Roman"/>
                <w:bCs/>
                <w:color w:val="auto"/>
                <w:szCs w:val="24"/>
                <w:highlight w:val="none"/>
              </w:rPr>
              <w:t>月</w:t>
            </w:r>
            <w:r>
              <w:rPr>
                <w:rFonts w:hint="eastAsia" w:ascii="Times New Roman"/>
                <w:bCs/>
                <w:color w:val="auto"/>
                <w:szCs w:val="24"/>
                <w:highlight w:val="none"/>
              </w:rPr>
              <w:t>1</w:t>
            </w:r>
            <w:r>
              <w:rPr>
                <w:rFonts w:hint="eastAsia" w:ascii="Times New Roman"/>
                <w:bCs/>
                <w:color w:val="auto"/>
                <w:szCs w:val="24"/>
                <w:highlight w:val="none"/>
                <w:lang w:val="en-US" w:eastAsia="zh-CN"/>
              </w:rPr>
              <w:t>7</w:t>
            </w:r>
            <w:r>
              <w:rPr>
                <w:rFonts w:ascii="Times New Roman"/>
                <w:bCs/>
                <w:color w:val="auto"/>
                <w:szCs w:val="24"/>
                <w:highlight w:val="none"/>
              </w:rPr>
              <w:t>-</w:t>
            </w:r>
            <w:r>
              <w:rPr>
                <w:rFonts w:hint="eastAsia" w:ascii="Times New Roman"/>
                <w:bCs/>
                <w:color w:val="auto"/>
                <w:szCs w:val="24"/>
                <w:highlight w:val="none"/>
                <w:lang w:val="en-US" w:eastAsia="zh-CN"/>
              </w:rPr>
              <w:t>18</w:t>
            </w:r>
            <w:r>
              <w:rPr>
                <w:rFonts w:ascii="Times New Roman"/>
                <w:bCs/>
                <w:color w:val="auto"/>
                <w:szCs w:val="24"/>
                <w:highlight w:val="none"/>
              </w:rPr>
              <w:t>日</w:t>
            </w:r>
            <w:r>
              <w:rPr>
                <w:rFonts w:ascii="Times New Roman"/>
                <w:bCs/>
                <w:color w:val="auto"/>
                <w:szCs w:val="24"/>
              </w:rPr>
              <w:t>对</w:t>
            </w:r>
            <w:r>
              <w:rPr>
                <w:rFonts w:hint="default" w:ascii="Times New Roman" w:hAnsi="Times New Roman" w:cs="Times New Roman"/>
                <w:sz w:val="24"/>
                <w:szCs w:val="24"/>
              </w:rPr>
              <w:t>海南良雪制冷设备有限公司</w:t>
            </w:r>
            <w:r>
              <w:rPr>
                <w:rFonts w:hint="eastAsia" w:ascii="Times New Roman"/>
                <w:bCs/>
                <w:color w:val="auto"/>
                <w:szCs w:val="24"/>
              </w:rPr>
              <w:t>“</w:t>
            </w:r>
            <w:r>
              <w:rPr>
                <w:rFonts w:hint="default" w:ascii="Times New Roman" w:hAnsi="Times New Roman" w:cs="Times New Roman"/>
                <w:sz w:val="24"/>
                <w:szCs w:val="24"/>
              </w:rPr>
              <w:t>年产60000平方米冷库保温板项目</w:t>
            </w:r>
            <w:r>
              <w:rPr>
                <w:rFonts w:ascii="Times New Roman"/>
                <w:bCs/>
                <w:szCs w:val="24"/>
              </w:rPr>
              <w:t>（即本项目）</w:t>
            </w:r>
            <w:r>
              <w:rPr>
                <w:rFonts w:hint="eastAsia" w:ascii="Times New Roman"/>
                <w:bCs/>
                <w:color w:val="auto"/>
                <w:szCs w:val="24"/>
              </w:rPr>
              <w:t>”</w:t>
            </w:r>
            <w:r>
              <w:rPr>
                <w:rFonts w:ascii="Times New Roman"/>
                <w:bCs/>
                <w:color w:val="auto"/>
                <w:szCs w:val="24"/>
              </w:rPr>
              <w:t>进行了现场采样监测。根据现场勘查，项目已基本完工并投入使用，且各项环保处理设施已落实到位。项目</w:t>
            </w:r>
            <w:r>
              <w:rPr>
                <w:rFonts w:hint="eastAsia" w:ascii="Times New Roman"/>
                <w:bCs/>
                <w:color w:val="auto"/>
                <w:szCs w:val="24"/>
              </w:rPr>
              <w:t>废</w:t>
            </w:r>
            <w:r>
              <w:rPr>
                <w:rFonts w:hint="eastAsia" w:ascii="Times New Roman"/>
                <w:bCs/>
                <w:color w:val="auto"/>
                <w:szCs w:val="24"/>
                <w:lang w:val="en-US" w:eastAsia="zh-CN"/>
              </w:rPr>
              <w:t>气</w:t>
            </w:r>
            <w:r>
              <w:rPr>
                <w:rFonts w:ascii="Times New Roman"/>
                <w:bCs/>
                <w:color w:val="auto"/>
                <w:szCs w:val="24"/>
              </w:rPr>
              <w:t>和噪声</w:t>
            </w:r>
            <w:r>
              <w:rPr>
                <w:rFonts w:hint="eastAsia" w:ascii="Times New Roman"/>
                <w:bCs/>
                <w:color w:val="auto"/>
                <w:szCs w:val="24"/>
              </w:rPr>
              <w:t>等</w:t>
            </w:r>
            <w:r>
              <w:rPr>
                <w:rFonts w:ascii="Times New Roman"/>
                <w:bCs/>
                <w:color w:val="auto"/>
                <w:szCs w:val="24"/>
              </w:rPr>
              <w:t>监测均在</w:t>
            </w:r>
            <w:r>
              <w:rPr>
                <w:rFonts w:hint="eastAsia" w:ascii="Times New Roman"/>
                <w:bCs/>
                <w:color w:val="auto"/>
                <w:szCs w:val="24"/>
              </w:rPr>
              <w:t>各生产设施</w:t>
            </w:r>
            <w:r>
              <w:rPr>
                <w:rFonts w:ascii="Times New Roman"/>
                <w:bCs/>
                <w:color w:val="auto"/>
                <w:szCs w:val="24"/>
              </w:rPr>
              <w:t>正常开启的状态下进行。</w:t>
            </w:r>
          </w:p>
          <w:p w14:paraId="46BE77AD">
            <w:pPr>
              <w:pStyle w:val="28"/>
              <w:adjustRightInd w:val="0"/>
              <w:snapToGrid w:val="0"/>
              <w:spacing w:after="0" w:line="500" w:lineRule="exact"/>
              <w:ind w:left="0" w:leftChars="0" w:firstLine="480" w:firstLineChars="200"/>
              <w:rPr>
                <w:rFonts w:cs="Times New Roman"/>
                <w:b/>
                <w:bCs/>
                <w:color w:val="auto"/>
                <w:sz w:val="24"/>
              </w:rPr>
            </w:pPr>
            <w:r>
              <w:rPr>
                <w:rFonts w:hAnsi="Times New Roman" w:cs="Times New Roman"/>
                <w:bCs/>
                <w:color w:val="auto"/>
                <w:sz w:val="24"/>
              </w:rPr>
              <w:t>验收监测期间</w:t>
            </w:r>
            <w:r>
              <w:rPr>
                <w:rFonts w:hint="eastAsia" w:hAnsi="Times New Roman" w:cs="Times New Roman"/>
                <w:bCs/>
                <w:color w:val="auto"/>
                <w:sz w:val="24"/>
              </w:rPr>
              <w:t>，项目的</w:t>
            </w:r>
            <w:r>
              <w:rPr>
                <w:rFonts w:hint="eastAsia" w:hAnsi="Times New Roman" w:cs="Times New Roman"/>
                <w:color w:val="000000"/>
                <w:kern w:val="0"/>
                <w:sz w:val="24"/>
                <w:lang w:bidi="ar"/>
              </w:rPr>
              <w:t>运行工况及负荷见下表。</w:t>
            </w:r>
          </w:p>
          <w:p w14:paraId="1401F3FA">
            <w:pPr>
              <w:pStyle w:val="36"/>
              <w:snapToGrid w:val="0"/>
              <w:spacing w:line="500" w:lineRule="exact"/>
              <w:jc w:val="center"/>
              <w:rPr>
                <w:rFonts w:ascii="Times New Roman"/>
                <w:b/>
                <w:bCs/>
                <w:szCs w:val="24"/>
              </w:rPr>
            </w:pPr>
            <w:r>
              <w:rPr>
                <w:rFonts w:ascii="Times New Roman"/>
                <w:b/>
                <w:bCs/>
                <w:color w:val="auto"/>
                <w:szCs w:val="24"/>
              </w:rPr>
              <w:t>表</w:t>
            </w:r>
            <w:r>
              <w:rPr>
                <w:rFonts w:hint="eastAsia" w:ascii="Times New Roman"/>
                <w:b/>
                <w:bCs/>
                <w:color w:val="auto"/>
                <w:szCs w:val="24"/>
              </w:rPr>
              <w:t>7-1验收期间工况表</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1701"/>
              <w:gridCol w:w="1701"/>
              <w:gridCol w:w="1701"/>
              <w:gridCol w:w="1701"/>
            </w:tblGrid>
            <w:tr w14:paraId="65FED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Align w:val="center"/>
                </w:tcPr>
                <w:p w14:paraId="29F98647">
                  <w:pPr>
                    <w:pStyle w:val="28"/>
                    <w:adjustRightInd w:val="0"/>
                    <w:snapToGrid w:val="0"/>
                    <w:spacing w:after="0"/>
                    <w:ind w:left="0" w:leftChars="0" w:firstLine="0"/>
                    <w:jc w:val="center"/>
                    <w:rPr>
                      <w:rFonts w:hAnsi="Times New Roman" w:cs="Times New Roman"/>
                      <w:b/>
                      <w:bCs/>
                      <w:color w:val="auto"/>
                      <w:sz w:val="21"/>
                      <w:szCs w:val="21"/>
                    </w:rPr>
                  </w:pPr>
                  <w:r>
                    <w:rPr>
                      <w:rFonts w:hAnsi="Times New Roman" w:cs="Times New Roman"/>
                      <w:b/>
                      <w:bCs/>
                      <w:color w:val="auto"/>
                      <w:sz w:val="21"/>
                      <w:szCs w:val="21"/>
                    </w:rPr>
                    <w:t>工序</w:t>
                  </w:r>
                </w:p>
              </w:tc>
              <w:tc>
                <w:tcPr>
                  <w:tcW w:w="1701" w:type="dxa"/>
                  <w:vAlign w:val="center"/>
                </w:tcPr>
                <w:p w14:paraId="64A11E11">
                  <w:pPr>
                    <w:pStyle w:val="28"/>
                    <w:adjustRightInd w:val="0"/>
                    <w:snapToGrid w:val="0"/>
                    <w:spacing w:after="0"/>
                    <w:ind w:left="0" w:leftChars="0" w:firstLine="0"/>
                    <w:jc w:val="center"/>
                    <w:rPr>
                      <w:rFonts w:hAnsi="Times New Roman" w:cs="Times New Roman"/>
                      <w:b/>
                      <w:bCs/>
                      <w:color w:val="auto"/>
                      <w:sz w:val="21"/>
                      <w:szCs w:val="21"/>
                    </w:rPr>
                  </w:pPr>
                  <w:r>
                    <w:rPr>
                      <w:rFonts w:hAnsi="Times New Roman" w:cs="Times New Roman"/>
                      <w:b/>
                      <w:bCs/>
                      <w:color w:val="auto"/>
                      <w:sz w:val="21"/>
                      <w:szCs w:val="21"/>
                    </w:rPr>
                    <w:t>日期</w:t>
                  </w:r>
                </w:p>
              </w:tc>
              <w:tc>
                <w:tcPr>
                  <w:tcW w:w="1701" w:type="dxa"/>
                  <w:vAlign w:val="center"/>
                </w:tcPr>
                <w:p w14:paraId="140B6EEF">
                  <w:pPr>
                    <w:pStyle w:val="28"/>
                    <w:adjustRightInd w:val="0"/>
                    <w:snapToGrid w:val="0"/>
                    <w:spacing w:after="0"/>
                    <w:ind w:left="0" w:leftChars="0" w:firstLine="0"/>
                    <w:jc w:val="center"/>
                    <w:rPr>
                      <w:rFonts w:hAnsi="Times New Roman" w:cs="Times New Roman"/>
                      <w:b/>
                      <w:bCs/>
                      <w:color w:val="auto"/>
                      <w:sz w:val="21"/>
                      <w:szCs w:val="21"/>
                    </w:rPr>
                  </w:pPr>
                  <w:r>
                    <w:rPr>
                      <w:rFonts w:hAnsi="Times New Roman" w:cs="Times New Roman"/>
                      <w:b/>
                      <w:bCs/>
                      <w:color w:val="auto"/>
                      <w:sz w:val="21"/>
                      <w:szCs w:val="21"/>
                    </w:rPr>
                    <w:t>现场工况</w:t>
                  </w:r>
                </w:p>
              </w:tc>
              <w:tc>
                <w:tcPr>
                  <w:tcW w:w="1701" w:type="dxa"/>
                  <w:vAlign w:val="center"/>
                </w:tcPr>
                <w:p w14:paraId="15AB8ADD">
                  <w:pPr>
                    <w:pStyle w:val="28"/>
                    <w:adjustRightInd w:val="0"/>
                    <w:snapToGrid w:val="0"/>
                    <w:spacing w:after="0"/>
                    <w:ind w:left="0" w:leftChars="0" w:firstLine="0"/>
                    <w:jc w:val="center"/>
                    <w:rPr>
                      <w:rFonts w:hAnsi="Times New Roman" w:cs="Times New Roman"/>
                      <w:b/>
                      <w:bCs/>
                      <w:color w:val="auto"/>
                      <w:sz w:val="21"/>
                      <w:szCs w:val="21"/>
                    </w:rPr>
                  </w:pPr>
                  <w:r>
                    <w:rPr>
                      <w:rFonts w:hAnsi="Times New Roman" w:cs="Times New Roman"/>
                      <w:b/>
                      <w:bCs/>
                      <w:color w:val="auto"/>
                      <w:sz w:val="21"/>
                      <w:szCs w:val="21"/>
                    </w:rPr>
                    <w:t>最大规模</w:t>
                  </w:r>
                </w:p>
              </w:tc>
              <w:tc>
                <w:tcPr>
                  <w:tcW w:w="1701" w:type="dxa"/>
                  <w:vAlign w:val="center"/>
                </w:tcPr>
                <w:p w14:paraId="70FAF110">
                  <w:pPr>
                    <w:pStyle w:val="28"/>
                    <w:adjustRightInd w:val="0"/>
                    <w:snapToGrid w:val="0"/>
                    <w:spacing w:after="0"/>
                    <w:ind w:left="0" w:leftChars="0" w:firstLine="0"/>
                    <w:jc w:val="center"/>
                    <w:rPr>
                      <w:rFonts w:hAnsi="Times New Roman" w:cs="Times New Roman"/>
                      <w:b/>
                      <w:bCs/>
                      <w:color w:val="auto"/>
                      <w:sz w:val="21"/>
                      <w:szCs w:val="21"/>
                    </w:rPr>
                  </w:pPr>
                  <w:r>
                    <w:rPr>
                      <w:rFonts w:hAnsi="Times New Roman" w:cs="Times New Roman"/>
                      <w:b/>
                      <w:bCs/>
                      <w:color w:val="auto"/>
                      <w:sz w:val="21"/>
                      <w:szCs w:val="21"/>
                    </w:rPr>
                    <w:t>运行负荷</w:t>
                  </w:r>
                </w:p>
              </w:tc>
            </w:tr>
            <w:tr w14:paraId="3570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restart"/>
                  <w:vAlign w:val="center"/>
                </w:tcPr>
                <w:p w14:paraId="7C6B0410">
                  <w:pPr>
                    <w:adjustRightInd w:val="0"/>
                    <w:snapToGrid w:val="0"/>
                    <w:jc w:val="center"/>
                    <w:rPr>
                      <w:rFonts w:hint="eastAsia" w:ascii="Times New Roman" w:hAnsi="Times New Roman" w:eastAsia="宋体" w:cs="Times New Roman"/>
                      <w:bCs/>
                      <w:sz w:val="21"/>
                      <w:szCs w:val="21"/>
                      <w:lang w:eastAsia="zh-CN"/>
                    </w:rPr>
                  </w:pPr>
                  <w:r>
                    <w:rPr>
                      <w:rFonts w:hint="eastAsia" w:ascii="Times New Roman" w:hAnsi="Times New Roman" w:eastAsia="宋体" w:cs="Times New Roman"/>
                      <w:bCs/>
                      <w:sz w:val="21"/>
                      <w:szCs w:val="21"/>
                      <w:lang w:val="en-US" w:eastAsia="zh-CN"/>
                    </w:rPr>
                    <w:t>保温板生产</w:t>
                  </w:r>
                </w:p>
              </w:tc>
              <w:tc>
                <w:tcPr>
                  <w:tcW w:w="1701" w:type="dxa"/>
                  <w:vAlign w:val="center"/>
                </w:tcPr>
                <w:p w14:paraId="3087CEDA">
                  <w:pPr>
                    <w:pStyle w:val="28"/>
                    <w:adjustRightInd w:val="0"/>
                    <w:snapToGrid w:val="0"/>
                    <w:spacing w:after="0"/>
                    <w:ind w:left="0" w:leftChars="0" w:firstLine="0"/>
                    <w:jc w:val="center"/>
                    <w:rPr>
                      <w:rFonts w:hint="eastAsia" w:hAnsi="Times New Roman" w:eastAsia="宋体" w:cs="Times New Roman"/>
                      <w:color w:val="auto"/>
                      <w:sz w:val="21"/>
                      <w:szCs w:val="21"/>
                      <w:highlight w:val="yellow"/>
                      <w:lang w:val="en-US" w:eastAsia="zh-CN"/>
                    </w:rPr>
                  </w:pPr>
                  <w:r>
                    <w:rPr>
                      <w:rFonts w:hAnsi="Times New Roman" w:cs="Times New Roman"/>
                      <w:color w:val="auto"/>
                      <w:sz w:val="21"/>
                      <w:szCs w:val="21"/>
                    </w:rPr>
                    <w:t>202</w:t>
                  </w:r>
                  <w:r>
                    <w:rPr>
                      <w:rFonts w:hint="eastAsia" w:hAnsi="Times New Roman" w:cs="Times New Roman"/>
                      <w:color w:val="auto"/>
                      <w:sz w:val="21"/>
                      <w:szCs w:val="21"/>
                      <w:lang w:val="en-US" w:eastAsia="zh-CN"/>
                    </w:rPr>
                    <w:t>5</w:t>
                  </w:r>
                  <w:r>
                    <w:rPr>
                      <w:rFonts w:hAnsi="Times New Roman" w:cs="Times New Roman"/>
                      <w:color w:val="auto"/>
                      <w:sz w:val="21"/>
                      <w:szCs w:val="21"/>
                    </w:rPr>
                    <w:t>.</w:t>
                  </w:r>
                  <w:r>
                    <w:rPr>
                      <w:rFonts w:hint="eastAsia" w:hAnsi="Times New Roman" w:cs="Times New Roman"/>
                      <w:color w:val="auto"/>
                      <w:sz w:val="21"/>
                      <w:szCs w:val="21"/>
                      <w:lang w:val="en-US" w:eastAsia="zh-CN"/>
                    </w:rPr>
                    <w:t>4</w:t>
                  </w:r>
                  <w:r>
                    <w:rPr>
                      <w:rFonts w:hAnsi="Times New Roman" w:cs="Times New Roman"/>
                      <w:color w:val="auto"/>
                      <w:sz w:val="21"/>
                      <w:szCs w:val="21"/>
                    </w:rPr>
                    <w:t>.</w:t>
                  </w:r>
                  <w:r>
                    <w:rPr>
                      <w:rFonts w:hint="eastAsia" w:hAnsi="Times New Roman" w:cs="Times New Roman"/>
                      <w:color w:val="auto"/>
                      <w:sz w:val="21"/>
                      <w:szCs w:val="21"/>
                    </w:rPr>
                    <w:t>1</w:t>
                  </w:r>
                  <w:r>
                    <w:rPr>
                      <w:rFonts w:hint="eastAsia" w:hAnsi="Times New Roman" w:cs="Times New Roman"/>
                      <w:color w:val="auto"/>
                      <w:sz w:val="21"/>
                      <w:szCs w:val="21"/>
                      <w:lang w:val="en-US" w:eastAsia="zh-CN"/>
                    </w:rPr>
                    <w:t>7</w:t>
                  </w:r>
                </w:p>
              </w:tc>
              <w:tc>
                <w:tcPr>
                  <w:tcW w:w="1701" w:type="dxa"/>
                  <w:vAlign w:val="center"/>
                </w:tcPr>
                <w:p w14:paraId="6517508B">
                  <w:pPr>
                    <w:pStyle w:val="68"/>
                    <w:tabs>
                      <w:tab w:val="left" w:pos="720"/>
                    </w:tabs>
                    <w:adjustRightInd w:val="0"/>
                    <w:snapToGrid w:val="0"/>
                    <w:ind w:firstLine="0"/>
                    <w:jc w:val="center"/>
                    <w:rPr>
                      <w:rFonts w:hint="default" w:ascii="Times New Roman" w:hAnsi="Times New Roman" w:eastAsia="宋体" w:cs="Times New Roman"/>
                      <w:bCs/>
                      <w:color w:val="000000"/>
                      <w:kern w:val="0"/>
                      <w:sz w:val="21"/>
                      <w:szCs w:val="21"/>
                      <w:lang w:val="en-US" w:eastAsia="zh-CN" w:bidi="ar"/>
                    </w:rPr>
                  </w:pPr>
                  <w:r>
                    <w:rPr>
                      <w:rFonts w:hint="eastAsia" w:ascii="Times New Roman" w:hAnsi="Times New Roman" w:eastAsia="宋体" w:cs="Times New Roman"/>
                      <w:bCs/>
                      <w:color w:val="000000"/>
                      <w:kern w:val="0"/>
                      <w:sz w:val="21"/>
                      <w:szCs w:val="21"/>
                      <w:lang w:val="en-US" w:eastAsia="zh-CN" w:bidi="ar"/>
                    </w:rPr>
                    <w:t>64m</w:t>
                  </w:r>
                  <w:r>
                    <w:rPr>
                      <w:rFonts w:hint="eastAsia" w:ascii="Times New Roman" w:hAnsi="Times New Roman" w:eastAsia="宋体" w:cs="Times New Roman"/>
                      <w:bCs/>
                      <w:color w:val="000000"/>
                      <w:kern w:val="0"/>
                      <w:sz w:val="21"/>
                      <w:szCs w:val="21"/>
                      <w:vertAlign w:val="superscript"/>
                      <w:lang w:val="en-US" w:eastAsia="zh-CN" w:bidi="ar"/>
                    </w:rPr>
                    <w:t>2</w:t>
                  </w:r>
                  <w:r>
                    <w:rPr>
                      <w:rFonts w:hint="eastAsia" w:ascii="Times New Roman" w:hAnsi="Times New Roman" w:eastAsia="宋体" w:cs="Times New Roman"/>
                      <w:bCs/>
                      <w:color w:val="000000"/>
                      <w:kern w:val="0"/>
                      <w:sz w:val="21"/>
                      <w:szCs w:val="21"/>
                      <w:lang w:val="en-US" w:eastAsia="zh-CN" w:bidi="ar"/>
                    </w:rPr>
                    <w:t>/d</w:t>
                  </w:r>
                </w:p>
              </w:tc>
              <w:tc>
                <w:tcPr>
                  <w:tcW w:w="1701" w:type="dxa"/>
                  <w:vMerge w:val="restart"/>
                  <w:vAlign w:val="center"/>
                </w:tcPr>
                <w:p w14:paraId="32948283">
                  <w:pPr>
                    <w:pStyle w:val="28"/>
                    <w:adjustRightInd w:val="0"/>
                    <w:snapToGrid w:val="0"/>
                    <w:spacing w:after="0"/>
                    <w:ind w:left="0" w:leftChars="0" w:firstLine="0"/>
                    <w:jc w:val="center"/>
                    <w:rPr>
                      <w:rFonts w:hint="eastAsia" w:hAnsi="Times New Roman" w:cs="Times New Roman"/>
                      <w:color w:val="000000"/>
                      <w:kern w:val="0"/>
                      <w:sz w:val="21"/>
                      <w:szCs w:val="21"/>
                      <w:lang w:val="en-US" w:eastAsia="zh-CN" w:bidi="ar"/>
                    </w:rPr>
                  </w:pPr>
                  <w:r>
                    <w:rPr>
                      <w:rFonts w:hint="eastAsia" w:hAnsi="Times New Roman" w:cs="Times New Roman"/>
                      <w:color w:val="000000"/>
                      <w:kern w:val="0"/>
                      <w:sz w:val="21"/>
                      <w:szCs w:val="21"/>
                      <w:highlight w:val="none"/>
                      <w:lang w:val="en-US" w:eastAsia="zh-CN" w:bidi="ar"/>
                    </w:rPr>
                    <w:t>200</w:t>
                  </w:r>
                  <w:r>
                    <w:rPr>
                      <w:rFonts w:hint="eastAsia" w:ascii="Times New Roman" w:hAnsi="Times New Roman" w:eastAsia="宋体" w:cs="Times New Roman"/>
                      <w:color w:val="000000"/>
                      <w:kern w:val="0"/>
                      <w:sz w:val="21"/>
                      <w:szCs w:val="21"/>
                      <w:highlight w:val="none"/>
                      <w:lang w:val="en-US" w:eastAsia="zh-CN" w:bidi="ar"/>
                    </w:rPr>
                    <w:t>m</w:t>
                  </w:r>
                  <w:r>
                    <w:rPr>
                      <w:rFonts w:hint="eastAsia" w:hAnsi="Times New Roman" w:cs="Times New Roman"/>
                      <w:color w:val="000000"/>
                      <w:kern w:val="0"/>
                      <w:sz w:val="21"/>
                      <w:szCs w:val="21"/>
                      <w:highlight w:val="none"/>
                      <w:vertAlign w:val="superscript"/>
                      <w:lang w:val="en-US" w:eastAsia="zh-CN" w:bidi="ar"/>
                    </w:rPr>
                    <w:t>2</w:t>
                  </w:r>
                  <w:r>
                    <w:rPr>
                      <w:rFonts w:hint="default" w:ascii="Times New Roman" w:hAnsi="Times New Roman" w:eastAsia="宋体" w:cs="Times New Roman"/>
                      <w:color w:val="000000"/>
                      <w:kern w:val="0"/>
                      <w:sz w:val="21"/>
                      <w:szCs w:val="21"/>
                      <w:lang w:val="en-US" w:eastAsia="zh-CN" w:bidi="ar"/>
                    </w:rPr>
                    <w:t>/</w:t>
                  </w:r>
                  <w:r>
                    <w:rPr>
                      <w:rFonts w:hint="eastAsia" w:hAnsi="Times New Roman" w:cs="Times New Roman"/>
                      <w:color w:val="000000"/>
                      <w:kern w:val="0"/>
                      <w:sz w:val="21"/>
                      <w:szCs w:val="21"/>
                      <w:lang w:val="en-US" w:eastAsia="zh-CN" w:bidi="ar"/>
                    </w:rPr>
                    <w:t>d、</w:t>
                  </w:r>
                </w:p>
                <w:p w14:paraId="4A79CC0C">
                  <w:pPr>
                    <w:pStyle w:val="28"/>
                    <w:adjustRightInd w:val="0"/>
                    <w:snapToGrid w:val="0"/>
                    <w:spacing w:after="0"/>
                    <w:ind w:left="0" w:leftChars="0" w:firstLine="0"/>
                    <w:jc w:val="center"/>
                    <w:rPr>
                      <w:rFonts w:hAnsi="Times New Roman" w:cs="Times New Roman"/>
                      <w:bCs/>
                      <w:color w:val="auto"/>
                      <w:sz w:val="21"/>
                      <w:szCs w:val="21"/>
                    </w:rPr>
                  </w:pPr>
                  <w:r>
                    <w:rPr>
                      <w:rFonts w:hint="eastAsia" w:ascii="Times New Roman" w:hAnsi="Times New Roman" w:eastAsia="宋体" w:cs="Times New Roman"/>
                      <w:color w:val="000000"/>
                      <w:kern w:val="0"/>
                      <w:sz w:val="21"/>
                      <w:szCs w:val="21"/>
                      <w:lang w:val="en-US" w:eastAsia="zh-CN" w:bidi="ar"/>
                    </w:rPr>
                    <w:t>6万</w:t>
                  </w:r>
                  <w:r>
                    <w:rPr>
                      <w:rFonts w:hint="eastAsia" w:hAnsi="Times New Roman" w:eastAsia="宋体" w:cs="Times New Roman"/>
                      <w:color w:val="000000"/>
                      <w:kern w:val="0"/>
                      <w:sz w:val="21"/>
                      <w:szCs w:val="21"/>
                      <w:lang w:val="en-US" w:eastAsia="zh-CN" w:bidi="ar"/>
                    </w:rPr>
                    <w:t>m</w:t>
                  </w:r>
                  <w:r>
                    <w:rPr>
                      <w:rFonts w:hint="eastAsia" w:hAnsi="Times New Roman" w:eastAsia="宋体" w:cs="Times New Roman"/>
                      <w:color w:val="000000"/>
                      <w:kern w:val="0"/>
                      <w:sz w:val="21"/>
                      <w:szCs w:val="21"/>
                      <w:vertAlign w:val="superscript"/>
                      <w:lang w:val="en-US" w:eastAsia="zh-CN" w:bidi="ar"/>
                    </w:rPr>
                    <w:t>2</w:t>
                  </w:r>
                  <w:r>
                    <w:rPr>
                      <w:rFonts w:hint="eastAsia" w:hAnsi="Times New Roman" w:eastAsia="宋体" w:cs="Times New Roman"/>
                      <w:color w:val="000000"/>
                      <w:kern w:val="0"/>
                      <w:sz w:val="21"/>
                      <w:szCs w:val="21"/>
                      <w:lang w:val="en-US" w:eastAsia="zh-CN" w:bidi="ar"/>
                    </w:rPr>
                    <w:t>/a</w:t>
                  </w:r>
                </w:p>
              </w:tc>
              <w:tc>
                <w:tcPr>
                  <w:tcW w:w="1701" w:type="dxa"/>
                  <w:vAlign w:val="center"/>
                </w:tcPr>
                <w:p w14:paraId="3D95C33F">
                  <w:pPr>
                    <w:pStyle w:val="68"/>
                    <w:tabs>
                      <w:tab w:val="left" w:pos="720"/>
                    </w:tabs>
                    <w:adjustRightInd w:val="0"/>
                    <w:snapToGrid w:val="0"/>
                    <w:ind w:firstLine="0"/>
                    <w:jc w:val="center"/>
                    <w:rPr>
                      <w:rFonts w:ascii="Times New Roman" w:hAnsi="Times New Roman" w:eastAsia="宋体" w:cs="Times New Roman"/>
                      <w:color w:val="000000"/>
                      <w:kern w:val="0"/>
                      <w:sz w:val="21"/>
                      <w:szCs w:val="21"/>
                      <w:lang w:bidi="ar"/>
                    </w:rPr>
                  </w:pPr>
                  <w:r>
                    <w:rPr>
                      <w:rFonts w:hint="eastAsia" w:ascii="Times New Roman" w:hAnsi="Times New Roman" w:eastAsia="宋体" w:cs="Times New Roman"/>
                      <w:sz w:val="21"/>
                      <w:szCs w:val="21"/>
                      <w:lang w:val="en-US" w:eastAsia="zh-CN"/>
                    </w:rPr>
                    <w:t>32</w:t>
                  </w:r>
                  <w:r>
                    <w:rPr>
                      <w:rFonts w:ascii="Times New Roman" w:hAnsi="Times New Roman" w:eastAsia="宋体" w:cs="Times New Roman"/>
                      <w:sz w:val="21"/>
                      <w:szCs w:val="21"/>
                    </w:rPr>
                    <w:t>%</w:t>
                  </w:r>
                </w:p>
              </w:tc>
            </w:tr>
            <w:tr w14:paraId="7D82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continue"/>
                  <w:vAlign w:val="center"/>
                </w:tcPr>
                <w:p w14:paraId="2BB07863">
                  <w:pPr>
                    <w:adjustRightInd w:val="0"/>
                    <w:snapToGrid w:val="0"/>
                    <w:jc w:val="center"/>
                    <w:rPr>
                      <w:rFonts w:ascii="Times New Roman" w:hAnsi="Times New Roman" w:eastAsia="宋体" w:cs="Times New Roman"/>
                      <w:bCs/>
                      <w:sz w:val="21"/>
                      <w:szCs w:val="21"/>
                    </w:rPr>
                  </w:pPr>
                </w:p>
              </w:tc>
              <w:tc>
                <w:tcPr>
                  <w:tcW w:w="1701" w:type="dxa"/>
                  <w:vAlign w:val="center"/>
                </w:tcPr>
                <w:p w14:paraId="2C074170">
                  <w:pPr>
                    <w:pStyle w:val="28"/>
                    <w:adjustRightInd w:val="0"/>
                    <w:snapToGrid w:val="0"/>
                    <w:spacing w:after="0"/>
                    <w:ind w:left="0" w:leftChars="0" w:firstLine="0"/>
                    <w:jc w:val="center"/>
                    <w:rPr>
                      <w:rFonts w:hint="default" w:hAnsi="Times New Roman" w:eastAsia="宋体" w:cs="Times New Roman"/>
                      <w:color w:val="auto"/>
                      <w:sz w:val="21"/>
                      <w:szCs w:val="21"/>
                      <w:highlight w:val="yellow"/>
                      <w:lang w:val="en-US" w:eastAsia="zh-CN"/>
                    </w:rPr>
                  </w:pPr>
                  <w:r>
                    <w:rPr>
                      <w:rFonts w:hAnsi="Times New Roman" w:cs="Times New Roman"/>
                      <w:color w:val="auto"/>
                      <w:sz w:val="21"/>
                      <w:szCs w:val="21"/>
                    </w:rPr>
                    <w:t>202</w:t>
                  </w:r>
                  <w:r>
                    <w:rPr>
                      <w:rFonts w:hint="eastAsia" w:hAnsi="Times New Roman" w:cs="Times New Roman"/>
                      <w:color w:val="auto"/>
                      <w:sz w:val="21"/>
                      <w:szCs w:val="21"/>
                      <w:lang w:val="en-US" w:eastAsia="zh-CN"/>
                    </w:rPr>
                    <w:t>5</w:t>
                  </w:r>
                  <w:r>
                    <w:rPr>
                      <w:rFonts w:hAnsi="Times New Roman" w:cs="Times New Roman"/>
                      <w:color w:val="auto"/>
                      <w:sz w:val="21"/>
                      <w:szCs w:val="21"/>
                    </w:rPr>
                    <w:t>.</w:t>
                  </w:r>
                  <w:r>
                    <w:rPr>
                      <w:rFonts w:hint="eastAsia" w:hAnsi="Times New Roman" w:cs="Times New Roman"/>
                      <w:color w:val="auto"/>
                      <w:sz w:val="21"/>
                      <w:szCs w:val="21"/>
                      <w:lang w:val="en-US" w:eastAsia="zh-CN"/>
                    </w:rPr>
                    <w:t>4</w:t>
                  </w:r>
                  <w:r>
                    <w:rPr>
                      <w:rFonts w:hAnsi="Times New Roman" w:cs="Times New Roman"/>
                      <w:color w:val="auto"/>
                      <w:sz w:val="21"/>
                      <w:szCs w:val="21"/>
                    </w:rPr>
                    <w:t>.</w:t>
                  </w:r>
                  <w:r>
                    <w:rPr>
                      <w:rFonts w:hint="eastAsia" w:hAnsi="Times New Roman" w:cs="Times New Roman"/>
                      <w:color w:val="auto"/>
                      <w:sz w:val="21"/>
                      <w:szCs w:val="21"/>
                      <w:lang w:val="en-US" w:eastAsia="zh-CN"/>
                    </w:rPr>
                    <w:t>18</w:t>
                  </w:r>
                </w:p>
              </w:tc>
              <w:tc>
                <w:tcPr>
                  <w:tcW w:w="1701" w:type="dxa"/>
                  <w:vAlign w:val="center"/>
                </w:tcPr>
                <w:p w14:paraId="2D662680">
                  <w:pPr>
                    <w:adjustRightInd w:val="0"/>
                    <w:snapToGrid w:val="0"/>
                    <w:jc w:val="center"/>
                    <w:rPr>
                      <w:rFonts w:ascii="Times New Roman" w:hAnsi="Times New Roman" w:eastAsia="宋体" w:cs="Times New Roman"/>
                      <w:bCs/>
                      <w:color w:val="000000"/>
                      <w:kern w:val="0"/>
                      <w:sz w:val="21"/>
                      <w:szCs w:val="21"/>
                      <w:lang w:bidi="ar"/>
                    </w:rPr>
                  </w:pPr>
                  <w:r>
                    <w:rPr>
                      <w:rFonts w:hint="eastAsia" w:ascii="Times New Roman" w:hAnsi="Times New Roman" w:eastAsia="宋体" w:cs="Times New Roman"/>
                      <w:bCs/>
                      <w:color w:val="000000"/>
                      <w:kern w:val="0"/>
                      <w:sz w:val="21"/>
                      <w:szCs w:val="21"/>
                      <w:lang w:val="en-US" w:eastAsia="zh-CN" w:bidi="ar"/>
                    </w:rPr>
                    <w:t>52m</w:t>
                  </w:r>
                  <w:r>
                    <w:rPr>
                      <w:rFonts w:hint="eastAsia" w:ascii="Times New Roman" w:hAnsi="Times New Roman" w:eastAsia="宋体" w:cs="Times New Roman"/>
                      <w:bCs/>
                      <w:color w:val="000000"/>
                      <w:kern w:val="0"/>
                      <w:sz w:val="21"/>
                      <w:szCs w:val="21"/>
                      <w:vertAlign w:val="superscript"/>
                      <w:lang w:val="en-US" w:eastAsia="zh-CN" w:bidi="ar"/>
                    </w:rPr>
                    <w:t>2</w:t>
                  </w:r>
                  <w:r>
                    <w:rPr>
                      <w:rFonts w:hint="eastAsia" w:ascii="Times New Roman" w:hAnsi="Times New Roman" w:eastAsia="宋体" w:cs="Times New Roman"/>
                      <w:bCs/>
                      <w:color w:val="000000"/>
                      <w:kern w:val="0"/>
                      <w:sz w:val="21"/>
                      <w:szCs w:val="21"/>
                      <w:lang w:val="en-US" w:eastAsia="zh-CN" w:bidi="ar"/>
                    </w:rPr>
                    <w:t>/d</w:t>
                  </w:r>
                </w:p>
              </w:tc>
              <w:tc>
                <w:tcPr>
                  <w:tcW w:w="1701" w:type="dxa"/>
                  <w:vMerge w:val="continue"/>
                  <w:vAlign w:val="center"/>
                </w:tcPr>
                <w:p w14:paraId="42DFDAE9">
                  <w:pPr>
                    <w:pStyle w:val="28"/>
                    <w:adjustRightInd w:val="0"/>
                    <w:snapToGrid w:val="0"/>
                    <w:spacing w:after="0"/>
                    <w:ind w:left="0" w:leftChars="0" w:firstLine="0"/>
                    <w:jc w:val="center"/>
                    <w:rPr>
                      <w:rFonts w:hAnsi="Times New Roman" w:cs="Times New Roman"/>
                      <w:bCs/>
                      <w:color w:val="auto"/>
                      <w:sz w:val="21"/>
                      <w:szCs w:val="21"/>
                    </w:rPr>
                  </w:pPr>
                </w:p>
              </w:tc>
              <w:tc>
                <w:tcPr>
                  <w:tcW w:w="1701" w:type="dxa"/>
                  <w:vAlign w:val="center"/>
                </w:tcPr>
                <w:p w14:paraId="20DDF164">
                  <w:pPr>
                    <w:pStyle w:val="68"/>
                    <w:tabs>
                      <w:tab w:val="left" w:pos="720"/>
                    </w:tabs>
                    <w:adjustRightInd w:val="0"/>
                    <w:snapToGrid w:val="0"/>
                    <w:ind w:firstLine="0"/>
                    <w:jc w:val="center"/>
                    <w:rPr>
                      <w:rFonts w:ascii="Times New Roman" w:hAnsi="Times New Roman" w:eastAsia="宋体" w:cs="Times New Roman"/>
                      <w:color w:val="000000"/>
                      <w:kern w:val="0"/>
                      <w:sz w:val="21"/>
                      <w:szCs w:val="21"/>
                      <w:lang w:bidi="ar"/>
                    </w:rPr>
                  </w:pPr>
                  <w:r>
                    <w:rPr>
                      <w:rFonts w:hint="eastAsia" w:ascii="Times New Roman" w:hAnsi="Times New Roman" w:eastAsia="宋体" w:cs="Times New Roman"/>
                      <w:sz w:val="21"/>
                      <w:szCs w:val="21"/>
                      <w:lang w:val="en-US" w:eastAsia="zh-CN"/>
                    </w:rPr>
                    <w:t>26</w:t>
                  </w:r>
                  <w:r>
                    <w:rPr>
                      <w:rFonts w:ascii="Times New Roman" w:hAnsi="Times New Roman" w:eastAsia="宋体" w:cs="Times New Roman"/>
                      <w:sz w:val="21"/>
                      <w:szCs w:val="21"/>
                    </w:rPr>
                    <w:t>%</w:t>
                  </w:r>
                </w:p>
              </w:tc>
            </w:tr>
          </w:tbl>
          <w:p w14:paraId="1B258EF4">
            <w:pPr>
              <w:pStyle w:val="28"/>
              <w:adjustRightInd w:val="0"/>
              <w:snapToGrid w:val="0"/>
              <w:spacing w:after="0" w:line="500" w:lineRule="exact"/>
              <w:ind w:left="0" w:leftChars="0" w:firstLine="480" w:firstLineChars="200"/>
              <w:rPr>
                <w:rFonts w:hint="default" w:hAnsi="Times New Roman" w:eastAsia="宋体" w:cs="Times New Roman"/>
                <w:b w:val="0"/>
                <w:bCs w:val="0"/>
                <w:color w:val="auto"/>
                <w:sz w:val="24"/>
                <w:lang w:val="en-US" w:eastAsia="zh-CN"/>
              </w:rPr>
            </w:pPr>
            <w:r>
              <w:rPr>
                <w:rFonts w:hint="eastAsia" w:hAnsi="Times New Roman" w:cs="Times New Roman"/>
                <w:b w:val="0"/>
                <w:bCs w:val="0"/>
                <w:color w:val="auto"/>
                <w:sz w:val="24"/>
                <w:lang w:val="en-US" w:eastAsia="zh-CN"/>
              </w:rPr>
              <w:t>*项目夜间未生产。</w:t>
            </w:r>
          </w:p>
          <w:p w14:paraId="1D2801EB">
            <w:pPr>
              <w:pStyle w:val="28"/>
              <w:adjustRightInd w:val="0"/>
              <w:snapToGrid w:val="0"/>
              <w:spacing w:after="0" w:line="500" w:lineRule="exact"/>
              <w:ind w:left="0" w:leftChars="0" w:firstLine="0"/>
              <w:rPr>
                <w:rFonts w:hAnsi="Times New Roman" w:cs="Times New Roman"/>
                <w:b/>
                <w:bCs/>
                <w:color w:val="auto"/>
                <w:sz w:val="24"/>
              </w:rPr>
            </w:pPr>
            <w:r>
              <w:rPr>
                <w:rFonts w:hAnsi="Times New Roman" w:cs="Times New Roman"/>
                <w:b/>
                <w:bCs/>
                <w:color w:val="auto"/>
                <w:sz w:val="24"/>
              </w:rPr>
              <w:t>验收监测结果：</w:t>
            </w:r>
          </w:p>
          <w:p w14:paraId="0F61AF8B">
            <w:pPr>
              <w:pStyle w:val="36"/>
              <w:snapToGrid w:val="0"/>
              <w:spacing w:line="500" w:lineRule="exact"/>
              <w:ind w:firstLine="482" w:firstLineChars="200"/>
              <w:rPr>
                <w:rFonts w:ascii="Times New Roman"/>
                <w:b/>
                <w:bCs/>
                <w:szCs w:val="24"/>
              </w:rPr>
            </w:pPr>
            <w:r>
              <w:rPr>
                <w:rFonts w:hint="eastAsia" w:ascii="Times New Roman"/>
                <w:b/>
                <w:bCs/>
                <w:szCs w:val="24"/>
                <w:lang w:val="en-US" w:eastAsia="zh-CN"/>
              </w:rPr>
              <w:t>1</w:t>
            </w:r>
            <w:r>
              <w:rPr>
                <w:rFonts w:ascii="Times New Roman"/>
                <w:b/>
                <w:bCs/>
                <w:szCs w:val="24"/>
              </w:rPr>
              <w:t>、</w:t>
            </w:r>
            <w:r>
              <w:rPr>
                <w:rFonts w:hint="eastAsia" w:ascii="Times New Roman"/>
                <w:b/>
                <w:bCs/>
                <w:szCs w:val="24"/>
              </w:rPr>
              <w:t>废气监测结果</w:t>
            </w:r>
          </w:p>
          <w:p w14:paraId="31982457">
            <w:pPr>
              <w:pStyle w:val="36"/>
              <w:snapToGrid w:val="0"/>
              <w:spacing w:line="500" w:lineRule="exact"/>
              <w:ind w:firstLine="482" w:firstLineChars="200"/>
              <w:rPr>
                <w:rFonts w:ascii="Times New Roman"/>
                <w:b/>
              </w:rPr>
            </w:pPr>
            <w:r>
              <w:rPr>
                <w:rFonts w:hint="eastAsia" w:ascii="Times New Roman"/>
                <w:b/>
              </w:rPr>
              <w:t>（1）有组织废气</w:t>
            </w:r>
          </w:p>
          <w:p w14:paraId="34B6E3F7">
            <w:pPr>
              <w:adjustRightInd w:val="0"/>
              <w:snapToGrid w:val="0"/>
              <w:spacing w:line="500" w:lineRule="exact"/>
              <w:ind w:firstLine="480" w:firstLineChars="200"/>
              <w:rPr>
                <w:rFonts w:ascii="Times New Roman" w:hAnsi="Times New Roman" w:eastAsia="宋体" w:cs="Times New Roman"/>
                <w:bCs/>
                <w:sz w:val="24"/>
              </w:rPr>
            </w:pPr>
            <w:r>
              <w:rPr>
                <w:rFonts w:hint="eastAsia" w:ascii="Times New Roman"/>
                <w:bCs/>
                <w:color w:val="auto"/>
                <w:sz w:val="24"/>
                <w:szCs w:val="24"/>
                <w:highlight w:val="none"/>
              </w:rPr>
              <w:t>2025年4月17-18日</w:t>
            </w:r>
            <w:r>
              <w:rPr>
                <w:rFonts w:ascii="Times New Roman" w:hAnsi="Times New Roman" w:eastAsia="宋体" w:cs="Times New Roman"/>
                <w:bCs/>
                <w:sz w:val="24"/>
                <w:szCs w:val="24"/>
              </w:rPr>
              <w:t>验收监测期间，</w:t>
            </w:r>
            <w:r>
              <w:rPr>
                <w:rFonts w:hint="eastAsia" w:ascii="Times New Roman" w:hAnsi="Times New Roman" w:eastAsia="宋体" w:cs="Times New Roman"/>
                <w:bCs/>
                <w:sz w:val="24"/>
                <w:szCs w:val="24"/>
              </w:rPr>
              <w:t>在项目废气排放</w:t>
            </w:r>
            <w:r>
              <w:rPr>
                <w:rFonts w:hint="eastAsia" w:ascii="Times New Roman" w:hAnsi="Times New Roman" w:eastAsia="宋体" w:cs="Times New Roman"/>
                <w:bCs/>
                <w:sz w:val="24"/>
                <w:szCs w:val="24"/>
                <w:lang w:val="en-US" w:eastAsia="zh-CN"/>
              </w:rPr>
              <w:t>进出</w:t>
            </w:r>
            <w:r>
              <w:rPr>
                <w:rFonts w:hint="eastAsia" w:ascii="Times New Roman" w:hAnsi="Times New Roman" w:eastAsia="宋体" w:cs="Times New Roman"/>
                <w:bCs/>
                <w:sz w:val="24"/>
                <w:szCs w:val="24"/>
              </w:rPr>
              <w:t>口</w:t>
            </w:r>
            <w:r>
              <w:rPr>
                <w:rFonts w:hint="eastAsia" w:ascii="Times New Roman" w:hAnsi="Times New Roman" w:eastAsia="宋体" w:cs="Times New Roman"/>
                <w:bCs/>
                <w:sz w:val="24"/>
                <w:szCs w:val="24"/>
                <w:lang w:val="en-US" w:eastAsia="zh-CN"/>
              </w:rPr>
              <w:t>各</w:t>
            </w:r>
            <w:r>
              <w:rPr>
                <w:rFonts w:ascii="Times New Roman" w:hAnsi="Times New Roman" w:eastAsia="宋体" w:cs="Times New Roman"/>
                <w:bCs/>
                <w:sz w:val="24"/>
                <w:szCs w:val="24"/>
              </w:rPr>
              <w:t>设置</w:t>
            </w:r>
            <w:r>
              <w:rPr>
                <w:rFonts w:hint="eastAsia" w:ascii="Times New Roman" w:hAnsi="Times New Roman" w:eastAsia="宋体" w:cs="Times New Roman"/>
                <w:bCs/>
                <w:sz w:val="24"/>
                <w:szCs w:val="24"/>
              </w:rPr>
              <w:t>1个监测点位，</w:t>
            </w:r>
            <w:r>
              <w:rPr>
                <w:rFonts w:ascii="Times New Roman" w:hAnsi="Times New Roman" w:eastAsia="宋体" w:cs="Times New Roman"/>
                <w:bCs/>
                <w:sz w:val="24"/>
                <w:szCs w:val="24"/>
              </w:rPr>
              <w:t>监测结果如下：</w:t>
            </w:r>
          </w:p>
          <w:p w14:paraId="675443B5">
            <w:pPr>
              <w:jc w:val="center"/>
              <w:rPr>
                <w:rFonts w:ascii="Times New Roman" w:hAnsi="Times New Roman" w:eastAsia="宋体" w:cs="Times New Roman"/>
                <w:b/>
                <w:bCs/>
                <w:sz w:val="24"/>
              </w:rPr>
            </w:pPr>
            <w:r>
              <w:rPr>
                <w:rFonts w:ascii="Times New Roman" w:hAnsi="Times New Roman" w:eastAsia="宋体" w:cs="Times New Roman"/>
                <w:b/>
                <w:bCs/>
                <w:sz w:val="24"/>
              </w:rPr>
              <w:t>表7-</w:t>
            </w:r>
            <w:r>
              <w:rPr>
                <w:rFonts w:hint="eastAsia" w:ascii="Times New Roman" w:hAnsi="Times New Roman" w:eastAsia="宋体" w:cs="Times New Roman"/>
                <w:b/>
                <w:bCs/>
                <w:sz w:val="24"/>
              </w:rPr>
              <w:t>3有组织废气参数检测结果表</w:t>
            </w:r>
          </w:p>
          <w:tbl>
            <w:tblPr>
              <w:tblStyle w:val="29"/>
              <w:tblW w:w="8504" w:type="dxa"/>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fixed"/>
              <w:tblCellMar>
                <w:top w:w="0" w:type="dxa"/>
                <w:left w:w="108" w:type="dxa"/>
                <w:bottom w:w="0" w:type="dxa"/>
                <w:right w:w="108" w:type="dxa"/>
              </w:tblCellMar>
            </w:tblPr>
            <w:tblGrid>
              <w:gridCol w:w="1135"/>
              <w:gridCol w:w="1230"/>
              <w:gridCol w:w="1350"/>
              <w:gridCol w:w="893"/>
              <w:gridCol w:w="983"/>
              <w:gridCol w:w="1188"/>
              <w:gridCol w:w="1725"/>
            </w:tblGrid>
            <w:tr w14:paraId="4C05D935">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tcBorders>
                    <w:right w:val="single" w:color="auto" w:sz="4" w:space="0"/>
                  </w:tcBorders>
                  <w:vAlign w:val="center"/>
                </w:tcPr>
                <w:p w14:paraId="67E117D8">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eastAsia" w:ascii="Times New Roman" w:hAnsi="Times New Roman" w:cs="Times New Roman"/>
                      <w:color w:val="auto"/>
                      <w:kern w:val="0"/>
                      <w:sz w:val="21"/>
                      <w:szCs w:val="21"/>
                      <w:lang w:val="en-US" w:eastAsia="zh-CN"/>
                    </w:rPr>
                    <w:t>监测</w:t>
                  </w:r>
                  <w:r>
                    <w:rPr>
                      <w:rFonts w:hint="default" w:ascii="Times New Roman" w:hAnsi="Times New Roman" w:cs="Times New Roman"/>
                      <w:color w:val="auto"/>
                      <w:kern w:val="0"/>
                      <w:sz w:val="21"/>
                      <w:szCs w:val="21"/>
                    </w:rPr>
                    <w:t>点位</w:t>
                  </w:r>
                </w:p>
              </w:tc>
              <w:tc>
                <w:tcPr>
                  <w:tcW w:w="1230" w:type="dxa"/>
                  <w:tcBorders>
                    <w:left w:val="single" w:color="auto" w:sz="4" w:space="0"/>
                  </w:tcBorders>
                  <w:vAlign w:val="center"/>
                </w:tcPr>
                <w:p w14:paraId="0002875F">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监测</w:t>
                  </w:r>
                  <w:r>
                    <w:rPr>
                      <w:rFonts w:hint="default" w:ascii="Times New Roman" w:hAnsi="Times New Roman" w:cs="Times New Roman"/>
                      <w:color w:val="auto"/>
                      <w:kern w:val="0"/>
                      <w:sz w:val="21"/>
                      <w:szCs w:val="21"/>
                      <w:lang w:val="en-US" w:eastAsia="zh-CN"/>
                    </w:rPr>
                    <w:t>时间</w:t>
                  </w:r>
                </w:p>
              </w:tc>
              <w:tc>
                <w:tcPr>
                  <w:tcW w:w="1350" w:type="dxa"/>
                  <w:vAlign w:val="center"/>
                </w:tcPr>
                <w:p w14:paraId="2B483156">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eastAsia" w:ascii="Times New Roman" w:hAnsi="Times New Roman" w:cs="Times New Roman"/>
                      <w:color w:val="auto"/>
                      <w:kern w:val="0"/>
                      <w:sz w:val="21"/>
                      <w:szCs w:val="21"/>
                      <w:lang w:val="en-US" w:eastAsia="zh-CN"/>
                    </w:rPr>
                    <w:t>监测</w:t>
                  </w:r>
                  <w:r>
                    <w:rPr>
                      <w:rFonts w:hint="default" w:ascii="Times New Roman" w:hAnsi="Times New Roman" w:cs="Times New Roman"/>
                      <w:color w:val="auto"/>
                      <w:kern w:val="0"/>
                      <w:sz w:val="21"/>
                      <w:szCs w:val="21"/>
                    </w:rPr>
                    <w:t>频次</w:t>
                  </w:r>
                </w:p>
              </w:tc>
              <w:tc>
                <w:tcPr>
                  <w:tcW w:w="893" w:type="dxa"/>
                  <w:vAlign w:val="center"/>
                </w:tcPr>
                <w:p w14:paraId="57338689">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流速</w:t>
                  </w:r>
                </w:p>
                <w:p w14:paraId="43D8918F">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（m/s）</w:t>
                  </w:r>
                </w:p>
              </w:tc>
              <w:tc>
                <w:tcPr>
                  <w:tcW w:w="983" w:type="dxa"/>
                  <w:vAlign w:val="center"/>
                </w:tcPr>
                <w:p w14:paraId="449D514F">
                  <w:pPr>
                    <w:keepNext w:val="0"/>
                    <w:keepLines w:val="0"/>
                    <w:pageBreakBefore w:val="0"/>
                    <w:widowControl/>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烟气温度（℃）</w:t>
                  </w:r>
                </w:p>
              </w:tc>
              <w:tc>
                <w:tcPr>
                  <w:tcW w:w="1188" w:type="dxa"/>
                  <w:vAlign w:val="center"/>
                </w:tcPr>
                <w:p w14:paraId="08C2C282">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含湿量</w:t>
                  </w:r>
                </w:p>
                <w:p w14:paraId="63C48D71">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w:t>
                  </w:r>
                </w:p>
              </w:tc>
              <w:tc>
                <w:tcPr>
                  <w:tcW w:w="1725" w:type="dxa"/>
                  <w:vAlign w:val="center"/>
                </w:tcPr>
                <w:p w14:paraId="124F59ED">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kern w:val="0"/>
                      <w:sz w:val="21"/>
                      <w:szCs w:val="21"/>
                    </w:rPr>
                    <w:t>标干流量（m</w:t>
                  </w:r>
                  <w:r>
                    <w:rPr>
                      <w:rFonts w:hint="default" w:ascii="Times New Roman" w:hAnsi="Times New Roman" w:cs="Times New Roman"/>
                      <w:color w:val="auto"/>
                      <w:kern w:val="0"/>
                      <w:sz w:val="21"/>
                      <w:szCs w:val="21"/>
                      <w:vertAlign w:val="superscript"/>
                    </w:rPr>
                    <w:t>3</w:t>
                  </w:r>
                  <w:r>
                    <w:rPr>
                      <w:rFonts w:hint="default" w:ascii="Times New Roman" w:hAnsi="Times New Roman" w:cs="Times New Roman"/>
                      <w:color w:val="auto"/>
                      <w:kern w:val="0"/>
                      <w:sz w:val="21"/>
                      <w:szCs w:val="21"/>
                    </w:rPr>
                    <w:t>/h）</w:t>
                  </w:r>
                </w:p>
              </w:tc>
            </w:tr>
            <w:tr w14:paraId="7F3F8577">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vMerge w:val="restart"/>
                  <w:tcBorders>
                    <w:right w:val="single" w:color="auto" w:sz="4" w:space="0"/>
                  </w:tcBorders>
                  <w:vAlign w:val="center"/>
                </w:tcPr>
                <w:p w14:paraId="534D4043">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auto"/>
                      <w:kern w:val="0"/>
                      <w:sz w:val="21"/>
                      <w:szCs w:val="21"/>
                      <w:lang w:val="en-US" w:eastAsia="zh-CN"/>
                    </w:rPr>
                  </w:pPr>
                  <w:bookmarkStart w:id="25" w:name="OLE_LINK3" w:colFirst="7" w:colLast="7"/>
                  <w:r>
                    <w:rPr>
                      <w:rFonts w:hint="default" w:ascii="Times New Roman" w:hAnsi="Times New Roman" w:eastAsia="宋体" w:cs="Times New Roman"/>
                      <w:color w:val="auto"/>
                      <w:kern w:val="0"/>
                      <w:sz w:val="21"/>
                      <w:szCs w:val="21"/>
                      <w:lang w:val="en-US" w:eastAsia="zh-CN"/>
                    </w:rPr>
                    <w:t>G1车间有组织废气排放口进口</w:t>
                  </w:r>
                </w:p>
              </w:tc>
              <w:tc>
                <w:tcPr>
                  <w:tcW w:w="1230" w:type="dxa"/>
                  <w:vMerge w:val="restart"/>
                  <w:tcBorders>
                    <w:left w:val="single" w:color="auto" w:sz="4" w:space="0"/>
                  </w:tcBorders>
                  <w:vAlign w:val="center"/>
                </w:tcPr>
                <w:p w14:paraId="4650A328">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2025.04.17</w:t>
                  </w:r>
                </w:p>
              </w:tc>
              <w:tc>
                <w:tcPr>
                  <w:tcW w:w="1350" w:type="dxa"/>
                  <w:vAlign w:val="center"/>
                </w:tcPr>
                <w:p w14:paraId="61F47CCC">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第一次</w:t>
                  </w:r>
                </w:p>
              </w:tc>
              <w:tc>
                <w:tcPr>
                  <w:tcW w:w="893" w:type="dxa"/>
                  <w:vAlign w:val="center"/>
                </w:tcPr>
                <w:p w14:paraId="3987BC23">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10.1 </w:t>
                  </w:r>
                </w:p>
              </w:tc>
              <w:tc>
                <w:tcPr>
                  <w:tcW w:w="983" w:type="dxa"/>
                  <w:vAlign w:val="center"/>
                </w:tcPr>
                <w:p w14:paraId="458D1813">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27 </w:t>
                  </w:r>
                </w:p>
              </w:tc>
              <w:tc>
                <w:tcPr>
                  <w:tcW w:w="1188" w:type="dxa"/>
                  <w:vAlign w:val="center"/>
                </w:tcPr>
                <w:p w14:paraId="57C32EC0">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3.6 </w:t>
                  </w:r>
                </w:p>
              </w:tc>
              <w:tc>
                <w:tcPr>
                  <w:tcW w:w="1725" w:type="dxa"/>
                  <w:vAlign w:val="center"/>
                </w:tcPr>
                <w:p w14:paraId="5BBAE971">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3933 </w:t>
                  </w:r>
                </w:p>
              </w:tc>
            </w:tr>
            <w:tr w14:paraId="6BF05425">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vMerge w:val="continue"/>
                  <w:tcBorders>
                    <w:right w:val="single" w:color="auto" w:sz="4" w:space="0"/>
                  </w:tcBorders>
                  <w:vAlign w:val="center"/>
                </w:tcPr>
                <w:p w14:paraId="119EAA8F">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230" w:type="dxa"/>
                  <w:vMerge w:val="continue"/>
                  <w:tcBorders>
                    <w:left w:val="single" w:color="auto" w:sz="4" w:space="0"/>
                  </w:tcBorders>
                  <w:vAlign w:val="center"/>
                </w:tcPr>
                <w:p w14:paraId="67FFFFFE">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350" w:type="dxa"/>
                  <w:vAlign w:val="center"/>
                </w:tcPr>
                <w:p w14:paraId="1D8F6E73">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第二次</w:t>
                  </w:r>
                </w:p>
              </w:tc>
              <w:tc>
                <w:tcPr>
                  <w:tcW w:w="893" w:type="dxa"/>
                  <w:vAlign w:val="center"/>
                </w:tcPr>
                <w:p w14:paraId="0B7C5642">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9.58 </w:t>
                  </w:r>
                </w:p>
              </w:tc>
              <w:tc>
                <w:tcPr>
                  <w:tcW w:w="983" w:type="dxa"/>
                  <w:vAlign w:val="center"/>
                </w:tcPr>
                <w:p w14:paraId="71DF48DD">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27 </w:t>
                  </w:r>
                </w:p>
              </w:tc>
              <w:tc>
                <w:tcPr>
                  <w:tcW w:w="1188" w:type="dxa"/>
                  <w:vAlign w:val="center"/>
                </w:tcPr>
                <w:p w14:paraId="48506A3D">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3.6 </w:t>
                  </w:r>
                </w:p>
              </w:tc>
              <w:tc>
                <w:tcPr>
                  <w:tcW w:w="1725" w:type="dxa"/>
                  <w:vAlign w:val="center"/>
                </w:tcPr>
                <w:p w14:paraId="7B14300A">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3742 </w:t>
                  </w:r>
                </w:p>
              </w:tc>
            </w:tr>
            <w:tr w14:paraId="03046EBF">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vMerge w:val="continue"/>
                  <w:tcBorders>
                    <w:right w:val="single" w:color="auto" w:sz="4" w:space="0"/>
                  </w:tcBorders>
                  <w:vAlign w:val="center"/>
                </w:tcPr>
                <w:p w14:paraId="32A59C92">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230" w:type="dxa"/>
                  <w:vMerge w:val="continue"/>
                  <w:tcBorders>
                    <w:left w:val="single" w:color="auto" w:sz="4" w:space="0"/>
                  </w:tcBorders>
                  <w:vAlign w:val="center"/>
                </w:tcPr>
                <w:p w14:paraId="10075075">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350" w:type="dxa"/>
                  <w:vAlign w:val="center"/>
                </w:tcPr>
                <w:p w14:paraId="648008C1">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第三次</w:t>
                  </w:r>
                </w:p>
              </w:tc>
              <w:tc>
                <w:tcPr>
                  <w:tcW w:w="893" w:type="dxa"/>
                  <w:vAlign w:val="center"/>
                </w:tcPr>
                <w:p w14:paraId="03FE0BC5">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8.82 </w:t>
                  </w:r>
                </w:p>
              </w:tc>
              <w:tc>
                <w:tcPr>
                  <w:tcW w:w="983" w:type="dxa"/>
                  <w:vAlign w:val="center"/>
                </w:tcPr>
                <w:p w14:paraId="5E668FE8">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27 </w:t>
                  </w:r>
                </w:p>
              </w:tc>
              <w:tc>
                <w:tcPr>
                  <w:tcW w:w="1188" w:type="dxa"/>
                  <w:vAlign w:val="center"/>
                </w:tcPr>
                <w:p w14:paraId="5B724722">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3.6 </w:t>
                  </w:r>
                </w:p>
              </w:tc>
              <w:tc>
                <w:tcPr>
                  <w:tcW w:w="1725" w:type="dxa"/>
                  <w:vAlign w:val="center"/>
                </w:tcPr>
                <w:p w14:paraId="243A84BC">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3431 </w:t>
                  </w:r>
                </w:p>
              </w:tc>
            </w:tr>
            <w:bookmarkEnd w:id="25"/>
            <w:tr w14:paraId="2250EA17">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vMerge w:val="continue"/>
                  <w:tcBorders>
                    <w:right w:val="single" w:color="auto" w:sz="4" w:space="0"/>
                  </w:tcBorders>
                  <w:vAlign w:val="center"/>
                </w:tcPr>
                <w:p w14:paraId="208AB49D">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auto"/>
                      <w:kern w:val="0"/>
                      <w:sz w:val="21"/>
                      <w:szCs w:val="21"/>
                      <w:lang w:val="en-US" w:eastAsia="zh-CN"/>
                    </w:rPr>
                  </w:pPr>
                </w:p>
              </w:tc>
              <w:tc>
                <w:tcPr>
                  <w:tcW w:w="1230" w:type="dxa"/>
                  <w:vMerge w:val="restart"/>
                  <w:tcBorders>
                    <w:left w:val="single" w:color="auto" w:sz="4" w:space="0"/>
                  </w:tcBorders>
                  <w:vAlign w:val="center"/>
                </w:tcPr>
                <w:p w14:paraId="221B9C55">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2025.04.18</w:t>
                  </w:r>
                </w:p>
              </w:tc>
              <w:tc>
                <w:tcPr>
                  <w:tcW w:w="1350" w:type="dxa"/>
                  <w:vAlign w:val="center"/>
                </w:tcPr>
                <w:p w14:paraId="24AA1017">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第一次</w:t>
                  </w:r>
                </w:p>
              </w:tc>
              <w:tc>
                <w:tcPr>
                  <w:tcW w:w="893" w:type="dxa"/>
                  <w:vAlign w:val="center"/>
                </w:tcPr>
                <w:p w14:paraId="2D81F2F9">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11.0 </w:t>
                  </w:r>
                </w:p>
              </w:tc>
              <w:tc>
                <w:tcPr>
                  <w:tcW w:w="983" w:type="dxa"/>
                  <w:vAlign w:val="center"/>
                </w:tcPr>
                <w:p w14:paraId="167CAF99">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28 </w:t>
                  </w:r>
                </w:p>
              </w:tc>
              <w:tc>
                <w:tcPr>
                  <w:tcW w:w="1188" w:type="dxa"/>
                  <w:vAlign w:val="center"/>
                </w:tcPr>
                <w:p w14:paraId="179DE096">
                  <w:pPr>
                    <w:keepNext w:val="0"/>
                    <w:keepLines w:val="0"/>
                    <w:widowControl/>
                    <w:suppressLineNumbers w:val="0"/>
                    <w:jc w:val="center"/>
                    <w:textAlignment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i w:val="0"/>
                      <w:iCs w:val="0"/>
                      <w:color w:val="auto"/>
                      <w:kern w:val="0"/>
                      <w:sz w:val="21"/>
                      <w:szCs w:val="21"/>
                      <w:u w:val="none"/>
                      <w:lang w:val="en-US" w:eastAsia="zh-CN" w:bidi="ar"/>
                    </w:rPr>
                    <w:t xml:space="preserve">3.5 </w:t>
                  </w:r>
                </w:p>
              </w:tc>
              <w:tc>
                <w:tcPr>
                  <w:tcW w:w="1725" w:type="dxa"/>
                  <w:vAlign w:val="center"/>
                </w:tcPr>
                <w:p w14:paraId="4B11B5C9">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4287 </w:t>
                  </w:r>
                </w:p>
              </w:tc>
            </w:tr>
            <w:tr w14:paraId="4781296D">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vMerge w:val="continue"/>
                  <w:tcBorders>
                    <w:right w:val="single" w:color="auto" w:sz="4" w:space="0"/>
                  </w:tcBorders>
                  <w:vAlign w:val="center"/>
                </w:tcPr>
                <w:p w14:paraId="6248273B">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230" w:type="dxa"/>
                  <w:vMerge w:val="continue"/>
                  <w:tcBorders>
                    <w:left w:val="single" w:color="auto" w:sz="4" w:space="0"/>
                  </w:tcBorders>
                  <w:vAlign w:val="center"/>
                </w:tcPr>
                <w:p w14:paraId="1844A7A7">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350" w:type="dxa"/>
                  <w:vAlign w:val="center"/>
                </w:tcPr>
                <w:p w14:paraId="55F89909">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第二次</w:t>
                  </w:r>
                </w:p>
              </w:tc>
              <w:tc>
                <w:tcPr>
                  <w:tcW w:w="893" w:type="dxa"/>
                  <w:vAlign w:val="center"/>
                </w:tcPr>
                <w:p w14:paraId="125F3057">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9.14 </w:t>
                  </w:r>
                </w:p>
              </w:tc>
              <w:tc>
                <w:tcPr>
                  <w:tcW w:w="983" w:type="dxa"/>
                  <w:vAlign w:val="center"/>
                </w:tcPr>
                <w:p w14:paraId="67A046D9">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28 </w:t>
                  </w:r>
                </w:p>
              </w:tc>
              <w:tc>
                <w:tcPr>
                  <w:tcW w:w="1188" w:type="dxa"/>
                  <w:vAlign w:val="center"/>
                </w:tcPr>
                <w:p w14:paraId="10C2650D">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3.5 </w:t>
                  </w:r>
                </w:p>
              </w:tc>
              <w:tc>
                <w:tcPr>
                  <w:tcW w:w="1725" w:type="dxa"/>
                  <w:vAlign w:val="center"/>
                </w:tcPr>
                <w:p w14:paraId="494D4CE5">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3567 </w:t>
                  </w:r>
                </w:p>
              </w:tc>
            </w:tr>
            <w:tr w14:paraId="2D1F9DDE">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vMerge w:val="continue"/>
                  <w:tcBorders>
                    <w:right w:val="single" w:color="auto" w:sz="4" w:space="0"/>
                  </w:tcBorders>
                  <w:vAlign w:val="center"/>
                </w:tcPr>
                <w:p w14:paraId="45438280">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230" w:type="dxa"/>
                  <w:vMerge w:val="continue"/>
                  <w:tcBorders>
                    <w:left w:val="single" w:color="auto" w:sz="4" w:space="0"/>
                  </w:tcBorders>
                  <w:vAlign w:val="center"/>
                </w:tcPr>
                <w:p w14:paraId="02E339DA">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350" w:type="dxa"/>
                  <w:vAlign w:val="center"/>
                </w:tcPr>
                <w:p w14:paraId="7ABF5FDB">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第三次</w:t>
                  </w:r>
                </w:p>
              </w:tc>
              <w:tc>
                <w:tcPr>
                  <w:tcW w:w="893" w:type="dxa"/>
                  <w:vAlign w:val="center"/>
                </w:tcPr>
                <w:p w14:paraId="3E007EDD">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12.0</w:t>
                  </w:r>
                </w:p>
              </w:tc>
              <w:tc>
                <w:tcPr>
                  <w:tcW w:w="983" w:type="dxa"/>
                  <w:vAlign w:val="center"/>
                </w:tcPr>
                <w:p w14:paraId="35D5ADBE">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28 </w:t>
                  </w:r>
                </w:p>
              </w:tc>
              <w:tc>
                <w:tcPr>
                  <w:tcW w:w="1188" w:type="dxa"/>
                  <w:vAlign w:val="center"/>
                </w:tcPr>
                <w:p w14:paraId="6F7EFC8D">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3.5 </w:t>
                  </w:r>
                </w:p>
              </w:tc>
              <w:tc>
                <w:tcPr>
                  <w:tcW w:w="1725" w:type="dxa"/>
                  <w:vAlign w:val="center"/>
                </w:tcPr>
                <w:p w14:paraId="66710ABE">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4666 </w:t>
                  </w:r>
                </w:p>
              </w:tc>
            </w:tr>
            <w:tr w14:paraId="6594E07D">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vMerge w:val="restart"/>
                  <w:tcBorders>
                    <w:right w:val="single" w:color="auto" w:sz="4" w:space="0"/>
                  </w:tcBorders>
                  <w:vAlign w:val="center"/>
                </w:tcPr>
                <w:p w14:paraId="788CC930">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lang w:val="en-US" w:eastAsia="zh-CN"/>
                    </w:rPr>
                    <w:t>G2车间有组织废气排放口出口</w:t>
                  </w:r>
                </w:p>
              </w:tc>
              <w:tc>
                <w:tcPr>
                  <w:tcW w:w="1230" w:type="dxa"/>
                  <w:vMerge w:val="restart"/>
                  <w:tcBorders>
                    <w:left w:val="single" w:color="auto" w:sz="4" w:space="0"/>
                  </w:tcBorders>
                  <w:vAlign w:val="center"/>
                </w:tcPr>
                <w:p w14:paraId="3BE7E015">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lang w:val="en-US" w:eastAsia="zh-CN"/>
                    </w:rPr>
                    <w:t>2025.04.17</w:t>
                  </w:r>
                </w:p>
              </w:tc>
              <w:tc>
                <w:tcPr>
                  <w:tcW w:w="1350" w:type="dxa"/>
                  <w:vAlign w:val="center"/>
                </w:tcPr>
                <w:p w14:paraId="3438C388">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第一次</w:t>
                  </w:r>
                </w:p>
              </w:tc>
              <w:tc>
                <w:tcPr>
                  <w:tcW w:w="893" w:type="dxa"/>
                  <w:vAlign w:val="center"/>
                </w:tcPr>
                <w:p w14:paraId="56DC5B99">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7.68 </w:t>
                  </w:r>
                </w:p>
              </w:tc>
              <w:tc>
                <w:tcPr>
                  <w:tcW w:w="983" w:type="dxa"/>
                  <w:vAlign w:val="center"/>
                </w:tcPr>
                <w:p w14:paraId="4B464CCF">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26 </w:t>
                  </w:r>
                </w:p>
              </w:tc>
              <w:tc>
                <w:tcPr>
                  <w:tcW w:w="1188" w:type="dxa"/>
                  <w:vAlign w:val="center"/>
                </w:tcPr>
                <w:p w14:paraId="6D26591C">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3.6 </w:t>
                  </w:r>
                </w:p>
              </w:tc>
              <w:tc>
                <w:tcPr>
                  <w:tcW w:w="1725" w:type="dxa"/>
                  <w:vAlign w:val="center"/>
                </w:tcPr>
                <w:p w14:paraId="6ACCB17D">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3032 </w:t>
                  </w:r>
                </w:p>
              </w:tc>
            </w:tr>
            <w:tr w14:paraId="5EC99862">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vMerge w:val="continue"/>
                  <w:tcBorders>
                    <w:right w:val="single" w:color="auto" w:sz="4" w:space="0"/>
                  </w:tcBorders>
                  <w:vAlign w:val="center"/>
                </w:tcPr>
                <w:p w14:paraId="7A79FFA2">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230" w:type="dxa"/>
                  <w:vMerge w:val="continue"/>
                  <w:tcBorders>
                    <w:left w:val="single" w:color="auto" w:sz="4" w:space="0"/>
                  </w:tcBorders>
                  <w:vAlign w:val="center"/>
                </w:tcPr>
                <w:p w14:paraId="2D5D5418">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350" w:type="dxa"/>
                  <w:vAlign w:val="center"/>
                </w:tcPr>
                <w:p w14:paraId="6B6B8544">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第二次</w:t>
                  </w:r>
                </w:p>
              </w:tc>
              <w:tc>
                <w:tcPr>
                  <w:tcW w:w="893" w:type="dxa"/>
                  <w:vAlign w:val="center"/>
                </w:tcPr>
                <w:p w14:paraId="465CCBF4">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8.48 </w:t>
                  </w:r>
                </w:p>
              </w:tc>
              <w:tc>
                <w:tcPr>
                  <w:tcW w:w="983" w:type="dxa"/>
                  <w:vAlign w:val="center"/>
                </w:tcPr>
                <w:p w14:paraId="165CFB15">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26 </w:t>
                  </w:r>
                </w:p>
              </w:tc>
              <w:tc>
                <w:tcPr>
                  <w:tcW w:w="1188" w:type="dxa"/>
                  <w:vAlign w:val="center"/>
                </w:tcPr>
                <w:p w14:paraId="6AEA4DA5">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3.6 </w:t>
                  </w:r>
                </w:p>
              </w:tc>
              <w:tc>
                <w:tcPr>
                  <w:tcW w:w="1725" w:type="dxa"/>
                  <w:vAlign w:val="center"/>
                </w:tcPr>
                <w:p w14:paraId="65F3CE8A">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3351 </w:t>
                  </w:r>
                </w:p>
              </w:tc>
            </w:tr>
            <w:tr w14:paraId="7D15F3B5">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vMerge w:val="continue"/>
                  <w:tcBorders>
                    <w:right w:val="single" w:color="auto" w:sz="4" w:space="0"/>
                  </w:tcBorders>
                  <w:vAlign w:val="center"/>
                </w:tcPr>
                <w:p w14:paraId="5D59BB91">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230" w:type="dxa"/>
                  <w:vMerge w:val="continue"/>
                  <w:tcBorders>
                    <w:left w:val="single" w:color="auto" w:sz="4" w:space="0"/>
                  </w:tcBorders>
                  <w:vAlign w:val="center"/>
                </w:tcPr>
                <w:p w14:paraId="1D5BA4B5">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350" w:type="dxa"/>
                  <w:vAlign w:val="center"/>
                </w:tcPr>
                <w:p w14:paraId="5FA9B9AD">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第三次</w:t>
                  </w:r>
                </w:p>
              </w:tc>
              <w:tc>
                <w:tcPr>
                  <w:tcW w:w="893" w:type="dxa"/>
                  <w:vAlign w:val="center"/>
                </w:tcPr>
                <w:p w14:paraId="08675994">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8.07 </w:t>
                  </w:r>
                </w:p>
              </w:tc>
              <w:tc>
                <w:tcPr>
                  <w:tcW w:w="983" w:type="dxa"/>
                  <w:vAlign w:val="center"/>
                </w:tcPr>
                <w:p w14:paraId="5A6E0D61">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26 </w:t>
                  </w:r>
                </w:p>
              </w:tc>
              <w:tc>
                <w:tcPr>
                  <w:tcW w:w="1188" w:type="dxa"/>
                  <w:vAlign w:val="center"/>
                </w:tcPr>
                <w:p w14:paraId="3BD11026">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3.6 </w:t>
                  </w:r>
                </w:p>
              </w:tc>
              <w:tc>
                <w:tcPr>
                  <w:tcW w:w="1725" w:type="dxa"/>
                  <w:vAlign w:val="center"/>
                </w:tcPr>
                <w:p w14:paraId="0FF35818">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3175 </w:t>
                  </w:r>
                </w:p>
              </w:tc>
            </w:tr>
            <w:tr w14:paraId="7E5B0076">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vMerge w:val="continue"/>
                  <w:tcBorders>
                    <w:right w:val="single" w:color="auto" w:sz="4" w:space="0"/>
                  </w:tcBorders>
                  <w:vAlign w:val="center"/>
                </w:tcPr>
                <w:p w14:paraId="018522CB">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230" w:type="dxa"/>
                  <w:vMerge w:val="restart"/>
                  <w:tcBorders>
                    <w:left w:val="single" w:color="auto" w:sz="4" w:space="0"/>
                  </w:tcBorders>
                  <w:vAlign w:val="center"/>
                </w:tcPr>
                <w:p w14:paraId="56341ABD">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lang w:val="en-US" w:eastAsia="zh-CN"/>
                    </w:rPr>
                    <w:t>2025.04.18</w:t>
                  </w:r>
                </w:p>
              </w:tc>
              <w:tc>
                <w:tcPr>
                  <w:tcW w:w="1350" w:type="dxa"/>
                  <w:vAlign w:val="center"/>
                </w:tcPr>
                <w:p w14:paraId="2FF1CDF2">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第一次</w:t>
                  </w:r>
                </w:p>
              </w:tc>
              <w:tc>
                <w:tcPr>
                  <w:tcW w:w="893" w:type="dxa"/>
                  <w:vAlign w:val="center"/>
                </w:tcPr>
                <w:p w14:paraId="7188D12B">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7.91 </w:t>
                  </w:r>
                </w:p>
              </w:tc>
              <w:tc>
                <w:tcPr>
                  <w:tcW w:w="983" w:type="dxa"/>
                  <w:vAlign w:val="center"/>
                </w:tcPr>
                <w:p w14:paraId="33E011D6">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27 </w:t>
                  </w:r>
                </w:p>
              </w:tc>
              <w:tc>
                <w:tcPr>
                  <w:tcW w:w="1188" w:type="dxa"/>
                  <w:vAlign w:val="center"/>
                </w:tcPr>
                <w:p w14:paraId="73435097">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3.6 </w:t>
                  </w:r>
                </w:p>
              </w:tc>
              <w:tc>
                <w:tcPr>
                  <w:tcW w:w="1725" w:type="dxa"/>
                  <w:vAlign w:val="center"/>
                </w:tcPr>
                <w:p w14:paraId="13D66F70">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3120 </w:t>
                  </w:r>
                </w:p>
              </w:tc>
            </w:tr>
            <w:tr w14:paraId="6BEB72EE">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vMerge w:val="continue"/>
                  <w:tcBorders>
                    <w:right w:val="single" w:color="auto" w:sz="4" w:space="0"/>
                  </w:tcBorders>
                  <w:vAlign w:val="center"/>
                </w:tcPr>
                <w:p w14:paraId="592EB661">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230" w:type="dxa"/>
                  <w:vMerge w:val="continue"/>
                  <w:tcBorders>
                    <w:left w:val="single" w:color="auto" w:sz="4" w:space="0"/>
                  </w:tcBorders>
                  <w:vAlign w:val="center"/>
                </w:tcPr>
                <w:p w14:paraId="7C35662D">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350" w:type="dxa"/>
                  <w:vAlign w:val="center"/>
                </w:tcPr>
                <w:p w14:paraId="485AD312">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第二次</w:t>
                  </w:r>
                </w:p>
              </w:tc>
              <w:tc>
                <w:tcPr>
                  <w:tcW w:w="893" w:type="dxa"/>
                  <w:vAlign w:val="center"/>
                </w:tcPr>
                <w:p w14:paraId="3CAE7D58">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8.13 </w:t>
                  </w:r>
                </w:p>
              </w:tc>
              <w:tc>
                <w:tcPr>
                  <w:tcW w:w="983" w:type="dxa"/>
                  <w:vAlign w:val="center"/>
                </w:tcPr>
                <w:p w14:paraId="7D5CB4CB">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27 </w:t>
                  </w:r>
                </w:p>
              </w:tc>
              <w:tc>
                <w:tcPr>
                  <w:tcW w:w="1188" w:type="dxa"/>
                  <w:vAlign w:val="center"/>
                </w:tcPr>
                <w:p w14:paraId="1692B04B">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3.6 </w:t>
                  </w:r>
                </w:p>
              </w:tc>
              <w:tc>
                <w:tcPr>
                  <w:tcW w:w="1725" w:type="dxa"/>
                  <w:vAlign w:val="center"/>
                </w:tcPr>
                <w:p w14:paraId="2401479A">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3206 </w:t>
                  </w:r>
                </w:p>
              </w:tc>
            </w:tr>
            <w:tr w14:paraId="5C0FF878">
              <w:tblPrEx>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135" w:type="dxa"/>
                  <w:vMerge w:val="continue"/>
                  <w:tcBorders>
                    <w:right w:val="single" w:color="auto" w:sz="4" w:space="0"/>
                  </w:tcBorders>
                  <w:vAlign w:val="center"/>
                </w:tcPr>
                <w:p w14:paraId="4D312110">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230" w:type="dxa"/>
                  <w:vMerge w:val="continue"/>
                  <w:tcBorders>
                    <w:left w:val="single" w:color="auto" w:sz="4" w:space="0"/>
                  </w:tcBorders>
                  <w:vAlign w:val="center"/>
                </w:tcPr>
                <w:p w14:paraId="563A8D6A">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p>
              </w:tc>
              <w:tc>
                <w:tcPr>
                  <w:tcW w:w="1350" w:type="dxa"/>
                  <w:vAlign w:val="center"/>
                </w:tcPr>
                <w:p w14:paraId="72BB9489">
                  <w:pPr>
                    <w:keepNext w:val="0"/>
                    <w:keepLines w:val="0"/>
                    <w:pageBreakBefore w:val="0"/>
                    <w:kinsoku/>
                    <w:wordWrap/>
                    <w:overflowPunct/>
                    <w:topLinePunct w:val="0"/>
                    <w:autoSpaceDE/>
                    <w:autoSpaceDN/>
                    <w:bidi w:val="0"/>
                    <w:adjustRightInd/>
                    <w:snapToGrid/>
                    <w:spacing w:line="28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第三次</w:t>
                  </w:r>
                </w:p>
              </w:tc>
              <w:tc>
                <w:tcPr>
                  <w:tcW w:w="893" w:type="dxa"/>
                  <w:vAlign w:val="center"/>
                </w:tcPr>
                <w:p w14:paraId="2AAAD02D">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8.06 </w:t>
                  </w:r>
                </w:p>
              </w:tc>
              <w:tc>
                <w:tcPr>
                  <w:tcW w:w="983" w:type="dxa"/>
                  <w:vAlign w:val="center"/>
                </w:tcPr>
                <w:p w14:paraId="4097942D">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27 </w:t>
                  </w:r>
                </w:p>
              </w:tc>
              <w:tc>
                <w:tcPr>
                  <w:tcW w:w="1188" w:type="dxa"/>
                  <w:vAlign w:val="center"/>
                </w:tcPr>
                <w:p w14:paraId="5211CF17">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3.6 </w:t>
                  </w:r>
                </w:p>
              </w:tc>
              <w:tc>
                <w:tcPr>
                  <w:tcW w:w="1725" w:type="dxa"/>
                  <w:vAlign w:val="center"/>
                </w:tcPr>
                <w:p w14:paraId="7B7B291C">
                  <w:pPr>
                    <w:keepNext w:val="0"/>
                    <w:keepLines w:val="0"/>
                    <w:widowControl/>
                    <w:suppressLineNumbers w:val="0"/>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3176 </w:t>
                  </w:r>
                </w:p>
              </w:tc>
            </w:tr>
          </w:tbl>
          <w:p w14:paraId="66CACFA6">
            <w:pPr>
              <w:pStyle w:val="36"/>
              <w:snapToGrid w:val="0"/>
              <w:spacing w:line="500" w:lineRule="exact"/>
              <w:jc w:val="center"/>
              <w:rPr>
                <w:rFonts w:ascii="Times New Roman"/>
                <w:b/>
                <w:bCs/>
                <w:color w:val="auto"/>
                <w:szCs w:val="24"/>
              </w:rPr>
            </w:pPr>
          </w:p>
          <w:p w14:paraId="6B22C38C">
            <w:pPr>
              <w:pStyle w:val="36"/>
              <w:keepNext w:val="0"/>
              <w:keepLines w:val="0"/>
              <w:pageBreakBefore w:val="0"/>
              <w:widowControl w:val="0"/>
              <w:kinsoku/>
              <w:wordWrap/>
              <w:overflowPunct/>
              <w:topLinePunct w:val="0"/>
              <w:autoSpaceDE w:val="0"/>
              <w:autoSpaceDN w:val="0"/>
              <w:bidi w:val="0"/>
              <w:adjustRightInd w:val="0"/>
              <w:snapToGrid w:val="0"/>
              <w:spacing w:line="500" w:lineRule="exact"/>
              <w:jc w:val="center"/>
              <w:textAlignment w:val="auto"/>
              <w:rPr>
                <w:rFonts w:ascii="Times New Roman"/>
                <w:b/>
                <w:bCs/>
                <w:szCs w:val="24"/>
              </w:rPr>
            </w:pPr>
            <w:r>
              <w:rPr>
                <w:rFonts w:ascii="Times New Roman"/>
                <w:b/>
                <w:bCs/>
                <w:color w:val="auto"/>
                <w:szCs w:val="24"/>
              </w:rPr>
              <w:t>表7</w:t>
            </w:r>
            <w:r>
              <w:rPr>
                <w:rFonts w:hint="eastAsia" w:ascii="Times New Roman"/>
                <w:b/>
                <w:bCs/>
                <w:color w:val="auto"/>
                <w:szCs w:val="24"/>
              </w:rPr>
              <w:t>-4有组织废气</w:t>
            </w:r>
            <w:r>
              <w:rPr>
                <w:rFonts w:ascii="Times New Roman"/>
                <w:b/>
                <w:bCs/>
                <w:color w:val="auto"/>
                <w:szCs w:val="24"/>
              </w:rPr>
              <w:t>监测结果</w:t>
            </w:r>
          </w:p>
          <w:tbl>
            <w:tblPr>
              <w:tblStyle w:val="29"/>
              <w:tblW w:w="9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8"/>
              <w:gridCol w:w="1327"/>
              <w:gridCol w:w="1212"/>
              <w:gridCol w:w="1913"/>
              <w:gridCol w:w="1768"/>
              <w:gridCol w:w="1607"/>
            </w:tblGrid>
            <w:tr w14:paraId="6275D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88" w:type="dxa"/>
                  <w:vMerge w:val="restart"/>
                  <w:shd w:val="clear" w:color="auto" w:fill="auto"/>
                  <w:vAlign w:val="center"/>
                </w:tcPr>
                <w:p w14:paraId="4CD8E5A2">
                  <w:pPr>
                    <w:keepNext w:val="0"/>
                    <w:keepLines w:val="0"/>
                    <w:pageBreakBefore w:val="0"/>
                    <w:widowControl/>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lang w:val="en-US" w:eastAsia="zh-CN"/>
                    </w:rPr>
                    <w:t>监测</w:t>
                  </w:r>
                  <w:r>
                    <w:rPr>
                      <w:rFonts w:hint="default" w:ascii="Times New Roman" w:hAnsi="Times New Roman" w:cs="Times New Roman"/>
                      <w:color w:val="auto"/>
                      <w:kern w:val="0"/>
                      <w:sz w:val="21"/>
                      <w:szCs w:val="21"/>
                    </w:rPr>
                    <w:t>点位</w:t>
                  </w:r>
                </w:p>
              </w:tc>
              <w:tc>
                <w:tcPr>
                  <w:tcW w:w="1327" w:type="dxa"/>
                  <w:vMerge w:val="restart"/>
                  <w:shd w:val="clear" w:color="auto" w:fill="auto"/>
                  <w:vAlign w:val="center"/>
                </w:tcPr>
                <w:p w14:paraId="04177D7E">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监测时间</w:t>
                  </w:r>
                </w:p>
              </w:tc>
              <w:tc>
                <w:tcPr>
                  <w:tcW w:w="1212" w:type="dxa"/>
                  <w:vMerge w:val="restart"/>
                  <w:shd w:val="clear" w:color="auto" w:fill="auto"/>
                  <w:vAlign w:val="center"/>
                </w:tcPr>
                <w:p w14:paraId="3BA6D572">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lang w:val="en-US" w:eastAsia="zh-CN"/>
                    </w:rPr>
                    <w:t>监测</w:t>
                  </w:r>
                  <w:r>
                    <w:rPr>
                      <w:rFonts w:hint="default" w:ascii="Times New Roman" w:hAnsi="Times New Roman" w:cs="Times New Roman"/>
                      <w:color w:val="auto"/>
                      <w:kern w:val="0"/>
                      <w:sz w:val="21"/>
                      <w:szCs w:val="21"/>
                    </w:rPr>
                    <w:t>频次</w:t>
                  </w:r>
                </w:p>
              </w:tc>
              <w:tc>
                <w:tcPr>
                  <w:tcW w:w="5288" w:type="dxa"/>
                  <w:gridSpan w:val="3"/>
                  <w:shd w:val="clear" w:color="auto" w:fill="auto"/>
                  <w:vAlign w:val="center"/>
                </w:tcPr>
                <w:p w14:paraId="3E390FC9">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lang w:val="en-US" w:eastAsia="zh-CN"/>
                    </w:rPr>
                    <w:t>监测</w:t>
                  </w:r>
                  <w:r>
                    <w:rPr>
                      <w:rFonts w:hint="default" w:ascii="Times New Roman" w:hAnsi="Times New Roman" w:cs="Times New Roman"/>
                      <w:color w:val="auto"/>
                      <w:kern w:val="0"/>
                      <w:sz w:val="21"/>
                      <w:szCs w:val="21"/>
                    </w:rPr>
                    <w:t xml:space="preserve">项目及结果     </w:t>
                  </w:r>
                </w:p>
              </w:tc>
            </w:tr>
            <w:tr w14:paraId="30937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88" w:type="dxa"/>
                  <w:vMerge w:val="continue"/>
                  <w:shd w:val="clear" w:color="auto" w:fill="auto"/>
                  <w:vAlign w:val="center"/>
                </w:tcPr>
                <w:p w14:paraId="19726AA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24CED5C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color w:val="auto"/>
                      <w:kern w:val="0"/>
                      <w:sz w:val="21"/>
                      <w:szCs w:val="21"/>
                    </w:rPr>
                  </w:pPr>
                </w:p>
              </w:tc>
              <w:tc>
                <w:tcPr>
                  <w:tcW w:w="1212" w:type="dxa"/>
                  <w:vMerge w:val="continue"/>
                  <w:shd w:val="clear" w:color="auto" w:fill="auto"/>
                  <w:vAlign w:val="center"/>
                </w:tcPr>
                <w:p w14:paraId="5DB1D24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color w:val="auto"/>
                      <w:kern w:val="0"/>
                      <w:sz w:val="21"/>
                      <w:szCs w:val="21"/>
                    </w:rPr>
                  </w:pPr>
                </w:p>
              </w:tc>
              <w:tc>
                <w:tcPr>
                  <w:tcW w:w="3681" w:type="dxa"/>
                  <w:gridSpan w:val="2"/>
                  <w:shd w:val="clear" w:color="auto" w:fill="auto"/>
                  <w:vAlign w:val="center"/>
                </w:tcPr>
                <w:p w14:paraId="7106536C">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sz w:val="21"/>
                      <w:szCs w:val="21"/>
                      <w:lang w:val="en-US" w:eastAsia="zh-CN"/>
                    </w:rPr>
                    <w:t>非甲烷总烃</w:t>
                  </w:r>
                </w:p>
              </w:tc>
              <w:tc>
                <w:tcPr>
                  <w:tcW w:w="1607" w:type="dxa"/>
                  <w:shd w:val="clear" w:color="auto" w:fill="auto"/>
                  <w:vAlign w:val="center"/>
                </w:tcPr>
                <w:p w14:paraId="0E566D13">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臭气浓度</w:t>
                  </w:r>
                </w:p>
              </w:tc>
            </w:tr>
            <w:tr w14:paraId="4BBE8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88" w:type="dxa"/>
                  <w:vMerge w:val="continue"/>
                  <w:shd w:val="clear" w:color="auto" w:fill="auto"/>
                  <w:vAlign w:val="center"/>
                </w:tcPr>
                <w:p w14:paraId="4F51C7E8">
                  <w:pPr>
                    <w:keepNext w:val="0"/>
                    <w:keepLines w:val="0"/>
                    <w:pageBreakBefore w:val="0"/>
                    <w:widowControl/>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6C27B568">
                  <w:pPr>
                    <w:keepNext w:val="0"/>
                    <w:keepLines w:val="0"/>
                    <w:pageBreakBefore w:val="0"/>
                    <w:widowControl/>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vMerge w:val="continue"/>
                  <w:shd w:val="clear" w:color="auto" w:fill="auto"/>
                  <w:vAlign w:val="center"/>
                </w:tcPr>
                <w:p w14:paraId="7C5A89B2">
                  <w:pPr>
                    <w:keepNext w:val="0"/>
                    <w:keepLines w:val="0"/>
                    <w:pageBreakBefore w:val="0"/>
                    <w:widowControl/>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913" w:type="dxa"/>
                  <w:shd w:val="clear" w:color="auto" w:fill="auto"/>
                  <w:vAlign w:val="center"/>
                </w:tcPr>
                <w:p w14:paraId="6636401D">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实测浓度（mg/m</w:t>
                  </w:r>
                  <w:r>
                    <w:rPr>
                      <w:rFonts w:hint="default" w:ascii="Times New Roman" w:hAnsi="Times New Roman" w:cs="Times New Roman"/>
                      <w:color w:val="auto"/>
                      <w:kern w:val="0"/>
                      <w:sz w:val="21"/>
                      <w:szCs w:val="21"/>
                      <w:vertAlign w:val="superscript"/>
                    </w:rPr>
                    <w:t>3</w:t>
                  </w:r>
                  <w:r>
                    <w:rPr>
                      <w:rFonts w:hint="default" w:ascii="Times New Roman" w:hAnsi="Times New Roman" w:cs="Times New Roman"/>
                      <w:color w:val="auto"/>
                      <w:kern w:val="0"/>
                      <w:sz w:val="21"/>
                      <w:szCs w:val="21"/>
                    </w:rPr>
                    <w:t>）</w:t>
                  </w:r>
                </w:p>
              </w:tc>
              <w:tc>
                <w:tcPr>
                  <w:tcW w:w="1768" w:type="dxa"/>
                  <w:shd w:val="clear" w:color="auto" w:fill="auto"/>
                  <w:vAlign w:val="center"/>
                </w:tcPr>
                <w:p w14:paraId="4CEEFA89">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排放速率（kg/h）</w:t>
                  </w:r>
                </w:p>
              </w:tc>
              <w:tc>
                <w:tcPr>
                  <w:tcW w:w="1607" w:type="dxa"/>
                  <w:shd w:val="clear" w:color="auto" w:fill="auto"/>
                  <w:vAlign w:val="center"/>
                </w:tcPr>
                <w:p w14:paraId="606DC4F4">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无量纲</w:t>
                  </w:r>
                </w:p>
              </w:tc>
            </w:tr>
            <w:tr w14:paraId="42340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88" w:type="dxa"/>
                  <w:vMerge w:val="restart"/>
                  <w:shd w:val="clear" w:color="auto" w:fill="auto"/>
                  <w:vAlign w:val="center"/>
                </w:tcPr>
                <w:p w14:paraId="4AC2BAB4">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G1车间有组织废气排放口进口</w:t>
                  </w:r>
                </w:p>
              </w:tc>
              <w:tc>
                <w:tcPr>
                  <w:tcW w:w="1327" w:type="dxa"/>
                  <w:vMerge w:val="restart"/>
                  <w:shd w:val="clear" w:color="auto" w:fill="auto"/>
                  <w:vAlign w:val="center"/>
                </w:tcPr>
                <w:p w14:paraId="113BCD96">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2025.04.17</w:t>
                  </w:r>
                </w:p>
              </w:tc>
              <w:tc>
                <w:tcPr>
                  <w:tcW w:w="1212" w:type="dxa"/>
                  <w:shd w:val="clear" w:color="auto" w:fill="auto"/>
                  <w:vAlign w:val="center"/>
                </w:tcPr>
                <w:p w14:paraId="0ECD546E">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第一次</w:t>
                  </w:r>
                </w:p>
              </w:tc>
              <w:tc>
                <w:tcPr>
                  <w:tcW w:w="1913" w:type="dxa"/>
                  <w:shd w:val="clear" w:color="auto" w:fill="auto"/>
                  <w:vAlign w:val="center"/>
                </w:tcPr>
                <w:p w14:paraId="6A7C53FF">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sz w:val="21"/>
                      <w:szCs w:val="21"/>
                      <w:lang w:val="en-US" w:eastAsia="zh-CN"/>
                    </w:rPr>
                  </w:pPr>
                  <w:r>
                    <w:rPr>
                      <w:rFonts w:hint="default" w:ascii="Times New Roman" w:hAnsi="Times New Roman" w:eastAsia="等线" w:cs="Times New Roman"/>
                      <w:color w:val="auto"/>
                      <w:sz w:val="21"/>
                      <w:szCs w:val="21"/>
                      <w:lang w:val="en-US" w:eastAsia="zh-CN"/>
                    </w:rPr>
                    <w:t>26.4</w:t>
                  </w:r>
                </w:p>
              </w:tc>
              <w:tc>
                <w:tcPr>
                  <w:tcW w:w="1768" w:type="dxa"/>
                  <w:shd w:val="clear" w:color="auto" w:fill="auto"/>
                  <w:vAlign w:val="center"/>
                </w:tcPr>
                <w:p w14:paraId="70CD5C7E">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1.04</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1</w:t>
                  </w:r>
                </w:p>
              </w:tc>
              <w:tc>
                <w:tcPr>
                  <w:tcW w:w="1607" w:type="dxa"/>
                  <w:shd w:val="clear" w:color="auto" w:fill="auto"/>
                  <w:vAlign w:val="center"/>
                </w:tcPr>
                <w:p w14:paraId="5A7874FC">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2290</w:t>
                  </w:r>
                </w:p>
              </w:tc>
            </w:tr>
            <w:tr w14:paraId="2F286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88" w:type="dxa"/>
                  <w:vMerge w:val="continue"/>
                  <w:shd w:val="clear" w:color="auto" w:fill="auto"/>
                  <w:vAlign w:val="center"/>
                </w:tcPr>
                <w:p w14:paraId="5D8E39D0">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656F1CE2">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shd w:val="clear" w:color="auto" w:fill="auto"/>
                  <w:vAlign w:val="center"/>
                </w:tcPr>
                <w:p w14:paraId="0477654C">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第二次</w:t>
                  </w:r>
                </w:p>
              </w:tc>
              <w:tc>
                <w:tcPr>
                  <w:tcW w:w="1913" w:type="dxa"/>
                  <w:shd w:val="clear" w:color="auto" w:fill="auto"/>
                  <w:vAlign w:val="center"/>
                </w:tcPr>
                <w:p w14:paraId="43176F37">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sz w:val="21"/>
                      <w:szCs w:val="21"/>
                      <w:lang w:val="en-US" w:eastAsia="zh-CN"/>
                    </w:rPr>
                  </w:pPr>
                  <w:r>
                    <w:rPr>
                      <w:rFonts w:hint="default" w:ascii="Times New Roman" w:hAnsi="Times New Roman" w:eastAsia="等线" w:cs="Times New Roman"/>
                      <w:color w:val="auto"/>
                      <w:sz w:val="21"/>
                      <w:szCs w:val="21"/>
                      <w:lang w:val="en-US" w:eastAsia="zh-CN"/>
                    </w:rPr>
                    <w:t>27.6</w:t>
                  </w:r>
                </w:p>
              </w:tc>
              <w:tc>
                <w:tcPr>
                  <w:tcW w:w="1768" w:type="dxa"/>
                  <w:shd w:val="clear" w:color="auto" w:fill="auto"/>
                  <w:vAlign w:val="center"/>
                </w:tcPr>
                <w:p w14:paraId="6C43ED75">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sz w:val="21"/>
                      <w:szCs w:val="21"/>
                      <w:lang w:val="en-US" w:eastAsia="zh-CN"/>
                    </w:rPr>
                  </w:pPr>
                  <w:r>
                    <w:rPr>
                      <w:rFonts w:hint="default" w:ascii="Times New Roman" w:hAnsi="Times New Roman" w:cs="Times New Roman"/>
                      <w:color w:val="auto"/>
                      <w:sz w:val="21"/>
                      <w:szCs w:val="21"/>
                      <w:lang w:val="en-US" w:eastAsia="zh-CN"/>
                    </w:rPr>
                    <w:t>1.03</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1</w:t>
                  </w:r>
                </w:p>
              </w:tc>
              <w:tc>
                <w:tcPr>
                  <w:tcW w:w="1607" w:type="dxa"/>
                  <w:shd w:val="clear" w:color="auto" w:fill="auto"/>
                  <w:vAlign w:val="center"/>
                </w:tcPr>
                <w:p w14:paraId="5B2B1790">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sz w:val="21"/>
                      <w:szCs w:val="21"/>
                      <w:lang w:val="en-US" w:eastAsia="zh-CN"/>
                    </w:rPr>
                  </w:pPr>
                  <w:r>
                    <w:rPr>
                      <w:rFonts w:hint="default" w:ascii="Times New Roman" w:hAnsi="Times New Roman" w:eastAsia="等线" w:cs="Times New Roman"/>
                      <w:color w:val="auto"/>
                      <w:sz w:val="21"/>
                      <w:szCs w:val="21"/>
                      <w:lang w:val="en-US" w:eastAsia="zh-CN"/>
                    </w:rPr>
                    <w:t>1995</w:t>
                  </w:r>
                </w:p>
              </w:tc>
            </w:tr>
            <w:tr w14:paraId="50B84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88" w:type="dxa"/>
                  <w:vMerge w:val="continue"/>
                  <w:shd w:val="clear" w:color="auto" w:fill="auto"/>
                  <w:vAlign w:val="center"/>
                </w:tcPr>
                <w:p w14:paraId="34AA7284">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52E5C017">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shd w:val="clear" w:color="auto" w:fill="auto"/>
                  <w:vAlign w:val="center"/>
                </w:tcPr>
                <w:p w14:paraId="5E2FDEBE">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第三次</w:t>
                  </w:r>
                </w:p>
              </w:tc>
              <w:tc>
                <w:tcPr>
                  <w:tcW w:w="1913" w:type="dxa"/>
                  <w:shd w:val="clear" w:color="auto" w:fill="auto"/>
                  <w:vAlign w:val="center"/>
                </w:tcPr>
                <w:p w14:paraId="785851E0">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sz w:val="21"/>
                      <w:szCs w:val="21"/>
                      <w:lang w:val="en-US" w:eastAsia="zh-CN"/>
                    </w:rPr>
                  </w:pPr>
                  <w:r>
                    <w:rPr>
                      <w:rFonts w:hint="default" w:ascii="Times New Roman" w:hAnsi="Times New Roman" w:eastAsia="等线" w:cs="Times New Roman"/>
                      <w:color w:val="auto"/>
                      <w:sz w:val="21"/>
                      <w:szCs w:val="21"/>
                      <w:lang w:val="en-US" w:eastAsia="zh-CN"/>
                    </w:rPr>
                    <w:t>28.7</w:t>
                  </w:r>
                </w:p>
              </w:tc>
              <w:tc>
                <w:tcPr>
                  <w:tcW w:w="1768" w:type="dxa"/>
                  <w:shd w:val="clear" w:color="auto" w:fill="auto"/>
                  <w:vAlign w:val="center"/>
                </w:tcPr>
                <w:p w14:paraId="503C0772">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sz w:val="21"/>
                      <w:szCs w:val="21"/>
                      <w:lang w:val="en-US" w:eastAsia="zh-CN"/>
                    </w:rPr>
                  </w:pPr>
                  <w:r>
                    <w:rPr>
                      <w:rFonts w:hint="default" w:ascii="Times New Roman" w:hAnsi="Times New Roman" w:cs="Times New Roman"/>
                      <w:color w:val="auto"/>
                      <w:sz w:val="21"/>
                      <w:szCs w:val="21"/>
                      <w:lang w:val="en-US" w:eastAsia="zh-CN"/>
                    </w:rPr>
                    <w:t>9.85</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0F5EC8DB">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sz w:val="21"/>
                      <w:szCs w:val="21"/>
                      <w:lang w:val="en-US" w:eastAsia="zh-CN"/>
                    </w:rPr>
                  </w:pPr>
                  <w:r>
                    <w:rPr>
                      <w:rFonts w:hint="default" w:ascii="Times New Roman" w:hAnsi="Times New Roman" w:eastAsia="等线" w:cs="Times New Roman"/>
                      <w:color w:val="auto"/>
                      <w:sz w:val="21"/>
                      <w:szCs w:val="21"/>
                      <w:lang w:val="en-US" w:eastAsia="zh-CN"/>
                    </w:rPr>
                    <w:t>2290</w:t>
                  </w:r>
                </w:p>
              </w:tc>
            </w:tr>
            <w:tr w14:paraId="5DB1F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88" w:type="dxa"/>
                  <w:vMerge w:val="continue"/>
                  <w:shd w:val="clear" w:color="auto" w:fill="auto"/>
                  <w:vAlign w:val="center"/>
                </w:tcPr>
                <w:p w14:paraId="23E98A41">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10C64155">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shd w:val="clear" w:color="auto" w:fill="auto"/>
                  <w:vAlign w:val="center"/>
                </w:tcPr>
                <w:p w14:paraId="72700A1D">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最大值</w:t>
                  </w:r>
                </w:p>
              </w:tc>
              <w:tc>
                <w:tcPr>
                  <w:tcW w:w="1913" w:type="dxa"/>
                  <w:shd w:val="clear" w:color="auto" w:fill="auto"/>
                  <w:vAlign w:val="center"/>
                </w:tcPr>
                <w:p w14:paraId="22DCDD57">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kern w:val="2"/>
                      <w:sz w:val="21"/>
                      <w:szCs w:val="21"/>
                      <w:lang w:val="en-US" w:eastAsia="zh-CN" w:bidi="ar-SA"/>
                    </w:rPr>
                  </w:pPr>
                  <w:r>
                    <w:rPr>
                      <w:rFonts w:hint="default" w:ascii="Times New Roman" w:hAnsi="Times New Roman" w:eastAsia="等线" w:cs="Times New Roman"/>
                      <w:color w:val="auto"/>
                      <w:sz w:val="21"/>
                      <w:szCs w:val="21"/>
                      <w:lang w:val="en-US" w:eastAsia="zh-CN"/>
                    </w:rPr>
                    <w:t>28.7</w:t>
                  </w:r>
                </w:p>
              </w:tc>
              <w:tc>
                <w:tcPr>
                  <w:tcW w:w="1768" w:type="dxa"/>
                  <w:shd w:val="clear" w:color="auto" w:fill="auto"/>
                  <w:vAlign w:val="center"/>
                </w:tcPr>
                <w:p w14:paraId="5911AF04">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1.04</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1</w:t>
                  </w:r>
                </w:p>
              </w:tc>
              <w:tc>
                <w:tcPr>
                  <w:tcW w:w="1607" w:type="dxa"/>
                  <w:shd w:val="clear" w:color="auto" w:fill="auto"/>
                  <w:vAlign w:val="center"/>
                </w:tcPr>
                <w:p w14:paraId="36C2333C">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kern w:val="2"/>
                      <w:sz w:val="21"/>
                      <w:szCs w:val="21"/>
                      <w:lang w:val="en-US" w:eastAsia="zh-CN" w:bidi="ar-SA"/>
                    </w:rPr>
                  </w:pPr>
                  <w:r>
                    <w:rPr>
                      <w:rFonts w:hint="default" w:ascii="Times New Roman" w:hAnsi="Times New Roman" w:eastAsia="等线" w:cs="Times New Roman"/>
                      <w:color w:val="auto"/>
                      <w:kern w:val="2"/>
                      <w:sz w:val="21"/>
                      <w:szCs w:val="21"/>
                      <w:lang w:val="en-US" w:eastAsia="zh-CN" w:bidi="ar-SA"/>
                    </w:rPr>
                    <w:t>2290</w:t>
                  </w:r>
                </w:p>
              </w:tc>
            </w:tr>
            <w:tr w14:paraId="0D3B7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88" w:type="dxa"/>
                  <w:vMerge w:val="continue"/>
                  <w:shd w:val="clear" w:color="auto" w:fill="auto"/>
                  <w:vAlign w:val="center"/>
                </w:tcPr>
                <w:p w14:paraId="2E940A11">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restart"/>
                  <w:shd w:val="clear" w:color="auto" w:fill="auto"/>
                  <w:vAlign w:val="center"/>
                </w:tcPr>
                <w:p w14:paraId="5C68E31E">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2025.04.18</w:t>
                  </w:r>
                </w:p>
              </w:tc>
              <w:tc>
                <w:tcPr>
                  <w:tcW w:w="1212" w:type="dxa"/>
                  <w:shd w:val="clear" w:color="auto" w:fill="auto"/>
                  <w:vAlign w:val="center"/>
                </w:tcPr>
                <w:p w14:paraId="0E42A3B2">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第一次</w:t>
                  </w:r>
                </w:p>
              </w:tc>
              <w:tc>
                <w:tcPr>
                  <w:tcW w:w="1913" w:type="dxa"/>
                  <w:shd w:val="clear" w:color="auto" w:fill="auto"/>
                  <w:vAlign w:val="center"/>
                </w:tcPr>
                <w:p w14:paraId="46400843">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18.9</w:t>
                  </w:r>
                </w:p>
              </w:tc>
              <w:tc>
                <w:tcPr>
                  <w:tcW w:w="1768" w:type="dxa"/>
                  <w:shd w:val="clear" w:color="auto" w:fill="auto"/>
                  <w:vAlign w:val="center"/>
                </w:tcPr>
                <w:p w14:paraId="054471BB">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8.10</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2CEC9804">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1995</w:t>
                  </w:r>
                </w:p>
              </w:tc>
            </w:tr>
            <w:tr w14:paraId="7C2D8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88" w:type="dxa"/>
                  <w:vMerge w:val="continue"/>
                  <w:shd w:val="clear" w:color="auto" w:fill="auto"/>
                  <w:vAlign w:val="center"/>
                </w:tcPr>
                <w:p w14:paraId="4C0211F1">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36A2F33C">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shd w:val="clear" w:color="auto" w:fill="auto"/>
                  <w:vAlign w:val="center"/>
                </w:tcPr>
                <w:p w14:paraId="1958C49B">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第二次</w:t>
                  </w:r>
                </w:p>
              </w:tc>
              <w:tc>
                <w:tcPr>
                  <w:tcW w:w="1913" w:type="dxa"/>
                  <w:shd w:val="clear" w:color="auto" w:fill="auto"/>
                  <w:vAlign w:val="center"/>
                </w:tcPr>
                <w:p w14:paraId="7EF629F7">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20.6</w:t>
                  </w:r>
                </w:p>
              </w:tc>
              <w:tc>
                <w:tcPr>
                  <w:tcW w:w="1768" w:type="dxa"/>
                  <w:shd w:val="clear" w:color="auto" w:fill="auto"/>
                  <w:vAlign w:val="center"/>
                </w:tcPr>
                <w:p w14:paraId="038250F9">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7.35</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14955813">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1995</w:t>
                  </w:r>
                </w:p>
              </w:tc>
            </w:tr>
            <w:tr w14:paraId="4FEFD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88" w:type="dxa"/>
                  <w:vMerge w:val="continue"/>
                  <w:shd w:val="clear" w:color="auto" w:fill="auto"/>
                  <w:vAlign w:val="center"/>
                </w:tcPr>
                <w:p w14:paraId="67CC1B1D">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07E040EA">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shd w:val="clear" w:color="auto" w:fill="auto"/>
                  <w:vAlign w:val="center"/>
                </w:tcPr>
                <w:p w14:paraId="6FF17130">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rPr>
                    <w:t>第三次</w:t>
                  </w:r>
                </w:p>
              </w:tc>
              <w:tc>
                <w:tcPr>
                  <w:tcW w:w="1913" w:type="dxa"/>
                  <w:shd w:val="clear" w:color="auto" w:fill="auto"/>
                  <w:vAlign w:val="center"/>
                </w:tcPr>
                <w:p w14:paraId="01BFCF0E">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18.5</w:t>
                  </w:r>
                </w:p>
              </w:tc>
              <w:tc>
                <w:tcPr>
                  <w:tcW w:w="1768" w:type="dxa"/>
                  <w:shd w:val="clear" w:color="auto" w:fill="auto"/>
                  <w:vAlign w:val="center"/>
                </w:tcPr>
                <w:p w14:paraId="367887F2">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8.63</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224B8767">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2290</w:t>
                  </w:r>
                </w:p>
              </w:tc>
            </w:tr>
            <w:tr w14:paraId="14E1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88" w:type="dxa"/>
                  <w:vMerge w:val="continue"/>
                  <w:shd w:val="clear" w:color="auto" w:fill="auto"/>
                  <w:vAlign w:val="center"/>
                </w:tcPr>
                <w:p w14:paraId="12041B8A">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2CCF6011">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shd w:val="clear" w:color="auto" w:fill="auto"/>
                  <w:vAlign w:val="center"/>
                </w:tcPr>
                <w:p w14:paraId="29D4C862">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最大值</w:t>
                  </w:r>
                </w:p>
              </w:tc>
              <w:tc>
                <w:tcPr>
                  <w:tcW w:w="1913" w:type="dxa"/>
                  <w:shd w:val="clear" w:color="auto" w:fill="auto"/>
                  <w:vAlign w:val="center"/>
                </w:tcPr>
                <w:p w14:paraId="411819A0">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20.6</w:t>
                  </w:r>
                </w:p>
              </w:tc>
              <w:tc>
                <w:tcPr>
                  <w:tcW w:w="1768" w:type="dxa"/>
                  <w:shd w:val="clear" w:color="auto" w:fill="auto"/>
                  <w:vAlign w:val="center"/>
                </w:tcPr>
                <w:p w14:paraId="2DB23F7F">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8.63</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75B578F6">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2290</w:t>
                  </w:r>
                </w:p>
              </w:tc>
            </w:tr>
            <w:tr w14:paraId="1BACF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vMerge w:val="restart"/>
                  <w:shd w:val="clear" w:color="auto" w:fill="auto"/>
                  <w:vAlign w:val="center"/>
                </w:tcPr>
                <w:p w14:paraId="1D48032A">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G2车间有组织废气排放口出口</w:t>
                  </w:r>
                </w:p>
              </w:tc>
              <w:tc>
                <w:tcPr>
                  <w:tcW w:w="1327" w:type="dxa"/>
                  <w:vMerge w:val="restart"/>
                  <w:shd w:val="clear" w:color="auto" w:fill="auto"/>
                  <w:vAlign w:val="center"/>
                </w:tcPr>
                <w:p w14:paraId="49274254">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2025.04.17</w:t>
                  </w:r>
                </w:p>
              </w:tc>
              <w:tc>
                <w:tcPr>
                  <w:tcW w:w="1212" w:type="dxa"/>
                  <w:shd w:val="clear" w:color="auto" w:fill="auto"/>
                  <w:vAlign w:val="center"/>
                </w:tcPr>
                <w:p w14:paraId="2331030A">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第一次</w:t>
                  </w:r>
                </w:p>
              </w:tc>
              <w:tc>
                <w:tcPr>
                  <w:tcW w:w="1913" w:type="dxa"/>
                  <w:shd w:val="clear" w:color="auto" w:fill="auto"/>
                  <w:vAlign w:val="center"/>
                </w:tcPr>
                <w:p w14:paraId="7E32F160">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kern w:val="2"/>
                      <w:sz w:val="21"/>
                      <w:szCs w:val="21"/>
                      <w:lang w:val="en-US" w:eastAsia="zh-CN" w:bidi="ar-SA"/>
                    </w:rPr>
                  </w:pPr>
                  <w:r>
                    <w:rPr>
                      <w:rFonts w:hint="default" w:ascii="Times New Roman" w:hAnsi="Times New Roman" w:eastAsia="等线" w:cs="Times New Roman"/>
                      <w:color w:val="auto"/>
                      <w:kern w:val="2"/>
                      <w:sz w:val="21"/>
                      <w:szCs w:val="21"/>
                      <w:lang w:val="en-US" w:eastAsia="zh-CN" w:bidi="ar-SA"/>
                    </w:rPr>
                    <w:t>18.9</w:t>
                  </w:r>
                </w:p>
              </w:tc>
              <w:tc>
                <w:tcPr>
                  <w:tcW w:w="1768" w:type="dxa"/>
                  <w:shd w:val="clear" w:color="auto" w:fill="auto"/>
                  <w:vAlign w:val="center"/>
                </w:tcPr>
                <w:p w14:paraId="20B44F2F">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5.73</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6F2ED72C">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851</w:t>
                  </w:r>
                </w:p>
              </w:tc>
            </w:tr>
            <w:tr w14:paraId="42026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vMerge w:val="continue"/>
                  <w:shd w:val="clear" w:color="auto" w:fill="auto"/>
                  <w:vAlign w:val="center"/>
                </w:tcPr>
                <w:p w14:paraId="49A25105">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227CAE72">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shd w:val="clear" w:color="auto" w:fill="auto"/>
                  <w:vAlign w:val="center"/>
                </w:tcPr>
                <w:p w14:paraId="4926BA4E">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第二次</w:t>
                  </w:r>
                </w:p>
              </w:tc>
              <w:tc>
                <w:tcPr>
                  <w:tcW w:w="1913" w:type="dxa"/>
                  <w:shd w:val="clear" w:color="auto" w:fill="auto"/>
                  <w:vAlign w:val="center"/>
                </w:tcPr>
                <w:p w14:paraId="029F4E4A">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kern w:val="2"/>
                      <w:sz w:val="21"/>
                      <w:szCs w:val="21"/>
                      <w:lang w:val="en-US" w:eastAsia="zh-CN" w:bidi="ar-SA"/>
                    </w:rPr>
                  </w:pPr>
                  <w:r>
                    <w:rPr>
                      <w:rFonts w:hint="default" w:ascii="Times New Roman" w:hAnsi="Times New Roman" w:eastAsia="等线" w:cs="Times New Roman"/>
                      <w:color w:val="auto"/>
                      <w:kern w:val="2"/>
                      <w:sz w:val="21"/>
                      <w:szCs w:val="21"/>
                      <w:lang w:val="en-US" w:eastAsia="zh-CN" w:bidi="ar-SA"/>
                    </w:rPr>
                    <w:t>20.6</w:t>
                  </w:r>
                </w:p>
              </w:tc>
              <w:tc>
                <w:tcPr>
                  <w:tcW w:w="1768" w:type="dxa"/>
                  <w:shd w:val="clear" w:color="auto" w:fill="auto"/>
                  <w:vAlign w:val="center"/>
                </w:tcPr>
                <w:p w14:paraId="0AAC134A">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sz w:val="21"/>
                      <w:szCs w:val="21"/>
                      <w:lang w:val="en-US" w:eastAsia="zh-CN"/>
                    </w:rPr>
                  </w:pPr>
                  <w:r>
                    <w:rPr>
                      <w:rFonts w:hint="default" w:ascii="Times New Roman" w:hAnsi="Times New Roman" w:eastAsia="等线" w:cs="Times New Roman"/>
                      <w:color w:val="auto"/>
                      <w:sz w:val="21"/>
                      <w:szCs w:val="21"/>
                      <w:lang w:val="en-US" w:eastAsia="zh-CN"/>
                    </w:rPr>
                    <w:t>6.90</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15AE1800">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sz w:val="21"/>
                      <w:szCs w:val="21"/>
                      <w:lang w:val="en-US" w:eastAsia="zh-CN"/>
                    </w:rPr>
                  </w:pPr>
                  <w:r>
                    <w:rPr>
                      <w:rFonts w:hint="default" w:ascii="Times New Roman" w:hAnsi="Times New Roman" w:eastAsia="等线" w:cs="Times New Roman"/>
                      <w:color w:val="auto"/>
                      <w:sz w:val="21"/>
                      <w:szCs w:val="21"/>
                      <w:lang w:val="en-US" w:eastAsia="zh-CN"/>
                    </w:rPr>
                    <w:t>851</w:t>
                  </w:r>
                </w:p>
              </w:tc>
            </w:tr>
            <w:tr w14:paraId="4124B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vMerge w:val="continue"/>
                  <w:shd w:val="clear" w:color="auto" w:fill="auto"/>
                  <w:vAlign w:val="center"/>
                </w:tcPr>
                <w:p w14:paraId="139EB55F">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6E1588D1">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shd w:val="clear" w:color="auto" w:fill="auto"/>
                  <w:vAlign w:val="center"/>
                </w:tcPr>
                <w:p w14:paraId="1BCC24B5">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第三次</w:t>
                  </w:r>
                </w:p>
              </w:tc>
              <w:tc>
                <w:tcPr>
                  <w:tcW w:w="1913" w:type="dxa"/>
                  <w:shd w:val="clear" w:color="auto" w:fill="auto"/>
                  <w:vAlign w:val="center"/>
                </w:tcPr>
                <w:p w14:paraId="7CA43FC8">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kern w:val="2"/>
                      <w:sz w:val="21"/>
                      <w:szCs w:val="21"/>
                      <w:lang w:val="en-US" w:eastAsia="zh-CN" w:bidi="ar-SA"/>
                    </w:rPr>
                  </w:pPr>
                  <w:r>
                    <w:rPr>
                      <w:rFonts w:hint="default" w:ascii="Times New Roman" w:hAnsi="Times New Roman" w:eastAsia="等线" w:cs="Times New Roman"/>
                      <w:color w:val="auto"/>
                      <w:kern w:val="2"/>
                      <w:sz w:val="21"/>
                      <w:szCs w:val="21"/>
                      <w:lang w:val="en-US" w:eastAsia="zh-CN" w:bidi="ar-SA"/>
                    </w:rPr>
                    <w:t>18.5</w:t>
                  </w:r>
                </w:p>
              </w:tc>
              <w:tc>
                <w:tcPr>
                  <w:tcW w:w="1768" w:type="dxa"/>
                  <w:shd w:val="clear" w:color="auto" w:fill="auto"/>
                  <w:vAlign w:val="center"/>
                </w:tcPr>
                <w:p w14:paraId="515E8437">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sz w:val="21"/>
                      <w:szCs w:val="21"/>
                      <w:lang w:val="en-US" w:eastAsia="zh-CN"/>
                    </w:rPr>
                  </w:pPr>
                  <w:r>
                    <w:rPr>
                      <w:rFonts w:hint="default" w:ascii="Times New Roman" w:hAnsi="Times New Roman" w:eastAsia="等线" w:cs="Times New Roman"/>
                      <w:color w:val="auto"/>
                      <w:sz w:val="21"/>
                      <w:szCs w:val="21"/>
                      <w:lang w:val="en-US" w:eastAsia="zh-CN"/>
                    </w:rPr>
                    <w:t>5.87</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452FA49E">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sz w:val="21"/>
                      <w:szCs w:val="21"/>
                      <w:lang w:val="en-US" w:eastAsia="zh-CN"/>
                    </w:rPr>
                  </w:pPr>
                  <w:r>
                    <w:rPr>
                      <w:rFonts w:hint="default" w:ascii="Times New Roman" w:hAnsi="Times New Roman" w:eastAsia="等线" w:cs="Times New Roman"/>
                      <w:color w:val="auto"/>
                      <w:sz w:val="21"/>
                      <w:szCs w:val="21"/>
                      <w:lang w:val="en-US" w:eastAsia="zh-CN"/>
                    </w:rPr>
                    <w:t>724</w:t>
                  </w:r>
                </w:p>
              </w:tc>
            </w:tr>
            <w:tr w14:paraId="5E859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vMerge w:val="continue"/>
                  <w:shd w:val="clear" w:color="auto" w:fill="auto"/>
                  <w:vAlign w:val="center"/>
                </w:tcPr>
                <w:p w14:paraId="3A05CA62">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104668F9">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shd w:val="clear" w:color="auto" w:fill="auto"/>
                  <w:vAlign w:val="center"/>
                </w:tcPr>
                <w:p w14:paraId="2EA1A533">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最大值</w:t>
                  </w:r>
                </w:p>
              </w:tc>
              <w:tc>
                <w:tcPr>
                  <w:tcW w:w="1913" w:type="dxa"/>
                  <w:shd w:val="clear" w:color="auto" w:fill="auto"/>
                  <w:vAlign w:val="center"/>
                </w:tcPr>
                <w:p w14:paraId="27487586">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kern w:val="2"/>
                      <w:sz w:val="21"/>
                      <w:szCs w:val="21"/>
                      <w:lang w:val="en-US" w:eastAsia="zh-CN" w:bidi="ar-SA"/>
                    </w:rPr>
                  </w:pPr>
                  <w:r>
                    <w:rPr>
                      <w:rFonts w:hint="default" w:ascii="Times New Roman" w:hAnsi="Times New Roman" w:eastAsia="等线" w:cs="Times New Roman"/>
                      <w:color w:val="auto"/>
                      <w:kern w:val="2"/>
                      <w:sz w:val="21"/>
                      <w:szCs w:val="21"/>
                      <w:lang w:val="en-US" w:eastAsia="zh-CN" w:bidi="ar-SA"/>
                    </w:rPr>
                    <w:t>20.6</w:t>
                  </w:r>
                </w:p>
              </w:tc>
              <w:tc>
                <w:tcPr>
                  <w:tcW w:w="1768" w:type="dxa"/>
                  <w:shd w:val="clear" w:color="auto" w:fill="auto"/>
                  <w:vAlign w:val="center"/>
                </w:tcPr>
                <w:p w14:paraId="3327793B">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kern w:val="2"/>
                      <w:sz w:val="21"/>
                      <w:szCs w:val="21"/>
                      <w:lang w:val="en-US" w:eastAsia="zh-CN" w:bidi="ar-SA"/>
                    </w:rPr>
                  </w:pPr>
                  <w:r>
                    <w:rPr>
                      <w:rFonts w:hint="default" w:ascii="Times New Roman" w:hAnsi="Times New Roman" w:eastAsia="等线" w:cs="Times New Roman"/>
                      <w:color w:val="auto"/>
                      <w:sz w:val="21"/>
                      <w:szCs w:val="21"/>
                      <w:lang w:val="en-US" w:eastAsia="zh-CN"/>
                    </w:rPr>
                    <w:t>6.90</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00ED5989">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等线" w:cs="Times New Roman"/>
                      <w:color w:val="auto"/>
                      <w:kern w:val="2"/>
                      <w:sz w:val="21"/>
                      <w:szCs w:val="21"/>
                      <w:lang w:val="en-US" w:eastAsia="zh-CN" w:bidi="ar-SA"/>
                    </w:rPr>
                  </w:pPr>
                  <w:r>
                    <w:rPr>
                      <w:rFonts w:hint="default" w:ascii="Times New Roman" w:hAnsi="Times New Roman" w:eastAsia="等线" w:cs="Times New Roman"/>
                      <w:color w:val="auto"/>
                      <w:kern w:val="2"/>
                      <w:sz w:val="21"/>
                      <w:szCs w:val="21"/>
                      <w:lang w:val="en-US" w:eastAsia="zh-CN" w:bidi="ar-SA"/>
                    </w:rPr>
                    <w:t>851</w:t>
                  </w:r>
                </w:p>
              </w:tc>
            </w:tr>
            <w:tr w14:paraId="5E501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vMerge w:val="continue"/>
                  <w:shd w:val="clear" w:color="auto" w:fill="auto"/>
                  <w:vAlign w:val="center"/>
                </w:tcPr>
                <w:p w14:paraId="6FD309A0">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restart"/>
                  <w:shd w:val="clear" w:color="auto" w:fill="auto"/>
                  <w:vAlign w:val="center"/>
                </w:tcPr>
                <w:p w14:paraId="79BA6F9D">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2025.04.18</w:t>
                  </w:r>
                </w:p>
              </w:tc>
              <w:tc>
                <w:tcPr>
                  <w:tcW w:w="1212" w:type="dxa"/>
                  <w:shd w:val="clear" w:color="auto" w:fill="auto"/>
                  <w:vAlign w:val="center"/>
                </w:tcPr>
                <w:p w14:paraId="23228E95">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第一次</w:t>
                  </w:r>
                </w:p>
              </w:tc>
              <w:tc>
                <w:tcPr>
                  <w:tcW w:w="1913" w:type="dxa"/>
                  <w:shd w:val="clear" w:color="auto" w:fill="auto"/>
                  <w:vAlign w:val="center"/>
                </w:tcPr>
                <w:p w14:paraId="36299416">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11.8</w:t>
                  </w:r>
                </w:p>
              </w:tc>
              <w:tc>
                <w:tcPr>
                  <w:tcW w:w="1768" w:type="dxa"/>
                  <w:shd w:val="clear" w:color="auto" w:fill="auto"/>
                  <w:vAlign w:val="center"/>
                </w:tcPr>
                <w:p w14:paraId="46CF03CC">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3.68</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16514D84">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724</w:t>
                  </w:r>
                </w:p>
              </w:tc>
            </w:tr>
            <w:tr w14:paraId="65B5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vMerge w:val="continue"/>
                  <w:shd w:val="clear" w:color="auto" w:fill="auto"/>
                  <w:vAlign w:val="center"/>
                </w:tcPr>
                <w:p w14:paraId="6B56F3D2">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73C18658">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shd w:val="clear" w:color="auto" w:fill="auto"/>
                  <w:vAlign w:val="center"/>
                </w:tcPr>
                <w:p w14:paraId="2A25DDF3">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第二次</w:t>
                  </w:r>
                </w:p>
              </w:tc>
              <w:tc>
                <w:tcPr>
                  <w:tcW w:w="1913" w:type="dxa"/>
                  <w:shd w:val="clear" w:color="auto" w:fill="auto"/>
                  <w:vAlign w:val="center"/>
                </w:tcPr>
                <w:p w14:paraId="6DE54571">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12.1</w:t>
                  </w:r>
                </w:p>
              </w:tc>
              <w:tc>
                <w:tcPr>
                  <w:tcW w:w="1768" w:type="dxa"/>
                  <w:shd w:val="clear" w:color="auto" w:fill="auto"/>
                  <w:vAlign w:val="center"/>
                </w:tcPr>
                <w:p w14:paraId="6AD72011">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3.88</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4F6D8D4E">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851</w:t>
                  </w:r>
                </w:p>
              </w:tc>
            </w:tr>
            <w:tr w14:paraId="086B2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vMerge w:val="continue"/>
                  <w:shd w:val="clear" w:color="auto" w:fill="auto"/>
                  <w:vAlign w:val="center"/>
                </w:tcPr>
                <w:p w14:paraId="3D6DF035">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1F147B68">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shd w:val="clear" w:color="auto" w:fill="auto"/>
                  <w:vAlign w:val="center"/>
                </w:tcPr>
                <w:p w14:paraId="0B172649">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color w:val="auto"/>
                      <w:kern w:val="0"/>
                      <w:sz w:val="21"/>
                      <w:szCs w:val="21"/>
                    </w:rPr>
                    <w:t>第三次</w:t>
                  </w:r>
                </w:p>
              </w:tc>
              <w:tc>
                <w:tcPr>
                  <w:tcW w:w="1913" w:type="dxa"/>
                  <w:shd w:val="clear" w:color="auto" w:fill="auto"/>
                  <w:vAlign w:val="center"/>
                </w:tcPr>
                <w:p w14:paraId="2C94BFAB">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12.1</w:t>
                  </w:r>
                </w:p>
              </w:tc>
              <w:tc>
                <w:tcPr>
                  <w:tcW w:w="1768" w:type="dxa"/>
                  <w:shd w:val="clear" w:color="auto" w:fill="auto"/>
                  <w:vAlign w:val="center"/>
                </w:tcPr>
                <w:p w14:paraId="20AB72F2">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3.84</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405652B5">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851</w:t>
                  </w:r>
                </w:p>
              </w:tc>
            </w:tr>
            <w:tr w14:paraId="3FA2C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88" w:type="dxa"/>
                  <w:vMerge w:val="continue"/>
                  <w:shd w:val="clear" w:color="auto" w:fill="auto"/>
                  <w:vAlign w:val="center"/>
                </w:tcPr>
                <w:p w14:paraId="11D2B6C2">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327" w:type="dxa"/>
                  <w:vMerge w:val="continue"/>
                  <w:shd w:val="clear" w:color="auto" w:fill="auto"/>
                  <w:vAlign w:val="center"/>
                </w:tcPr>
                <w:p w14:paraId="2F4E84F4">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p>
              </w:tc>
              <w:tc>
                <w:tcPr>
                  <w:tcW w:w="1212" w:type="dxa"/>
                  <w:shd w:val="clear" w:color="auto" w:fill="auto"/>
                  <w:vAlign w:val="center"/>
                </w:tcPr>
                <w:p w14:paraId="7BB0D5E0">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最大值</w:t>
                  </w:r>
                </w:p>
              </w:tc>
              <w:tc>
                <w:tcPr>
                  <w:tcW w:w="1913" w:type="dxa"/>
                  <w:shd w:val="clear" w:color="auto" w:fill="auto"/>
                  <w:vAlign w:val="center"/>
                </w:tcPr>
                <w:p w14:paraId="0E4A57EF">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12.1</w:t>
                  </w:r>
                </w:p>
              </w:tc>
              <w:tc>
                <w:tcPr>
                  <w:tcW w:w="1768" w:type="dxa"/>
                  <w:shd w:val="clear" w:color="auto" w:fill="auto"/>
                  <w:vAlign w:val="center"/>
                </w:tcPr>
                <w:p w14:paraId="08E67459">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3.88</w:t>
                  </w:r>
                  <w:r>
                    <w:rPr>
                      <w:rFonts w:hint="default" w:ascii="Times New Roman" w:hAnsi="Times New Roman" w:cs="Times New Roman"/>
                      <w:color w:val="auto"/>
                      <w:sz w:val="21"/>
                      <w:szCs w:val="21"/>
                    </w:rPr>
                    <w:t>×10</w:t>
                  </w:r>
                  <w:r>
                    <w:rPr>
                      <w:rFonts w:hint="default" w:ascii="Times New Roman" w:hAnsi="Times New Roman" w:cs="Times New Roman"/>
                      <w:color w:val="auto"/>
                      <w:sz w:val="21"/>
                      <w:szCs w:val="21"/>
                      <w:vertAlign w:val="superscript"/>
                    </w:rPr>
                    <w:t>-</w:t>
                  </w:r>
                  <w:r>
                    <w:rPr>
                      <w:rFonts w:hint="default" w:ascii="Times New Roman" w:hAnsi="Times New Roman" w:cs="Times New Roman"/>
                      <w:color w:val="auto"/>
                      <w:sz w:val="21"/>
                      <w:szCs w:val="21"/>
                      <w:vertAlign w:val="superscript"/>
                      <w:lang w:val="en-US" w:eastAsia="zh-CN"/>
                    </w:rPr>
                    <w:t>2</w:t>
                  </w:r>
                </w:p>
              </w:tc>
              <w:tc>
                <w:tcPr>
                  <w:tcW w:w="1607" w:type="dxa"/>
                  <w:shd w:val="clear" w:color="auto" w:fill="auto"/>
                  <w:vAlign w:val="center"/>
                </w:tcPr>
                <w:p w14:paraId="7862D37F">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2"/>
                      <w:sz w:val="21"/>
                      <w:szCs w:val="21"/>
                      <w:lang w:val="en-US" w:eastAsia="zh-CN" w:bidi="ar-SA"/>
                    </w:rPr>
                    <w:t>851</w:t>
                  </w:r>
                </w:p>
              </w:tc>
            </w:tr>
            <w:tr w14:paraId="59C80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27" w:type="dxa"/>
                  <w:gridSpan w:val="3"/>
                  <w:shd w:val="clear" w:color="auto" w:fill="auto"/>
                  <w:vAlign w:val="center"/>
                </w:tcPr>
                <w:p w14:paraId="1F11283F">
                  <w:pPr>
                    <w:keepNext w:val="0"/>
                    <w:keepLines w:val="0"/>
                    <w:pageBreakBefore w:val="0"/>
                    <w:widowControl/>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标准限值</w:t>
                  </w:r>
                </w:p>
              </w:tc>
              <w:tc>
                <w:tcPr>
                  <w:tcW w:w="1913" w:type="dxa"/>
                  <w:shd w:val="clear" w:color="auto" w:fill="auto"/>
                  <w:vAlign w:val="center"/>
                </w:tcPr>
                <w:p w14:paraId="61CF5679">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100</w:t>
                  </w:r>
                </w:p>
              </w:tc>
              <w:tc>
                <w:tcPr>
                  <w:tcW w:w="1768" w:type="dxa"/>
                  <w:shd w:val="clear" w:color="auto" w:fill="auto"/>
                  <w:vAlign w:val="center"/>
                </w:tcPr>
                <w:p w14:paraId="262059FD">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w:t>
                  </w:r>
                </w:p>
              </w:tc>
              <w:tc>
                <w:tcPr>
                  <w:tcW w:w="1607" w:type="dxa"/>
                  <w:shd w:val="clear" w:color="auto" w:fill="auto"/>
                  <w:vAlign w:val="center"/>
                </w:tcPr>
                <w:p w14:paraId="34D315CF">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2000</w:t>
                  </w:r>
                </w:p>
              </w:tc>
            </w:tr>
            <w:tr w14:paraId="597AF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27" w:type="dxa"/>
                  <w:gridSpan w:val="3"/>
                  <w:shd w:val="clear" w:color="auto" w:fill="auto"/>
                  <w:vAlign w:val="center"/>
                </w:tcPr>
                <w:p w14:paraId="4E13581E">
                  <w:pPr>
                    <w:keepNext w:val="0"/>
                    <w:keepLines w:val="0"/>
                    <w:pageBreakBefore w:val="0"/>
                    <w:widowControl/>
                    <w:kinsoku/>
                    <w:wordWrap/>
                    <w:overflowPunct/>
                    <w:topLinePunct w:val="0"/>
                    <w:autoSpaceDE/>
                    <w:autoSpaceDN/>
                    <w:bidi w:val="0"/>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结果评价</w:t>
                  </w:r>
                </w:p>
              </w:tc>
              <w:tc>
                <w:tcPr>
                  <w:tcW w:w="1913" w:type="dxa"/>
                  <w:shd w:val="clear" w:color="auto" w:fill="auto"/>
                  <w:vAlign w:val="center"/>
                </w:tcPr>
                <w:p w14:paraId="06742620">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达标</w:t>
                  </w:r>
                </w:p>
              </w:tc>
              <w:tc>
                <w:tcPr>
                  <w:tcW w:w="1768" w:type="dxa"/>
                  <w:shd w:val="clear" w:color="auto" w:fill="auto"/>
                  <w:vAlign w:val="center"/>
                </w:tcPr>
                <w:p w14:paraId="47786693">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eastAsia="zh-CN"/>
                    </w:rPr>
                    <w:t>—</w:t>
                  </w:r>
                </w:p>
              </w:tc>
              <w:tc>
                <w:tcPr>
                  <w:tcW w:w="1607" w:type="dxa"/>
                  <w:shd w:val="clear" w:color="auto" w:fill="auto"/>
                  <w:vAlign w:val="center"/>
                </w:tcPr>
                <w:p w14:paraId="198B1DF2">
                  <w:pPr>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达标</w:t>
                  </w:r>
                </w:p>
              </w:tc>
            </w:tr>
          </w:tbl>
          <w:p w14:paraId="5BB9728A">
            <w:pPr>
              <w:pStyle w:val="36"/>
              <w:snapToGrid w:val="0"/>
              <w:spacing w:line="500" w:lineRule="exact"/>
              <w:jc w:val="center"/>
              <w:rPr>
                <w:rFonts w:hint="eastAsia" w:ascii="Times New Roman" w:eastAsia="宋体"/>
                <w:b/>
                <w:bCs/>
                <w:szCs w:val="24"/>
                <w:lang w:eastAsia="zh-CN"/>
              </w:rPr>
            </w:pPr>
            <w:r>
              <w:rPr>
                <w:rFonts w:ascii="Times New Roman"/>
                <w:b/>
                <w:bCs/>
                <w:color w:val="auto"/>
                <w:szCs w:val="24"/>
              </w:rPr>
              <w:t>表7</w:t>
            </w:r>
            <w:r>
              <w:rPr>
                <w:rFonts w:hint="eastAsia" w:ascii="Times New Roman"/>
                <w:b/>
                <w:bCs/>
                <w:color w:val="auto"/>
                <w:szCs w:val="24"/>
              </w:rPr>
              <w:t>-</w:t>
            </w:r>
            <w:r>
              <w:rPr>
                <w:rFonts w:hint="eastAsia" w:ascii="Times New Roman"/>
                <w:b/>
                <w:bCs/>
                <w:color w:val="auto"/>
                <w:szCs w:val="24"/>
                <w:lang w:val="en-US" w:eastAsia="zh-CN"/>
              </w:rPr>
              <w:t>5</w:t>
            </w:r>
            <w:r>
              <w:rPr>
                <w:rFonts w:hint="eastAsia" w:ascii="Times New Roman"/>
                <w:b/>
                <w:bCs/>
                <w:color w:val="auto"/>
                <w:szCs w:val="24"/>
              </w:rPr>
              <w:t>有组织废气</w:t>
            </w:r>
            <w:r>
              <w:rPr>
                <w:rFonts w:hint="eastAsia" w:ascii="Times New Roman"/>
                <w:b/>
                <w:bCs/>
                <w:color w:val="auto"/>
                <w:szCs w:val="24"/>
                <w:lang w:val="en-US" w:eastAsia="zh-CN"/>
              </w:rPr>
              <w:t>治理效率一览表</w:t>
            </w:r>
          </w:p>
          <w:tbl>
            <w:tblPr>
              <w:tblStyle w:val="30"/>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4"/>
              <w:gridCol w:w="2610"/>
              <w:gridCol w:w="2325"/>
              <w:gridCol w:w="2275"/>
            </w:tblGrid>
            <w:tr w14:paraId="40AF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94" w:type="dxa"/>
                  <w:vMerge w:val="restart"/>
                  <w:vAlign w:val="center"/>
                </w:tcPr>
                <w:p w14:paraId="39924F3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非甲烷总烃</w:t>
                  </w:r>
                </w:p>
              </w:tc>
              <w:tc>
                <w:tcPr>
                  <w:tcW w:w="2610" w:type="dxa"/>
                  <w:vAlign w:val="center"/>
                </w:tcPr>
                <w:p w14:paraId="0B0ED23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监测时间</w:t>
                  </w:r>
                </w:p>
              </w:tc>
              <w:tc>
                <w:tcPr>
                  <w:tcW w:w="2325" w:type="dxa"/>
                  <w:vAlign w:val="center"/>
                </w:tcPr>
                <w:p w14:paraId="4E946DB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color w:val="auto"/>
                      <w:kern w:val="0"/>
                      <w:sz w:val="21"/>
                      <w:szCs w:val="21"/>
                      <w:lang w:val="en-US" w:eastAsia="zh-CN"/>
                    </w:rPr>
                    <w:t>2025.04.17</w:t>
                  </w:r>
                </w:p>
              </w:tc>
              <w:tc>
                <w:tcPr>
                  <w:tcW w:w="2275" w:type="dxa"/>
                  <w:vAlign w:val="center"/>
                </w:tcPr>
                <w:p w14:paraId="7276658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color w:val="auto"/>
                      <w:kern w:val="0"/>
                      <w:sz w:val="21"/>
                      <w:szCs w:val="21"/>
                      <w:lang w:val="en-US" w:eastAsia="zh-CN"/>
                    </w:rPr>
                    <w:t>2025.04.18</w:t>
                  </w:r>
                </w:p>
              </w:tc>
            </w:tr>
            <w:tr w14:paraId="09BA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94" w:type="dxa"/>
                  <w:vMerge w:val="continue"/>
                  <w:vAlign w:val="center"/>
                </w:tcPr>
                <w:p w14:paraId="58A277B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p>
              </w:tc>
              <w:tc>
                <w:tcPr>
                  <w:tcW w:w="2610" w:type="dxa"/>
                  <w:vAlign w:val="center"/>
                </w:tcPr>
                <w:p w14:paraId="118D09E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进口浓度</w:t>
                  </w:r>
                  <w:r>
                    <w:rPr>
                      <w:rFonts w:hint="default" w:ascii="Times New Roman" w:hAnsi="Times New Roman" w:eastAsia="宋体" w:cs="Times New Roman"/>
                      <w:color w:val="auto"/>
                      <w:kern w:val="0"/>
                      <w:sz w:val="21"/>
                      <w:szCs w:val="21"/>
                    </w:rPr>
                    <w:t>mg/m</w:t>
                  </w:r>
                  <w:r>
                    <w:rPr>
                      <w:rFonts w:hint="default" w:ascii="Times New Roman" w:hAnsi="Times New Roman" w:eastAsia="宋体" w:cs="Times New Roman"/>
                      <w:color w:val="auto"/>
                      <w:kern w:val="0"/>
                      <w:sz w:val="21"/>
                      <w:szCs w:val="21"/>
                      <w:vertAlign w:val="superscript"/>
                    </w:rPr>
                    <w:t>3</w:t>
                  </w:r>
                </w:p>
              </w:tc>
              <w:tc>
                <w:tcPr>
                  <w:tcW w:w="2325" w:type="dxa"/>
                  <w:vAlign w:val="center"/>
                </w:tcPr>
                <w:p w14:paraId="5D4C3F9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28.7</w:t>
                  </w:r>
                </w:p>
              </w:tc>
              <w:tc>
                <w:tcPr>
                  <w:tcW w:w="2275" w:type="dxa"/>
                  <w:vAlign w:val="center"/>
                </w:tcPr>
                <w:p w14:paraId="791B306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20.6</w:t>
                  </w:r>
                </w:p>
              </w:tc>
            </w:tr>
            <w:tr w14:paraId="3909F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94" w:type="dxa"/>
                  <w:vMerge w:val="continue"/>
                  <w:vAlign w:val="center"/>
                </w:tcPr>
                <w:p w14:paraId="314976C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rPr>
                  </w:pPr>
                </w:p>
              </w:tc>
              <w:tc>
                <w:tcPr>
                  <w:tcW w:w="2610" w:type="dxa"/>
                  <w:vAlign w:val="center"/>
                </w:tcPr>
                <w:p w14:paraId="725F42F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出口浓度</w:t>
                  </w:r>
                  <w:r>
                    <w:rPr>
                      <w:rFonts w:hint="default" w:ascii="Times New Roman" w:hAnsi="Times New Roman" w:eastAsia="宋体" w:cs="Times New Roman"/>
                      <w:color w:val="auto"/>
                      <w:kern w:val="0"/>
                      <w:sz w:val="21"/>
                      <w:szCs w:val="21"/>
                    </w:rPr>
                    <w:t>mg/m</w:t>
                  </w:r>
                  <w:r>
                    <w:rPr>
                      <w:rFonts w:hint="default" w:ascii="Times New Roman" w:hAnsi="Times New Roman" w:eastAsia="宋体" w:cs="Times New Roman"/>
                      <w:color w:val="auto"/>
                      <w:kern w:val="0"/>
                      <w:sz w:val="21"/>
                      <w:szCs w:val="21"/>
                      <w:vertAlign w:val="superscript"/>
                    </w:rPr>
                    <w:t>3</w:t>
                  </w:r>
                </w:p>
              </w:tc>
              <w:tc>
                <w:tcPr>
                  <w:tcW w:w="2325" w:type="dxa"/>
                  <w:vAlign w:val="center"/>
                </w:tcPr>
                <w:p w14:paraId="2BEA181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20.6</w:t>
                  </w:r>
                </w:p>
              </w:tc>
              <w:tc>
                <w:tcPr>
                  <w:tcW w:w="2275" w:type="dxa"/>
                  <w:vAlign w:val="center"/>
                </w:tcPr>
                <w:p w14:paraId="76CB60F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12.1</w:t>
                  </w:r>
                </w:p>
              </w:tc>
            </w:tr>
            <w:tr w14:paraId="2009A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94" w:type="dxa"/>
                  <w:vMerge w:val="continue"/>
                  <w:vAlign w:val="center"/>
                </w:tcPr>
                <w:p w14:paraId="058BFE8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p>
              </w:tc>
              <w:tc>
                <w:tcPr>
                  <w:tcW w:w="2610" w:type="dxa"/>
                  <w:vAlign w:val="center"/>
                </w:tcPr>
                <w:p w14:paraId="7884437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验收实际处理效率%</w:t>
                  </w:r>
                </w:p>
              </w:tc>
              <w:tc>
                <w:tcPr>
                  <w:tcW w:w="2325" w:type="dxa"/>
                  <w:vAlign w:val="center"/>
                </w:tcPr>
                <w:p w14:paraId="402F1D4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28.2</w:t>
                  </w:r>
                </w:p>
              </w:tc>
              <w:tc>
                <w:tcPr>
                  <w:tcW w:w="2275" w:type="dxa"/>
                  <w:vAlign w:val="center"/>
                </w:tcPr>
                <w:p w14:paraId="0E5B109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41.3</w:t>
                  </w:r>
                </w:p>
              </w:tc>
            </w:tr>
            <w:tr w14:paraId="5DC5F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94" w:type="dxa"/>
                  <w:vMerge w:val="continue"/>
                  <w:vAlign w:val="center"/>
                </w:tcPr>
                <w:p w14:paraId="2DF1D5C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rPr>
                  </w:pPr>
                </w:p>
              </w:tc>
              <w:tc>
                <w:tcPr>
                  <w:tcW w:w="2610" w:type="dxa"/>
                  <w:vAlign w:val="center"/>
                </w:tcPr>
                <w:p w14:paraId="30EB271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环评设计处理效率%</w:t>
                  </w:r>
                </w:p>
              </w:tc>
              <w:tc>
                <w:tcPr>
                  <w:tcW w:w="2325" w:type="dxa"/>
                  <w:vAlign w:val="center"/>
                </w:tcPr>
                <w:p w14:paraId="47B01C8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27.8</w:t>
                  </w:r>
                </w:p>
              </w:tc>
              <w:tc>
                <w:tcPr>
                  <w:tcW w:w="2275" w:type="dxa"/>
                  <w:vAlign w:val="center"/>
                </w:tcPr>
                <w:p w14:paraId="7278D1C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27.8</w:t>
                  </w:r>
                </w:p>
              </w:tc>
            </w:tr>
          </w:tbl>
          <w:p w14:paraId="1C3A00FD">
            <w:pPr>
              <w:adjustRightInd w:val="0"/>
              <w:snapToGrid w:val="0"/>
              <w:spacing w:line="500" w:lineRule="exact"/>
              <w:ind w:firstLine="480" w:firstLineChars="200"/>
              <w:rPr>
                <w:rFonts w:hint="default" w:ascii="Times New Roman" w:hAnsi="Times New Roman" w:eastAsia="宋体" w:cs="Times New Roman"/>
                <w:sz w:val="24"/>
                <w:lang w:val="en-US" w:eastAsia="zh-CN"/>
              </w:rPr>
            </w:pPr>
            <w:r>
              <w:rPr>
                <w:rFonts w:ascii="Times New Roman" w:hAnsi="Times New Roman" w:eastAsia="宋体" w:cs="Times New Roman"/>
                <w:sz w:val="24"/>
              </w:rPr>
              <w:t>根据上表监测结果可知，项目验收期间有组织废气污染物：</w:t>
            </w:r>
            <w:r>
              <w:rPr>
                <w:rFonts w:hint="default" w:ascii="Times New Roman" w:hAnsi="Times New Roman" w:eastAsia="宋体" w:cs="Times New Roman"/>
                <w:color w:val="000000"/>
                <w:kern w:val="0"/>
                <w:sz w:val="24"/>
                <w:szCs w:val="24"/>
                <w:lang w:val="en-US" w:eastAsia="zh-CN" w:bidi="ar"/>
              </w:rPr>
              <w:t>非甲烷总烃</w:t>
            </w:r>
            <w:r>
              <w:rPr>
                <w:rFonts w:hint="eastAsia" w:ascii="Times New Roman" w:hAnsi="Times New Roman" w:eastAsia="宋体" w:cs="Times New Roman"/>
                <w:color w:val="000000"/>
                <w:kern w:val="0"/>
                <w:sz w:val="24"/>
                <w:szCs w:val="24"/>
                <w:lang w:val="en-US" w:eastAsia="zh-CN" w:bidi="ar"/>
              </w:rPr>
              <w:t>符合</w:t>
            </w:r>
            <w:r>
              <w:rPr>
                <w:rFonts w:hint="default" w:ascii="Times New Roman" w:hAnsi="Times New Roman" w:eastAsia="宋体" w:cs="Times New Roman"/>
                <w:color w:val="000000"/>
                <w:kern w:val="0"/>
                <w:sz w:val="24"/>
                <w:szCs w:val="24"/>
                <w:lang w:val="en-US" w:eastAsia="zh-CN" w:bidi="ar"/>
              </w:rPr>
              <w:t>《合成树脂工业污染物排放标准》（GB31572-2015）（含2024年修改单）中表4大气污染物排放限值；臭气浓度</w:t>
            </w:r>
            <w:r>
              <w:rPr>
                <w:rFonts w:hint="eastAsia" w:ascii="Times New Roman" w:hAnsi="Times New Roman" w:eastAsia="宋体" w:cs="Times New Roman"/>
                <w:color w:val="000000"/>
                <w:kern w:val="0"/>
                <w:sz w:val="24"/>
                <w:szCs w:val="24"/>
                <w:lang w:val="en-US" w:eastAsia="zh-CN" w:bidi="ar"/>
              </w:rPr>
              <w:t>符合</w:t>
            </w:r>
            <w:r>
              <w:rPr>
                <w:rFonts w:hint="default" w:ascii="Times New Roman" w:hAnsi="Times New Roman" w:cs="Times New Roman"/>
                <w:sz w:val="24"/>
                <w:szCs w:val="24"/>
                <w:lang w:val="en-US" w:eastAsia="zh-CN"/>
              </w:rPr>
              <w:t>《恶臭污染物排放标准》（GB14554-93）中表2排放标准限值。</w:t>
            </w:r>
            <w:r>
              <w:rPr>
                <w:rFonts w:hint="eastAsia" w:ascii="Times New Roman" w:hAnsi="Times New Roman" w:eastAsia="宋体" w:cs="Times New Roman"/>
                <w:sz w:val="24"/>
                <w:lang w:val="en-US" w:eastAsia="zh-CN"/>
              </w:rPr>
              <w:t>废气治理效率符合环评中27.8%的要求。</w:t>
            </w:r>
          </w:p>
          <w:p w14:paraId="2AFB8219">
            <w:pPr>
              <w:pStyle w:val="36"/>
              <w:snapToGrid w:val="0"/>
              <w:spacing w:line="500" w:lineRule="exact"/>
              <w:ind w:firstLine="480" w:firstLineChars="200"/>
              <w:rPr>
                <w:rFonts w:hint="default" w:ascii="Times New Roman" w:hAnsi="Times New Roman" w:eastAsia="宋体" w:cs="Times New Roman"/>
                <w:color w:val="000000"/>
                <w:kern w:val="0"/>
                <w:sz w:val="24"/>
                <w:szCs w:val="24"/>
                <w:lang w:val="en-US" w:eastAsia="zh-CN" w:bidi="ar"/>
              </w:rPr>
            </w:pPr>
            <w:r>
              <w:rPr>
                <w:rFonts w:ascii="Times New Roman" w:hAnsi="Times New Roman" w:cs="Times New Roman"/>
                <w:sz w:val="24"/>
              </w:rPr>
              <w:t>同时，核算</w:t>
            </w:r>
            <w:r>
              <w:rPr>
                <w:rFonts w:hint="eastAsia" w:ascii="Times New Roman" w:eastAsia="宋体" w:cs="Times New Roman"/>
                <w:sz w:val="24"/>
                <w:lang w:val="en-US" w:eastAsia="zh-CN"/>
              </w:rPr>
              <w:t>非甲烷总烃</w:t>
            </w:r>
            <w:r>
              <w:rPr>
                <w:rFonts w:ascii="Times New Roman" w:hAnsi="Times New Roman" w:eastAsia="宋体" w:cs="Times New Roman"/>
                <w:sz w:val="24"/>
              </w:rPr>
              <w:t>排放量：</w:t>
            </w:r>
            <w:r>
              <w:rPr>
                <w:rFonts w:hint="eastAsia" w:ascii="Times New Roman" w:eastAsia="宋体" w:cs="Times New Roman"/>
                <w:sz w:val="24"/>
                <w:highlight w:val="none"/>
                <w:lang w:val="en-US" w:eastAsia="zh-CN"/>
              </w:rPr>
              <w:t>0.0388</w:t>
            </w:r>
            <w:r>
              <w:rPr>
                <w:rFonts w:ascii="Times New Roman" w:hAnsi="Times New Roman" w:eastAsia="宋体" w:cs="Times New Roman"/>
                <w:sz w:val="24"/>
                <w:highlight w:val="none"/>
              </w:rPr>
              <w:t>kg/h×8h×</w:t>
            </w:r>
            <w:r>
              <w:rPr>
                <w:rFonts w:hint="eastAsia" w:ascii="Times New Roman" w:eastAsia="宋体" w:cs="Times New Roman"/>
                <w:sz w:val="24"/>
                <w:highlight w:val="none"/>
                <w:lang w:val="en-US" w:eastAsia="zh-CN"/>
              </w:rPr>
              <w:t>30</w:t>
            </w:r>
            <w:r>
              <w:rPr>
                <w:rFonts w:ascii="Times New Roman" w:hAnsi="Times New Roman" w:eastAsia="宋体" w:cs="Times New Roman"/>
                <w:sz w:val="24"/>
                <w:highlight w:val="none"/>
              </w:rPr>
              <w:t>0d=0.</w:t>
            </w:r>
            <w:r>
              <w:rPr>
                <w:rFonts w:hint="eastAsia" w:ascii="Times New Roman" w:eastAsia="宋体" w:cs="Times New Roman"/>
                <w:sz w:val="24"/>
                <w:highlight w:val="none"/>
                <w:lang w:val="en-US" w:eastAsia="zh-CN"/>
              </w:rPr>
              <w:t>093</w:t>
            </w:r>
            <w:r>
              <w:rPr>
                <w:rFonts w:ascii="Times New Roman" w:hAnsi="Times New Roman" w:eastAsia="宋体" w:cs="Times New Roman"/>
                <w:sz w:val="24"/>
                <w:highlight w:val="none"/>
              </w:rPr>
              <w:t>t/a</w:t>
            </w:r>
            <w:r>
              <w:rPr>
                <w:rFonts w:ascii="Times New Roman" w:hAnsi="Times New Roman" w:eastAsia="宋体" w:cs="Times New Roman"/>
                <w:sz w:val="24"/>
              </w:rPr>
              <w:t>，</w:t>
            </w:r>
            <w:r>
              <w:rPr>
                <w:rFonts w:hint="eastAsia" w:ascii="Times New Roman" w:eastAsia="宋体" w:cs="Times New Roman"/>
                <w:sz w:val="24"/>
                <w:lang w:val="en-US" w:eastAsia="zh-CN"/>
              </w:rPr>
              <w:t>符合</w:t>
            </w:r>
            <w:r>
              <w:rPr>
                <w:rFonts w:ascii="Times New Roman" w:hAnsi="Times New Roman" w:eastAsia="宋体" w:cs="Times New Roman"/>
                <w:sz w:val="24"/>
              </w:rPr>
              <w:t>项目环评及批复文件的总量控制指标</w:t>
            </w:r>
            <w:r>
              <w:rPr>
                <w:rFonts w:hint="default" w:ascii="Times New Roman" w:hAnsi="Times New Roman" w:eastAsia="宋体" w:cs="Times New Roman"/>
                <w:color w:val="000000"/>
                <w:kern w:val="0"/>
                <w:sz w:val="24"/>
                <w:szCs w:val="24"/>
                <w:lang w:val="en-US" w:eastAsia="zh-CN" w:bidi="ar"/>
              </w:rPr>
              <w:t>非甲烷总烃</w:t>
            </w:r>
            <w:r>
              <w:rPr>
                <w:rFonts w:hint="default" w:ascii="Times New Roman" w:hAnsi="Times New Roman" w:eastAsia="宋体" w:cs="Times New Roman"/>
                <w:color w:val="000000"/>
                <w:kern w:val="0"/>
                <w:sz w:val="24"/>
                <w:szCs w:val="24"/>
                <w:vertAlign w:val="baseline"/>
                <w:lang w:val="en-US" w:eastAsia="zh-CN" w:bidi="ar"/>
              </w:rPr>
              <w:t>0.117</w:t>
            </w:r>
            <w:r>
              <w:rPr>
                <w:rFonts w:hint="default" w:ascii="Times New Roman" w:hAnsi="Times New Roman" w:eastAsia="宋体" w:cs="Times New Roman"/>
                <w:color w:val="000000"/>
                <w:kern w:val="0"/>
                <w:sz w:val="24"/>
                <w:szCs w:val="24"/>
                <w:highlight w:val="none"/>
                <w:lang w:val="en-US" w:eastAsia="zh-CN" w:bidi="ar"/>
              </w:rPr>
              <w:t>t/a</w:t>
            </w:r>
            <w:r>
              <w:rPr>
                <w:rFonts w:ascii="Times New Roman" w:hAnsi="Times New Roman" w:eastAsia="宋体" w:cs="Times New Roman"/>
                <w:sz w:val="24"/>
              </w:rPr>
              <w:t>的要求。</w:t>
            </w:r>
          </w:p>
          <w:p w14:paraId="7FDBAF4D">
            <w:pPr>
              <w:pStyle w:val="36"/>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b/>
                <w:bCs/>
                <w:szCs w:val="24"/>
              </w:rPr>
            </w:pPr>
            <w:r>
              <w:rPr>
                <w:rFonts w:hint="eastAsia" w:ascii="Times New Roman"/>
                <w:b/>
                <w:bCs/>
                <w:szCs w:val="24"/>
              </w:rPr>
              <w:t>（2）无组织废气</w:t>
            </w:r>
          </w:p>
          <w:p w14:paraId="29E1092C">
            <w:pPr>
              <w:pStyle w:val="36"/>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b/>
                <w:bCs/>
                <w:szCs w:val="24"/>
              </w:rPr>
            </w:pPr>
            <w:r>
              <w:rPr>
                <w:rFonts w:hint="eastAsia" w:ascii="Times New Roman"/>
                <w:bCs/>
                <w:color w:val="auto"/>
                <w:sz w:val="24"/>
                <w:szCs w:val="24"/>
                <w:highlight w:val="none"/>
              </w:rPr>
              <w:t>2025年4月17-18日</w:t>
            </w:r>
            <w:r>
              <w:rPr>
                <w:rFonts w:ascii="Times New Roman"/>
                <w:bCs/>
              </w:rPr>
              <w:t>验收监测期间，</w:t>
            </w:r>
            <w:r>
              <w:rPr>
                <w:rFonts w:hint="eastAsia" w:ascii="Times New Roman"/>
                <w:kern w:val="0"/>
                <w:lang w:bidi="ar"/>
              </w:rPr>
              <w:t>在</w:t>
            </w:r>
            <w:r>
              <w:rPr>
                <w:rFonts w:ascii="Times New Roman"/>
                <w:bCs/>
              </w:rPr>
              <w:t>项目</w:t>
            </w:r>
            <w:r>
              <w:rPr>
                <w:rFonts w:hint="eastAsia" w:ascii="Times New Roman"/>
                <w:bCs/>
              </w:rPr>
              <w:t>厂界上风向设置1个参照点，下风向设置3个监控点，</w:t>
            </w:r>
            <w:r>
              <w:rPr>
                <w:rFonts w:ascii="Times New Roman"/>
                <w:bCs/>
              </w:rPr>
              <w:t>监测结果如下：</w:t>
            </w:r>
          </w:p>
          <w:p w14:paraId="39299B8D">
            <w:pPr>
              <w:keepNext w:val="0"/>
              <w:keepLines w:val="0"/>
              <w:pageBreakBefore w:val="0"/>
              <w:widowControl w:val="0"/>
              <w:kinsoku/>
              <w:wordWrap/>
              <w:overflowPunct/>
              <w:topLinePunct w:val="0"/>
              <w:bidi w:val="0"/>
              <w:adjustRightInd w:val="0"/>
              <w:snapToGrid w:val="0"/>
              <w:spacing w:line="500" w:lineRule="exact"/>
              <w:jc w:val="center"/>
              <w:textAlignment w:val="auto"/>
              <w:rPr>
                <w:b/>
                <w:bCs/>
                <w:sz w:val="24"/>
              </w:rPr>
            </w:pPr>
            <w:r>
              <w:rPr>
                <w:rFonts w:ascii="Times New Roman" w:hAnsi="Times New Roman" w:eastAsia="宋体" w:cs="Times New Roman"/>
                <w:b/>
                <w:bCs/>
                <w:sz w:val="24"/>
              </w:rPr>
              <w:t>表7</w:t>
            </w:r>
            <w:r>
              <w:rPr>
                <w:rFonts w:ascii="Times New Roman" w:hAnsi="Times New Roman" w:cs="Times New Roman"/>
                <w:b/>
                <w:bCs/>
                <w:sz w:val="24"/>
              </w:rPr>
              <w:t>-</w:t>
            </w:r>
            <w:r>
              <w:rPr>
                <w:rFonts w:hint="eastAsia" w:ascii="Times New Roman" w:cs="Times New Roman"/>
                <w:b/>
                <w:bCs/>
                <w:sz w:val="24"/>
                <w:lang w:val="en-US" w:eastAsia="zh-CN"/>
              </w:rPr>
              <w:t>6</w:t>
            </w:r>
            <w:r>
              <w:rPr>
                <w:rFonts w:hint="eastAsia"/>
                <w:b/>
                <w:bCs/>
                <w:sz w:val="24"/>
              </w:rPr>
              <w:t>气象条件检测结果</w:t>
            </w:r>
          </w:p>
          <w:tbl>
            <w:tblPr>
              <w:tblStyle w:val="29"/>
              <w:tblW w:w="850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195"/>
              <w:gridCol w:w="1111"/>
              <w:gridCol w:w="1148"/>
              <w:gridCol w:w="1343"/>
              <w:gridCol w:w="1224"/>
              <w:gridCol w:w="1343"/>
              <w:gridCol w:w="1140"/>
            </w:tblGrid>
            <w:tr w14:paraId="07EBB5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95" w:type="dxa"/>
                  <w:vMerge w:val="restart"/>
                  <w:vAlign w:val="center"/>
                </w:tcPr>
                <w:p w14:paraId="64F5FA1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kern w:val="0"/>
                      <w:sz w:val="21"/>
                      <w:szCs w:val="21"/>
                      <w:lang w:val="en-US" w:eastAsia="zh-CN"/>
                    </w:rPr>
                    <w:t>监测</w:t>
                  </w:r>
                  <w:r>
                    <w:rPr>
                      <w:rFonts w:hint="default" w:ascii="Times New Roman" w:hAnsi="Times New Roman" w:cs="Times New Roman"/>
                      <w:color w:val="auto"/>
                      <w:sz w:val="21"/>
                      <w:szCs w:val="21"/>
                    </w:rPr>
                    <w:t>日期</w:t>
                  </w:r>
                </w:p>
              </w:tc>
              <w:tc>
                <w:tcPr>
                  <w:tcW w:w="1111" w:type="dxa"/>
                  <w:vMerge w:val="restart"/>
                  <w:vAlign w:val="center"/>
                </w:tcPr>
                <w:p w14:paraId="3DA3F4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kern w:val="0"/>
                      <w:sz w:val="21"/>
                      <w:szCs w:val="21"/>
                      <w:lang w:val="en-US" w:eastAsia="zh-CN"/>
                    </w:rPr>
                    <w:t>监测</w:t>
                  </w:r>
                  <w:r>
                    <w:rPr>
                      <w:rFonts w:hint="default" w:ascii="Times New Roman" w:hAnsi="Times New Roman" w:cs="Times New Roman"/>
                      <w:color w:val="auto"/>
                      <w:sz w:val="21"/>
                      <w:szCs w:val="21"/>
                    </w:rPr>
                    <w:t>频次</w:t>
                  </w:r>
                </w:p>
              </w:tc>
              <w:tc>
                <w:tcPr>
                  <w:tcW w:w="6198" w:type="dxa"/>
                  <w:gridSpan w:val="5"/>
                  <w:vAlign w:val="center"/>
                </w:tcPr>
                <w:p w14:paraId="4D6440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kern w:val="0"/>
                      <w:sz w:val="21"/>
                      <w:szCs w:val="21"/>
                      <w:lang w:val="en-US" w:eastAsia="zh-CN"/>
                    </w:rPr>
                    <w:t>监测</w:t>
                  </w:r>
                  <w:r>
                    <w:rPr>
                      <w:rFonts w:hint="default" w:ascii="Times New Roman" w:hAnsi="Times New Roman" w:cs="Times New Roman"/>
                      <w:color w:val="auto"/>
                      <w:sz w:val="21"/>
                      <w:szCs w:val="21"/>
                    </w:rPr>
                    <w:t>结果</w:t>
                  </w:r>
                </w:p>
              </w:tc>
            </w:tr>
            <w:tr w14:paraId="4D796F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1EF60D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p>
              </w:tc>
              <w:tc>
                <w:tcPr>
                  <w:tcW w:w="1111" w:type="dxa"/>
                  <w:vMerge w:val="continue"/>
                  <w:vAlign w:val="center"/>
                </w:tcPr>
                <w:p w14:paraId="1189AD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p>
              </w:tc>
              <w:tc>
                <w:tcPr>
                  <w:tcW w:w="1148" w:type="dxa"/>
                  <w:vAlign w:val="center"/>
                </w:tcPr>
                <w:p w14:paraId="5A768935">
                  <w:pPr>
                    <w:keepNext w:val="0"/>
                    <w:keepLines w:val="0"/>
                    <w:pageBreakBefore w:val="0"/>
                    <w:widowControl w:val="0"/>
                    <w:tabs>
                      <w:tab w:val="left" w:pos="1980"/>
                    </w:tabs>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风向</w:t>
                  </w:r>
                </w:p>
              </w:tc>
              <w:tc>
                <w:tcPr>
                  <w:tcW w:w="1343" w:type="dxa"/>
                  <w:vAlign w:val="center"/>
                </w:tcPr>
                <w:p w14:paraId="7052C58C">
                  <w:pPr>
                    <w:keepNext w:val="0"/>
                    <w:keepLines w:val="0"/>
                    <w:pageBreakBefore w:val="0"/>
                    <w:widowControl w:val="0"/>
                    <w:tabs>
                      <w:tab w:val="left" w:pos="1980"/>
                    </w:tabs>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风速（m/s）</w:t>
                  </w:r>
                </w:p>
              </w:tc>
              <w:tc>
                <w:tcPr>
                  <w:tcW w:w="1224" w:type="dxa"/>
                  <w:vAlign w:val="center"/>
                </w:tcPr>
                <w:p w14:paraId="66226095">
                  <w:pPr>
                    <w:keepNext w:val="0"/>
                    <w:keepLines w:val="0"/>
                    <w:pageBreakBefore w:val="0"/>
                    <w:widowControl w:val="0"/>
                    <w:tabs>
                      <w:tab w:val="left" w:pos="1980"/>
                    </w:tabs>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气温（℃）</w:t>
                  </w:r>
                </w:p>
              </w:tc>
              <w:tc>
                <w:tcPr>
                  <w:tcW w:w="1343" w:type="dxa"/>
                  <w:tcBorders>
                    <w:right w:val="single" w:color="auto" w:sz="4" w:space="0"/>
                  </w:tcBorders>
                  <w:vAlign w:val="center"/>
                </w:tcPr>
                <w:p w14:paraId="11F1C5DD">
                  <w:pPr>
                    <w:keepNext w:val="0"/>
                    <w:keepLines w:val="0"/>
                    <w:pageBreakBefore w:val="0"/>
                    <w:widowControl w:val="0"/>
                    <w:tabs>
                      <w:tab w:val="left" w:pos="1980"/>
                    </w:tabs>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气压（kPa）</w:t>
                  </w:r>
                </w:p>
              </w:tc>
              <w:tc>
                <w:tcPr>
                  <w:tcW w:w="1140" w:type="dxa"/>
                  <w:tcBorders>
                    <w:left w:val="single" w:color="auto" w:sz="4" w:space="0"/>
                  </w:tcBorders>
                  <w:vAlign w:val="center"/>
                </w:tcPr>
                <w:p w14:paraId="57972133">
                  <w:pPr>
                    <w:keepNext w:val="0"/>
                    <w:keepLines w:val="0"/>
                    <w:pageBreakBefore w:val="0"/>
                    <w:widowControl w:val="0"/>
                    <w:tabs>
                      <w:tab w:val="left" w:pos="1980"/>
                    </w:tabs>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湿度%</w:t>
                  </w:r>
                </w:p>
              </w:tc>
            </w:tr>
            <w:tr w14:paraId="1385E8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95" w:type="dxa"/>
                  <w:vMerge w:val="restart"/>
                  <w:vAlign w:val="center"/>
                </w:tcPr>
                <w:p w14:paraId="132160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2025.04.17</w:t>
                  </w:r>
                </w:p>
              </w:tc>
              <w:tc>
                <w:tcPr>
                  <w:tcW w:w="1111" w:type="dxa"/>
                  <w:vAlign w:val="center"/>
                </w:tcPr>
                <w:p w14:paraId="314B36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kern w:val="0"/>
                      <w:sz w:val="21"/>
                      <w:szCs w:val="21"/>
                    </w:rPr>
                    <w:t>第一次</w:t>
                  </w:r>
                </w:p>
              </w:tc>
              <w:tc>
                <w:tcPr>
                  <w:tcW w:w="1148" w:type="dxa"/>
                  <w:vAlign w:val="bottom"/>
                </w:tcPr>
                <w:p w14:paraId="03FB190E">
                  <w:pPr>
                    <w:keepNext w:val="0"/>
                    <w:keepLines w:val="0"/>
                    <w:widowControl/>
                    <w:suppressLineNumbers w:val="0"/>
                    <w:jc w:val="center"/>
                    <w:textAlignment w:val="bottom"/>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343" w:type="dxa"/>
                  <w:vAlign w:val="center"/>
                </w:tcPr>
                <w:p w14:paraId="6708973B">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2.5 </w:t>
                  </w:r>
                </w:p>
              </w:tc>
              <w:tc>
                <w:tcPr>
                  <w:tcW w:w="1224" w:type="dxa"/>
                  <w:vAlign w:val="bottom"/>
                </w:tcPr>
                <w:p w14:paraId="6518B301">
                  <w:pPr>
                    <w:keepNext w:val="0"/>
                    <w:keepLines w:val="0"/>
                    <w:widowControl/>
                    <w:suppressLineNumbers w:val="0"/>
                    <w:jc w:val="center"/>
                    <w:textAlignment w:val="bottom"/>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31.5 </w:t>
                  </w:r>
                </w:p>
              </w:tc>
              <w:tc>
                <w:tcPr>
                  <w:tcW w:w="1343" w:type="dxa"/>
                  <w:tcBorders>
                    <w:right w:val="single" w:color="auto" w:sz="4" w:space="0"/>
                  </w:tcBorders>
                  <w:vAlign w:val="center"/>
                </w:tcPr>
                <w:p w14:paraId="61E3EF5E">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100.09 </w:t>
                  </w:r>
                </w:p>
              </w:tc>
              <w:tc>
                <w:tcPr>
                  <w:tcW w:w="1140" w:type="dxa"/>
                  <w:tcBorders>
                    <w:left w:val="single" w:color="auto" w:sz="4" w:space="0"/>
                  </w:tcBorders>
                  <w:vAlign w:val="center"/>
                </w:tcPr>
                <w:p w14:paraId="731F544D">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67</w:t>
                  </w:r>
                </w:p>
              </w:tc>
            </w:tr>
            <w:tr w14:paraId="7A4EA0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77644B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p>
              </w:tc>
              <w:tc>
                <w:tcPr>
                  <w:tcW w:w="1111" w:type="dxa"/>
                  <w:vAlign w:val="center"/>
                </w:tcPr>
                <w:p w14:paraId="49E74C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kern w:val="0"/>
                      <w:sz w:val="21"/>
                      <w:szCs w:val="21"/>
                    </w:rPr>
                    <w:t>第二次</w:t>
                  </w:r>
                </w:p>
              </w:tc>
              <w:tc>
                <w:tcPr>
                  <w:tcW w:w="1148" w:type="dxa"/>
                  <w:vAlign w:val="bottom"/>
                </w:tcPr>
                <w:p w14:paraId="632DD076">
                  <w:pPr>
                    <w:keepNext w:val="0"/>
                    <w:keepLines w:val="0"/>
                    <w:widowControl/>
                    <w:suppressLineNumbers w:val="0"/>
                    <w:jc w:val="center"/>
                    <w:textAlignment w:val="bottom"/>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343" w:type="dxa"/>
                  <w:vAlign w:val="center"/>
                </w:tcPr>
                <w:p w14:paraId="3D03BDD7">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2.3 </w:t>
                  </w:r>
                </w:p>
              </w:tc>
              <w:tc>
                <w:tcPr>
                  <w:tcW w:w="1224" w:type="dxa"/>
                  <w:vAlign w:val="bottom"/>
                </w:tcPr>
                <w:p w14:paraId="5CB210C2">
                  <w:pPr>
                    <w:keepNext w:val="0"/>
                    <w:keepLines w:val="0"/>
                    <w:widowControl/>
                    <w:suppressLineNumbers w:val="0"/>
                    <w:jc w:val="center"/>
                    <w:textAlignment w:val="bottom"/>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35.2 </w:t>
                  </w:r>
                </w:p>
              </w:tc>
              <w:tc>
                <w:tcPr>
                  <w:tcW w:w="1343" w:type="dxa"/>
                  <w:tcBorders>
                    <w:right w:val="single" w:color="auto" w:sz="4" w:space="0"/>
                  </w:tcBorders>
                  <w:vAlign w:val="center"/>
                </w:tcPr>
                <w:p w14:paraId="01EA2A46">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100.02 </w:t>
                  </w:r>
                </w:p>
              </w:tc>
              <w:tc>
                <w:tcPr>
                  <w:tcW w:w="1140" w:type="dxa"/>
                  <w:tcBorders>
                    <w:left w:val="single" w:color="auto" w:sz="4" w:space="0"/>
                  </w:tcBorders>
                  <w:vAlign w:val="center"/>
                </w:tcPr>
                <w:p w14:paraId="68C6A87C">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65</w:t>
                  </w:r>
                </w:p>
              </w:tc>
            </w:tr>
            <w:tr w14:paraId="3A5A91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318B89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p>
              </w:tc>
              <w:tc>
                <w:tcPr>
                  <w:tcW w:w="1111" w:type="dxa"/>
                  <w:vAlign w:val="center"/>
                </w:tcPr>
                <w:p w14:paraId="733490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第三次</w:t>
                  </w:r>
                </w:p>
              </w:tc>
              <w:tc>
                <w:tcPr>
                  <w:tcW w:w="1148" w:type="dxa"/>
                  <w:vAlign w:val="bottom"/>
                </w:tcPr>
                <w:p w14:paraId="7B29B411">
                  <w:pPr>
                    <w:keepNext w:val="0"/>
                    <w:keepLines w:val="0"/>
                    <w:widowControl/>
                    <w:suppressLineNumbers w:val="0"/>
                    <w:jc w:val="center"/>
                    <w:textAlignment w:val="bottom"/>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343" w:type="dxa"/>
                  <w:vAlign w:val="center"/>
                </w:tcPr>
                <w:p w14:paraId="431CAA5B">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1.7 </w:t>
                  </w:r>
                </w:p>
              </w:tc>
              <w:tc>
                <w:tcPr>
                  <w:tcW w:w="1224" w:type="dxa"/>
                  <w:vAlign w:val="bottom"/>
                </w:tcPr>
                <w:p w14:paraId="1A3EA1BD">
                  <w:pPr>
                    <w:keepNext w:val="0"/>
                    <w:keepLines w:val="0"/>
                    <w:widowControl/>
                    <w:suppressLineNumbers w:val="0"/>
                    <w:jc w:val="center"/>
                    <w:textAlignment w:val="bottom"/>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33.4 </w:t>
                  </w:r>
                </w:p>
              </w:tc>
              <w:tc>
                <w:tcPr>
                  <w:tcW w:w="1343" w:type="dxa"/>
                  <w:tcBorders>
                    <w:right w:val="single" w:color="auto" w:sz="4" w:space="0"/>
                  </w:tcBorders>
                  <w:vAlign w:val="center"/>
                </w:tcPr>
                <w:p w14:paraId="5AC82EB3">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100.06 </w:t>
                  </w:r>
                </w:p>
              </w:tc>
              <w:tc>
                <w:tcPr>
                  <w:tcW w:w="1140" w:type="dxa"/>
                  <w:tcBorders>
                    <w:left w:val="single" w:color="auto" w:sz="4" w:space="0"/>
                  </w:tcBorders>
                  <w:vAlign w:val="center"/>
                </w:tcPr>
                <w:p w14:paraId="1BAD994B">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63</w:t>
                  </w:r>
                </w:p>
              </w:tc>
            </w:tr>
            <w:tr w14:paraId="0A2C19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95" w:type="dxa"/>
                  <w:vMerge w:val="restart"/>
                  <w:vAlign w:val="center"/>
                </w:tcPr>
                <w:p w14:paraId="205DF20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2025.04.18</w:t>
                  </w:r>
                </w:p>
              </w:tc>
              <w:tc>
                <w:tcPr>
                  <w:tcW w:w="1111" w:type="dxa"/>
                  <w:vAlign w:val="center"/>
                </w:tcPr>
                <w:p w14:paraId="6C3B16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第一次</w:t>
                  </w:r>
                </w:p>
              </w:tc>
              <w:tc>
                <w:tcPr>
                  <w:tcW w:w="1148" w:type="dxa"/>
                  <w:vAlign w:val="bottom"/>
                </w:tcPr>
                <w:p w14:paraId="0B8BD0E6">
                  <w:pPr>
                    <w:keepNext w:val="0"/>
                    <w:keepLines w:val="0"/>
                    <w:widowControl/>
                    <w:suppressLineNumbers w:val="0"/>
                    <w:jc w:val="center"/>
                    <w:textAlignment w:val="bottom"/>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343" w:type="dxa"/>
                  <w:vAlign w:val="center"/>
                </w:tcPr>
                <w:p w14:paraId="38E82339">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2.2 </w:t>
                  </w:r>
                </w:p>
              </w:tc>
              <w:tc>
                <w:tcPr>
                  <w:tcW w:w="1224" w:type="dxa"/>
                  <w:vAlign w:val="bottom"/>
                </w:tcPr>
                <w:p w14:paraId="5816FC28">
                  <w:pPr>
                    <w:keepNext w:val="0"/>
                    <w:keepLines w:val="0"/>
                    <w:widowControl/>
                    <w:suppressLineNumbers w:val="0"/>
                    <w:jc w:val="center"/>
                    <w:textAlignment w:val="bottom"/>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29.6 </w:t>
                  </w:r>
                </w:p>
              </w:tc>
              <w:tc>
                <w:tcPr>
                  <w:tcW w:w="1343" w:type="dxa"/>
                  <w:tcBorders>
                    <w:right w:val="single" w:color="auto" w:sz="4" w:space="0"/>
                  </w:tcBorders>
                  <w:vAlign w:val="center"/>
                </w:tcPr>
                <w:p w14:paraId="3CA4C054">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100.15 </w:t>
                  </w:r>
                </w:p>
              </w:tc>
              <w:tc>
                <w:tcPr>
                  <w:tcW w:w="1140" w:type="dxa"/>
                  <w:tcBorders>
                    <w:left w:val="single" w:color="auto" w:sz="4" w:space="0"/>
                  </w:tcBorders>
                  <w:vAlign w:val="center"/>
                </w:tcPr>
                <w:p w14:paraId="58CC9867">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70</w:t>
                  </w:r>
                </w:p>
              </w:tc>
            </w:tr>
            <w:tr w14:paraId="30D7EF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45C6C9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p>
              </w:tc>
              <w:tc>
                <w:tcPr>
                  <w:tcW w:w="1111" w:type="dxa"/>
                  <w:vAlign w:val="center"/>
                </w:tcPr>
                <w:p w14:paraId="25136FA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第二次</w:t>
                  </w:r>
                </w:p>
              </w:tc>
              <w:tc>
                <w:tcPr>
                  <w:tcW w:w="1148" w:type="dxa"/>
                  <w:vAlign w:val="bottom"/>
                </w:tcPr>
                <w:p w14:paraId="6805DBE8">
                  <w:pPr>
                    <w:keepNext w:val="0"/>
                    <w:keepLines w:val="0"/>
                    <w:widowControl/>
                    <w:suppressLineNumbers w:val="0"/>
                    <w:jc w:val="center"/>
                    <w:textAlignment w:val="bottom"/>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343" w:type="dxa"/>
                  <w:vAlign w:val="center"/>
                </w:tcPr>
                <w:p w14:paraId="103EC074">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1.8 </w:t>
                  </w:r>
                </w:p>
              </w:tc>
              <w:tc>
                <w:tcPr>
                  <w:tcW w:w="1224" w:type="dxa"/>
                  <w:vAlign w:val="bottom"/>
                </w:tcPr>
                <w:p w14:paraId="0E84AA14">
                  <w:pPr>
                    <w:keepNext w:val="0"/>
                    <w:keepLines w:val="0"/>
                    <w:widowControl/>
                    <w:suppressLineNumbers w:val="0"/>
                    <w:jc w:val="center"/>
                    <w:textAlignment w:val="bottom"/>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31.5 </w:t>
                  </w:r>
                </w:p>
              </w:tc>
              <w:tc>
                <w:tcPr>
                  <w:tcW w:w="1343" w:type="dxa"/>
                  <w:tcBorders>
                    <w:right w:val="single" w:color="auto" w:sz="4" w:space="0"/>
                  </w:tcBorders>
                  <w:vAlign w:val="center"/>
                </w:tcPr>
                <w:p w14:paraId="4851E6C5">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100.13 </w:t>
                  </w:r>
                </w:p>
              </w:tc>
              <w:tc>
                <w:tcPr>
                  <w:tcW w:w="1140" w:type="dxa"/>
                  <w:tcBorders>
                    <w:left w:val="single" w:color="auto" w:sz="4" w:space="0"/>
                  </w:tcBorders>
                  <w:vAlign w:val="center"/>
                </w:tcPr>
                <w:p w14:paraId="5CEFFF5B">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72</w:t>
                  </w:r>
                </w:p>
              </w:tc>
            </w:tr>
            <w:tr w14:paraId="5F61EF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406353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sz w:val="21"/>
                      <w:szCs w:val="21"/>
                    </w:rPr>
                  </w:pPr>
                </w:p>
              </w:tc>
              <w:tc>
                <w:tcPr>
                  <w:tcW w:w="1111" w:type="dxa"/>
                  <w:vAlign w:val="center"/>
                </w:tcPr>
                <w:p w14:paraId="777F41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第三次</w:t>
                  </w:r>
                </w:p>
              </w:tc>
              <w:tc>
                <w:tcPr>
                  <w:tcW w:w="1148" w:type="dxa"/>
                  <w:vAlign w:val="bottom"/>
                </w:tcPr>
                <w:p w14:paraId="3C2AE637">
                  <w:pPr>
                    <w:keepNext w:val="0"/>
                    <w:keepLines w:val="0"/>
                    <w:widowControl/>
                    <w:suppressLineNumbers w:val="0"/>
                    <w:jc w:val="center"/>
                    <w:textAlignment w:val="bottom"/>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东南</w:t>
                  </w:r>
                </w:p>
              </w:tc>
              <w:tc>
                <w:tcPr>
                  <w:tcW w:w="1343" w:type="dxa"/>
                  <w:vAlign w:val="center"/>
                </w:tcPr>
                <w:p w14:paraId="05CFF522">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1.6 </w:t>
                  </w:r>
                </w:p>
              </w:tc>
              <w:tc>
                <w:tcPr>
                  <w:tcW w:w="1224" w:type="dxa"/>
                  <w:vAlign w:val="bottom"/>
                </w:tcPr>
                <w:p w14:paraId="737C60B0">
                  <w:pPr>
                    <w:keepNext w:val="0"/>
                    <w:keepLines w:val="0"/>
                    <w:widowControl/>
                    <w:suppressLineNumbers w:val="0"/>
                    <w:jc w:val="center"/>
                    <w:textAlignment w:val="bottom"/>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33.2 </w:t>
                  </w:r>
                </w:p>
              </w:tc>
              <w:tc>
                <w:tcPr>
                  <w:tcW w:w="1343" w:type="dxa"/>
                  <w:tcBorders>
                    <w:right w:val="single" w:color="auto" w:sz="4" w:space="0"/>
                  </w:tcBorders>
                  <w:vAlign w:val="center"/>
                </w:tcPr>
                <w:p w14:paraId="513255BB">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100.07 </w:t>
                  </w:r>
                </w:p>
              </w:tc>
              <w:tc>
                <w:tcPr>
                  <w:tcW w:w="1140" w:type="dxa"/>
                  <w:tcBorders>
                    <w:left w:val="single" w:color="auto" w:sz="4" w:space="0"/>
                  </w:tcBorders>
                  <w:vAlign w:val="center"/>
                </w:tcPr>
                <w:p w14:paraId="5EA3C783">
                  <w:pPr>
                    <w:keepNext w:val="0"/>
                    <w:keepLines w:val="0"/>
                    <w:widowControl/>
                    <w:suppressLineNumbers w:val="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72</w:t>
                  </w:r>
                </w:p>
              </w:tc>
            </w:tr>
          </w:tbl>
          <w:p w14:paraId="5351A924">
            <w:pPr>
              <w:pStyle w:val="36"/>
              <w:snapToGrid w:val="0"/>
              <w:spacing w:line="500" w:lineRule="exact"/>
              <w:jc w:val="center"/>
              <w:rPr>
                <w:rFonts w:ascii="Times New Roman"/>
                <w:b/>
                <w:bCs/>
                <w:szCs w:val="24"/>
              </w:rPr>
            </w:pPr>
            <w:r>
              <w:rPr>
                <w:rFonts w:ascii="Times New Roman"/>
                <w:b/>
                <w:bCs/>
                <w:color w:val="auto"/>
                <w:szCs w:val="24"/>
              </w:rPr>
              <w:t>表7-</w:t>
            </w:r>
            <w:r>
              <w:rPr>
                <w:rFonts w:hint="eastAsia" w:ascii="Times New Roman"/>
                <w:b/>
                <w:bCs/>
                <w:color w:val="auto"/>
                <w:szCs w:val="24"/>
                <w:lang w:val="en-US" w:eastAsia="zh-CN"/>
              </w:rPr>
              <w:t>7</w:t>
            </w:r>
            <w:r>
              <w:rPr>
                <w:rFonts w:hint="eastAsia" w:ascii="Times New Roman"/>
                <w:b/>
                <w:bCs/>
                <w:color w:val="auto"/>
                <w:szCs w:val="24"/>
              </w:rPr>
              <w:t>厂界无组织废气</w:t>
            </w:r>
            <w:r>
              <w:rPr>
                <w:rFonts w:ascii="Times New Roman"/>
                <w:b/>
                <w:bCs/>
                <w:color w:val="auto"/>
                <w:szCs w:val="24"/>
              </w:rPr>
              <w:t>监测结果</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5"/>
              <w:gridCol w:w="1455"/>
              <w:gridCol w:w="1275"/>
              <w:gridCol w:w="2220"/>
              <w:gridCol w:w="2359"/>
            </w:tblGrid>
            <w:tr w14:paraId="13E31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restart"/>
                  <w:vAlign w:val="center"/>
                </w:tcPr>
                <w:p w14:paraId="4EBC1768">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日期</w:t>
                  </w:r>
                </w:p>
              </w:tc>
              <w:tc>
                <w:tcPr>
                  <w:tcW w:w="1455" w:type="dxa"/>
                  <w:vMerge w:val="restart"/>
                  <w:vAlign w:val="center"/>
                </w:tcPr>
                <w:p w14:paraId="672B811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1275" w:type="dxa"/>
                  <w:vMerge w:val="restart"/>
                  <w:vAlign w:val="center"/>
                </w:tcPr>
                <w:p w14:paraId="6E55693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频次</w:t>
                  </w:r>
                </w:p>
              </w:tc>
              <w:tc>
                <w:tcPr>
                  <w:tcW w:w="4579" w:type="dxa"/>
                  <w:gridSpan w:val="2"/>
                  <w:vAlign w:val="center"/>
                </w:tcPr>
                <w:p w14:paraId="03F98A95">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监测项目</w:t>
                  </w:r>
                  <w:r>
                    <w:rPr>
                      <w:rFonts w:hint="default" w:ascii="Times New Roman" w:hAnsi="Times New Roman" w:eastAsia="宋体" w:cs="Times New Roman"/>
                      <w:color w:val="auto"/>
                      <w:kern w:val="0"/>
                      <w:sz w:val="21"/>
                      <w:szCs w:val="21"/>
                    </w:rPr>
                    <w:t xml:space="preserve">及结果  </w:t>
                  </w:r>
                </w:p>
              </w:tc>
            </w:tr>
            <w:tr w14:paraId="2E818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0D9E684E">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1455" w:type="dxa"/>
                  <w:vMerge w:val="continue"/>
                  <w:vAlign w:val="center"/>
                </w:tcPr>
                <w:p w14:paraId="498266A4">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1275" w:type="dxa"/>
                  <w:vMerge w:val="continue"/>
                  <w:vAlign w:val="center"/>
                </w:tcPr>
                <w:p w14:paraId="07CA6823">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p>
              </w:tc>
              <w:tc>
                <w:tcPr>
                  <w:tcW w:w="2220" w:type="dxa"/>
                  <w:vAlign w:val="center"/>
                </w:tcPr>
                <w:p w14:paraId="0673B078">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非甲烷总烃</w:t>
                  </w:r>
                </w:p>
              </w:tc>
              <w:tc>
                <w:tcPr>
                  <w:tcW w:w="2359" w:type="dxa"/>
                  <w:vAlign w:val="center"/>
                </w:tcPr>
                <w:p w14:paraId="69C0C67B">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臭气浓度（无量纲）</w:t>
                  </w:r>
                </w:p>
              </w:tc>
            </w:tr>
            <w:tr w14:paraId="3497F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restart"/>
                  <w:vAlign w:val="center"/>
                </w:tcPr>
                <w:p w14:paraId="26EF3C43">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lang w:val="en-US"/>
                    </w:rPr>
                  </w:pPr>
                  <w:r>
                    <w:rPr>
                      <w:rFonts w:hint="default" w:ascii="Times New Roman" w:hAnsi="Times New Roman" w:eastAsia="宋体" w:cs="Times New Roman"/>
                      <w:color w:val="auto"/>
                      <w:sz w:val="21"/>
                      <w:szCs w:val="21"/>
                      <w:lang w:val="en-US" w:eastAsia="zh-CN"/>
                    </w:rPr>
                    <w:t>2025.04.17</w:t>
                  </w:r>
                </w:p>
              </w:tc>
              <w:tc>
                <w:tcPr>
                  <w:tcW w:w="1455" w:type="dxa"/>
                  <w:vMerge w:val="restart"/>
                  <w:vAlign w:val="center"/>
                </w:tcPr>
                <w:p w14:paraId="55DF28D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1#厂界上风向参照点</w:t>
                  </w:r>
                </w:p>
              </w:tc>
              <w:tc>
                <w:tcPr>
                  <w:tcW w:w="1275" w:type="dxa"/>
                  <w:vAlign w:val="center"/>
                </w:tcPr>
                <w:p w14:paraId="6E97D862">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2220" w:type="dxa"/>
                  <w:vAlign w:val="center"/>
                </w:tcPr>
                <w:p w14:paraId="12EA7DF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0.19</w:t>
                  </w:r>
                </w:p>
              </w:tc>
              <w:tc>
                <w:tcPr>
                  <w:tcW w:w="2359" w:type="dxa"/>
                  <w:vAlign w:val="center"/>
                </w:tcPr>
                <w:p w14:paraId="1548EA17">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&lt;10</w:t>
                  </w:r>
                </w:p>
              </w:tc>
            </w:tr>
            <w:tr w14:paraId="2A2B5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2AC9FD5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13116AA4">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7610BAE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2220" w:type="dxa"/>
                  <w:vAlign w:val="center"/>
                </w:tcPr>
                <w:p w14:paraId="72ABA53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0.17</w:t>
                  </w:r>
                </w:p>
              </w:tc>
              <w:tc>
                <w:tcPr>
                  <w:tcW w:w="2359" w:type="dxa"/>
                  <w:vAlign w:val="center"/>
                </w:tcPr>
                <w:p w14:paraId="397AF0B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&lt;10</w:t>
                  </w:r>
                </w:p>
              </w:tc>
            </w:tr>
            <w:tr w14:paraId="28248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63E2C7E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18DDE024">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64C45906">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2220" w:type="dxa"/>
                  <w:vAlign w:val="center"/>
                </w:tcPr>
                <w:p w14:paraId="66369CFC">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0.15</w:t>
                  </w:r>
                </w:p>
              </w:tc>
              <w:tc>
                <w:tcPr>
                  <w:tcW w:w="2359" w:type="dxa"/>
                  <w:vAlign w:val="center"/>
                </w:tcPr>
                <w:p w14:paraId="49770B7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&lt;10</w:t>
                  </w:r>
                </w:p>
              </w:tc>
            </w:tr>
            <w:tr w14:paraId="5852A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4FDA1BE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restart"/>
                  <w:vAlign w:val="center"/>
                </w:tcPr>
                <w:p w14:paraId="3E7AB255">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2#厂界下风向监控点</w:t>
                  </w:r>
                </w:p>
              </w:tc>
              <w:tc>
                <w:tcPr>
                  <w:tcW w:w="1275" w:type="dxa"/>
                  <w:vAlign w:val="center"/>
                </w:tcPr>
                <w:p w14:paraId="44A57E6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2220" w:type="dxa"/>
                  <w:vAlign w:val="center"/>
                </w:tcPr>
                <w:p w14:paraId="6A23EDE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0.32</w:t>
                  </w:r>
                </w:p>
              </w:tc>
              <w:tc>
                <w:tcPr>
                  <w:tcW w:w="2359" w:type="dxa"/>
                  <w:vAlign w:val="center"/>
                </w:tcPr>
                <w:p w14:paraId="50BA384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r>
            <w:tr w14:paraId="45348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51CF80D6">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435D3C52">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6F8DAF9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2220" w:type="dxa"/>
                  <w:vAlign w:val="center"/>
                </w:tcPr>
                <w:p w14:paraId="3C2A4FF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0.34</w:t>
                  </w:r>
                </w:p>
              </w:tc>
              <w:tc>
                <w:tcPr>
                  <w:tcW w:w="2359" w:type="dxa"/>
                  <w:vAlign w:val="center"/>
                </w:tcPr>
                <w:p w14:paraId="1711848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w:t>
                  </w:r>
                </w:p>
              </w:tc>
            </w:tr>
            <w:tr w14:paraId="173B9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572F0EB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514E2B7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57975323">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2220" w:type="dxa"/>
                  <w:vAlign w:val="center"/>
                </w:tcPr>
                <w:p w14:paraId="2A8C59E9">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0.33</w:t>
                  </w:r>
                </w:p>
              </w:tc>
              <w:tc>
                <w:tcPr>
                  <w:tcW w:w="2359" w:type="dxa"/>
                  <w:vAlign w:val="center"/>
                </w:tcPr>
                <w:p w14:paraId="2506EF2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r>
            <w:tr w14:paraId="38419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397E6D98">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restart"/>
                  <w:vAlign w:val="center"/>
                </w:tcPr>
                <w:p w14:paraId="767FC08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3#厂界下风向监控点</w:t>
                  </w:r>
                </w:p>
              </w:tc>
              <w:tc>
                <w:tcPr>
                  <w:tcW w:w="1275" w:type="dxa"/>
                  <w:vAlign w:val="center"/>
                </w:tcPr>
                <w:p w14:paraId="7485005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2220" w:type="dxa"/>
                  <w:vAlign w:val="center"/>
                </w:tcPr>
                <w:p w14:paraId="33E8F5B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0.34</w:t>
                  </w:r>
                </w:p>
              </w:tc>
              <w:tc>
                <w:tcPr>
                  <w:tcW w:w="2359" w:type="dxa"/>
                  <w:vAlign w:val="center"/>
                </w:tcPr>
                <w:p w14:paraId="1A4C170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w:t>
                  </w:r>
                </w:p>
              </w:tc>
            </w:tr>
            <w:tr w14:paraId="13CB1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7A0FE46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1E0E49E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6393C866">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2220" w:type="dxa"/>
                  <w:vAlign w:val="center"/>
                </w:tcPr>
                <w:p w14:paraId="4705AAF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0.34</w:t>
                  </w:r>
                </w:p>
              </w:tc>
              <w:tc>
                <w:tcPr>
                  <w:tcW w:w="2359" w:type="dxa"/>
                  <w:vAlign w:val="center"/>
                </w:tcPr>
                <w:p w14:paraId="32E6F0E3">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r>
            <w:tr w14:paraId="1C44D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40754FB4">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6132361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3830B70A">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2220" w:type="dxa"/>
                  <w:vAlign w:val="center"/>
                </w:tcPr>
                <w:p w14:paraId="627AF5F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0.33</w:t>
                  </w:r>
                </w:p>
              </w:tc>
              <w:tc>
                <w:tcPr>
                  <w:tcW w:w="2359" w:type="dxa"/>
                  <w:vAlign w:val="center"/>
                </w:tcPr>
                <w:p w14:paraId="3440D39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w:t>
                  </w:r>
                </w:p>
              </w:tc>
            </w:tr>
            <w:tr w14:paraId="1E5A2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49A707A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restart"/>
                  <w:vAlign w:val="center"/>
                </w:tcPr>
                <w:p w14:paraId="1CFEFF8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4#厂界下风向监控点</w:t>
                  </w:r>
                </w:p>
              </w:tc>
              <w:tc>
                <w:tcPr>
                  <w:tcW w:w="1275" w:type="dxa"/>
                  <w:vAlign w:val="center"/>
                </w:tcPr>
                <w:p w14:paraId="592F6D6C">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2220" w:type="dxa"/>
                  <w:vAlign w:val="center"/>
                </w:tcPr>
                <w:p w14:paraId="186DA37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0.53</w:t>
                  </w:r>
                </w:p>
              </w:tc>
              <w:tc>
                <w:tcPr>
                  <w:tcW w:w="2359" w:type="dxa"/>
                  <w:vAlign w:val="center"/>
                </w:tcPr>
                <w:p w14:paraId="3C75566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r>
            <w:tr w14:paraId="5186F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420C34D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45B3464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131099D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2220" w:type="dxa"/>
                  <w:vAlign w:val="center"/>
                </w:tcPr>
                <w:p w14:paraId="119E184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0.38</w:t>
                  </w:r>
                </w:p>
              </w:tc>
              <w:tc>
                <w:tcPr>
                  <w:tcW w:w="2359" w:type="dxa"/>
                  <w:vAlign w:val="center"/>
                </w:tcPr>
                <w:p w14:paraId="33E83FA2">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r>
            <w:tr w14:paraId="33C59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3C8A72D2">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22F0294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2EC7A49D">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2220" w:type="dxa"/>
                  <w:vAlign w:val="center"/>
                </w:tcPr>
                <w:p w14:paraId="6226D29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0.36</w:t>
                  </w:r>
                </w:p>
              </w:tc>
              <w:tc>
                <w:tcPr>
                  <w:tcW w:w="2359" w:type="dxa"/>
                  <w:vAlign w:val="center"/>
                </w:tcPr>
                <w:p w14:paraId="0C1DD5E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w:t>
                  </w:r>
                </w:p>
              </w:tc>
            </w:tr>
            <w:tr w14:paraId="026E7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35EBC7F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2730" w:type="dxa"/>
                  <w:gridSpan w:val="2"/>
                  <w:vAlign w:val="center"/>
                </w:tcPr>
                <w:p w14:paraId="6EFC5516">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周界外浓度最高点</w:t>
                  </w:r>
                </w:p>
              </w:tc>
              <w:tc>
                <w:tcPr>
                  <w:tcW w:w="2220" w:type="dxa"/>
                  <w:vAlign w:val="center"/>
                </w:tcPr>
                <w:p w14:paraId="0E3C555A">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0.53</w:t>
                  </w:r>
                </w:p>
              </w:tc>
              <w:tc>
                <w:tcPr>
                  <w:tcW w:w="2359" w:type="dxa"/>
                  <w:vAlign w:val="center"/>
                </w:tcPr>
                <w:p w14:paraId="01E33C25">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16</w:t>
                  </w:r>
                </w:p>
              </w:tc>
            </w:tr>
            <w:tr w14:paraId="33E83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40EBA884">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2730" w:type="dxa"/>
                  <w:gridSpan w:val="2"/>
                  <w:tcBorders>
                    <w:bottom w:val="single" w:color="auto" w:sz="4" w:space="0"/>
                  </w:tcBorders>
                  <w:vAlign w:val="center"/>
                </w:tcPr>
                <w:p w14:paraId="0E0EF14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标准限值</w:t>
                  </w:r>
                </w:p>
              </w:tc>
              <w:tc>
                <w:tcPr>
                  <w:tcW w:w="2220" w:type="dxa"/>
                  <w:vAlign w:val="center"/>
                </w:tcPr>
                <w:p w14:paraId="2348516C">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4.0</w:t>
                  </w:r>
                </w:p>
              </w:tc>
              <w:tc>
                <w:tcPr>
                  <w:tcW w:w="2359" w:type="dxa"/>
                  <w:vAlign w:val="center"/>
                </w:tcPr>
                <w:p w14:paraId="677FEFC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w:t>
                  </w:r>
                </w:p>
              </w:tc>
            </w:tr>
            <w:tr w14:paraId="66623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tcBorders>
                    <w:bottom w:val="single" w:color="auto" w:sz="4" w:space="0"/>
                  </w:tcBorders>
                  <w:vAlign w:val="center"/>
                </w:tcPr>
                <w:p w14:paraId="466CD4F7">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2730" w:type="dxa"/>
                  <w:gridSpan w:val="2"/>
                  <w:tcBorders>
                    <w:bottom w:val="single" w:color="auto" w:sz="4" w:space="0"/>
                  </w:tcBorders>
                  <w:vAlign w:val="center"/>
                </w:tcPr>
                <w:p w14:paraId="4EE095A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结果评价</w:t>
                  </w:r>
                </w:p>
              </w:tc>
              <w:tc>
                <w:tcPr>
                  <w:tcW w:w="2220" w:type="dxa"/>
                  <w:vAlign w:val="center"/>
                </w:tcPr>
                <w:p w14:paraId="3779EEB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c>
                <w:tcPr>
                  <w:tcW w:w="2359" w:type="dxa"/>
                  <w:vAlign w:val="center"/>
                </w:tcPr>
                <w:p w14:paraId="7843FF6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达标</w:t>
                  </w:r>
                </w:p>
              </w:tc>
            </w:tr>
            <w:tr w14:paraId="7DDF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restart"/>
                  <w:vAlign w:val="center"/>
                </w:tcPr>
                <w:p w14:paraId="4D4BCB7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lang w:val="en-US"/>
                    </w:rPr>
                  </w:pPr>
                  <w:r>
                    <w:rPr>
                      <w:rFonts w:hint="default" w:ascii="Times New Roman" w:hAnsi="Times New Roman" w:eastAsia="宋体" w:cs="Times New Roman"/>
                      <w:color w:val="auto"/>
                      <w:sz w:val="21"/>
                      <w:szCs w:val="21"/>
                      <w:lang w:eastAsia="zh-CN"/>
                    </w:rPr>
                    <w:t xml:space="preserve"> </w:t>
                  </w:r>
                  <w:r>
                    <w:rPr>
                      <w:rFonts w:hint="default" w:ascii="Times New Roman" w:hAnsi="Times New Roman" w:eastAsia="宋体" w:cs="Times New Roman"/>
                      <w:color w:val="auto"/>
                      <w:sz w:val="21"/>
                      <w:szCs w:val="21"/>
                      <w:lang w:val="en-US" w:eastAsia="zh-CN"/>
                    </w:rPr>
                    <w:t>2025.04.18</w:t>
                  </w:r>
                </w:p>
              </w:tc>
              <w:tc>
                <w:tcPr>
                  <w:tcW w:w="1455" w:type="dxa"/>
                  <w:vMerge w:val="restart"/>
                  <w:vAlign w:val="center"/>
                </w:tcPr>
                <w:p w14:paraId="28E8008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1#厂界上风向参照点</w:t>
                  </w:r>
                </w:p>
              </w:tc>
              <w:tc>
                <w:tcPr>
                  <w:tcW w:w="1275" w:type="dxa"/>
                  <w:vAlign w:val="center"/>
                </w:tcPr>
                <w:p w14:paraId="76704C8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2220" w:type="dxa"/>
                  <w:vAlign w:val="center"/>
                </w:tcPr>
                <w:p w14:paraId="7DF98CD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0.21</w:t>
                  </w:r>
                </w:p>
              </w:tc>
              <w:tc>
                <w:tcPr>
                  <w:tcW w:w="2359" w:type="dxa"/>
                  <w:vAlign w:val="center"/>
                </w:tcPr>
                <w:p w14:paraId="75A1769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&lt;10</w:t>
                  </w:r>
                </w:p>
              </w:tc>
            </w:tr>
            <w:tr w14:paraId="61FD3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1879BC8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5EFF4CD0">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1AEB0534">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2220" w:type="dxa"/>
                  <w:vAlign w:val="center"/>
                </w:tcPr>
                <w:p w14:paraId="03136D7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0.18</w:t>
                  </w:r>
                </w:p>
              </w:tc>
              <w:tc>
                <w:tcPr>
                  <w:tcW w:w="2359" w:type="dxa"/>
                  <w:vAlign w:val="center"/>
                </w:tcPr>
                <w:p w14:paraId="460D20D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&lt;10</w:t>
                  </w:r>
                </w:p>
              </w:tc>
            </w:tr>
            <w:tr w14:paraId="0537E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593A236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7A5F0167">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30988D7E">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2220" w:type="dxa"/>
                  <w:vAlign w:val="center"/>
                </w:tcPr>
                <w:p w14:paraId="0435C62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0.20</w:t>
                  </w:r>
                </w:p>
              </w:tc>
              <w:tc>
                <w:tcPr>
                  <w:tcW w:w="2359" w:type="dxa"/>
                  <w:vAlign w:val="center"/>
                </w:tcPr>
                <w:p w14:paraId="1164A7B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&lt;10</w:t>
                  </w:r>
                </w:p>
              </w:tc>
            </w:tr>
            <w:tr w14:paraId="0A746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13093D06">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restart"/>
                  <w:vAlign w:val="center"/>
                </w:tcPr>
                <w:p w14:paraId="3AB37DB7">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rPr>
                    <w:t>2#厂界下风向监控点</w:t>
                  </w:r>
                </w:p>
              </w:tc>
              <w:tc>
                <w:tcPr>
                  <w:tcW w:w="1275" w:type="dxa"/>
                  <w:vAlign w:val="center"/>
                </w:tcPr>
                <w:p w14:paraId="69F4658E">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2220" w:type="dxa"/>
                  <w:vAlign w:val="center"/>
                </w:tcPr>
                <w:p w14:paraId="432B615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0.54</w:t>
                  </w:r>
                </w:p>
              </w:tc>
              <w:tc>
                <w:tcPr>
                  <w:tcW w:w="2359" w:type="dxa"/>
                  <w:vAlign w:val="center"/>
                </w:tcPr>
                <w:p w14:paraId="02348B9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w:t>
                  </w:r>
                </w:p>
              </w:tc>
            </w:tr>
            <w:tr w14:paraId="5601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79647544">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4306DC6F">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463A147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2220" w:type="dxa"/>
                  <w:vAlign w:val="center"/>
                </w:tcPr>
                <w:p w14:paraId="51926F7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0.57</w:t>
                  </w:r>
                </w:p>
              </w:tc>
              <w:tc>
                <w:tcPr>
                  <w:tcW w:w="2359" w:type="dxa"/>
                  <w:vAlign w:val="center"/>
                </w:tcPr>
                <w:p w14:paraId="0C5A8AD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r>
            <w:tr w14:paraId="41439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10129E7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3B2FE61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176B036E">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2220" w:type="dxa"/>
                  <w:vAlign w:val="center"/>
                </w:tcPr>
                <w:p w14:paraId="774B620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0.52</w:t>
                  </w:r>
                </w:p>
              </w:tc>
              <w:tc>
                <w:tcPr>
                  <w:tcW w:w="2359" w:type="dxa"/>
                  <w:vAlign w:val="center"/>
                </w:tcPr>
                <w:p w14:paraId="07B2F740">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w:t>
                  </w:r>
                </w:p>
              </w:tc>
            </w:tr>
            <w:tr w14:paraId="37AF9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6C80D636">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restart"/>
                  <w:vAlign w:val="center"/>
                </w:tcPr>
                <w:p w14:paraId="3399ED96">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3#厂界下风向监控点</w:t>
                  </w:r>
                </w:p>
              </w:tc>
              <w:tc>
                <w:tcPr>
                  <w:tcW w:w="1275" w:type="dxa"/>
                  <w:vAlign w:val="center"/>
                </w:tcPr>
                <w:p w14:paraId="00459A2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2220" w:type="dxa"/>
                  <w:vAlign w:val="center"/>
                </w:tcPr>
                <w:p w14:paraId="5C29308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0.41</w:t>
                  </w:r>
                </w:p>
              </w:tc>
              <w:tc>
                <w:tcPr>
                  <w:tcW w:w="2359" w:type="dxa"/>
                  <w:vAlign w:val="center"/>
                </w:tcPr>
                <w:p w14:paraId="0730FFA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r>
            <w:tr w14:paraId="22C3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1EA1A63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755A357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035BEEE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2220" w:type="dxa"/>
                  <w:vAlign w:val="center"/>
                </w:tcPr>
                <w:p w14:paraId="17D009EF">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0.42</w:t>
                  </w:r>
                </w:p>
              </w:tc>
              <w:tc>
                <w:tcPr>
                  <w:tcW w:w="2359" w:type="dxa"/>
                  <w:vAlign w:val="center"/>
                </w:tcPr>
                <w:p w14:paraId="781AFD3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12</w:t>
                  </w:r>
                </w:p>
              </w:tc>
            </w:tr>
            <w:tr w14:paraId="5D4F8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1A97B86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28123C2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212D1808">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2220" w:type="dxa"/>
                  <w:vAlign w:val="center"/>
                </w:tcPr>
                <w:p w14:paraId="74137C36">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0.44</w:t>
                  </w:r>
                </w:p>
              </w:tc>
              <w:tc>
                <w:tcPr>
                  <w:tcW w:w="2359" w:type="dxa"/>
                  <w:vAlign w:val="center"/>
                </w:tcPr>
                <w:p w14:paraId="161FE1E8">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w:t>
                  </w:r>
                </w:p>
              </w:tc>
            </w:tr>
            <w:tr w14:paraId="4AAD1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2F2EE597">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restart"/>
                  <w:vAlign w:val="center"/>
                </w:tcPr>
                <w:p w14:paraId="140CB7C4">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4#厂界下风向监控点</w:t>
                  </w:r>
                </w:p>
              </w:tc>
              <w:tc>
                <w:tcPr>
                  <w:tcW w:w="1275" w:type="dxa"/>
                  <w:vAlign w:val="center"/>
                </w:tcPr>
                <w:p w14:paraId="5729C26C">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2220" w:type="dxa"/>
                  <w:vAlign w:val="center"/>
                </w:tcPr>
                <w:p w14:paraId="000F2514">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0.34</w:t>
                  </w:r>
                </w:p>
              </w:tc>
              <w:tc>
                <w:tcPr>
                  <w:tcW w:w="2359" w:type="dxa"/>
                  <w:vAlign w:val="center"/>
                </w:tcPr>
                <w:p w14:paraId="1595052E">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r>
            <w:tr w14:paraId="41C5D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4A3D246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600CA26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35E539D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2220" w:type="dxa"/>
                  <w:vAlign w:val="center"/>
                </w:tcPr>
                <w:p w14:paraId="1379671B">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0.34</w:t>
                  </w:r>
                </w:p>
              </w:tc>
              <w:tc>
                <w:tcPr>
                  <w:tcW w:w="2359" w:type="dxa"/>
                  <w:vAlign w:val="center"/>
                </w:tcPr>
                <w:p w14:paraId="3C3B609D">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w:t>
                  </w:r>
                </w:p>
              </w:tc>
            </w:tr>
            <w:tr w14:paraId="4B023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6DE4BBC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455" w:type="dxa"/>
                  <w:vMerge w:val="continue"/>
                  <w:vAlign w:val="center"/>
                </w:tcPr>
                <w:p w14:paraId="4E6AD75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1275" w:type="dxa"/>
                  <w:vAlign w:val="center"/>
                </w:tcPr>
                <w:p w14:paraId="5B560BB2">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2220" w:type="dxa"/>
                  <w:vAlign w:val="center"/>
                </w:tcPr>
                <w:p w14:paraId="1F507F01">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0.35</w:t>
                  </w:r>
                </w:p>
              </w:tc>
              <w:tc>
                <w:tcPr>
                  <w:tcW w:w="2359" w:type="dxa"/>
                  <w:vAlign w:val="center"/>
                </w:tcPr>
                <w:p w14:paraId="2F1F2BF5">
                  <w:pPr>
                    <w:keepNext w:val="0"/>
                    <w:keepLines w:val="0"/>
                    <w:pageBreakBefore w:val="0"/>
                    <w:widowControl/>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w:t>
                  </w:r>
                </w:p>
              </w:tc>
            </w:tr>
            <w:tr w14:paraId="51C85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34F3E565">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2730" w:type="dxa"/>
                  <w:gridSpan w:val="2"/>
                  <w:vAlign w:val="center"/>
                </w:tcPr>
                <w:p w14:paraId="4D6F4DD9">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周界外浓度最高点</w:t>
                  </w:r>
                </w:p>
              </w:tc>
              <w:tc>
                <w:tcPr>
                  <w:tcW w:w="2220" w:type="dxa"/>
                  <w:vAlign w:val="center"/>
                </w:tcPr>
                <w:p w14:paraId="754F5FA4">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0.57</w:t>
                  </w:r>
                </w:p>
              </w:tc>
              <w:tc>
                <w:tcPr>
                  <w:tcW w:w="2359" w:type="dxa"/>
                  <w:vAlign w:val="center"/>
                </w:tcPr>
                <w:p w14:paraId="118D7BD3">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16</w:t>
                  </w:r>
                </w:p>
              </w:tc>
            </w:tr>
            <w:tr w14:paraId="3E09F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vAlign w:val="center"/>
                </w:tcPr>
                <w:p w14:paraId="7B7D2AB1">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2730" w:type="dxa"/>
                  <w:gridSpan w:val="2"/>
                  <w:tcBorders>
                    <w:bottom w:val="single" w:color="auto" w:sz="4" w:space="0"/>
                  </w:tcBorders>
                  <w:vAlign w:val="center"/>
                </w:tcPr>
                <w:p w14:paraId="03CA589D">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标准限值</w:t>
                  </w:r>
                </w:p>
              </w:tc>
              <w:tc>
                <w:tcPr>
                  <w:tcW w:w="2220" w:type="dxa"/>
                  <w:vAlign w:val="center"/>
                </w:tcPr>
                <w:p w14:paraId="2DBC80C3">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4.0</w:t>
                  </w:r>
                </w:p>
              </w:tc>
              <w:tc>
                <w:tcPr>
                  <w:tcW w:w="2359" w:type="dxa"/>
                  <w:vAlign w:val="center"/>
                </w:tcPr>
                <w:p w14:paraId="7718209A">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w:t>
                  </w:r>
                </w:p>
              </w:tc>
            </w:tr>
            <w:tr w14:paraId="20B07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5" w:type="dxa"/>
                  <w:vMerge w:val="continue"/>
                  <w:tcBorders>
                    <w:bottom w:val="single" w:color="auto" w:sz="4" w:space="0"/>
                  </w:tcBorders>
                  <w:vAlign w:val="center"/>
                </w:tcPr>
                <w:p w14:paraId="521A9E5B">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p>
              </w:tc>
              <w:tc>
                <w:tcPr>
                  <w:tcW w:w="2730" w:type="dxa"/>
                  <w:gridSpan w:val="2"/>
                  <w:tcBorders>
                    <w:bottom w:val="single" w:color="auto" w:sz="4" w:space="0"/>
                  </w:tcBorders>
                  <w:vAlign w:val="center"/>
                </w:tcPr>
                <w:p w14:paraId="2095FB9C">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结果评价</w:t>
                  </w:r>
                </w:p>
              </w:tc>
              <w:tc>
                <w:tcPr>
                  <w:tcW w:w="2220" w:type="dxa"/>
                  <w:vAlign w:val="center"/>
                </w:tcPr>
                <w:p w14:paraId="24D95E22">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c>
                <w:tcPr>
                  <w:tcW w:w="2359" w:type="dxa"/>
                  <w:vAlign w:val="center"/>
                </w:tcPr>
                <w:p w14:paraId="358C38B2">
                  <w:pPr>
                    <w:keepNext w:val="0"/>
                    <w:keepLines w:val="0"/>
                    <w:pageBreakBefore w:val="0"/>
                    <w:widowControl/>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达标</w:t>
                  </w:r>
                </w:p>
              </w:tc>
            </w:tr>
          </w:tbl>
          <w:p w14:paraId="03F29F5D">
            <w:pPr>
              <w:pStyle w:val="36"/>
              <w:snapToGrid w:val="0"/>
              <w:spacing w:line="500" w:lineRule="exact"/>
              <w:ind w:firstLine="480" w:firstLineChars="200"/>
              <w:rPr>
                <w:rFonts w:hint="default" w:ascii="Times New Roman" w:hAnsi="Times New Roman" w:eastAsia="宋体" w:cs="Times New Roman"/>
                <w:b w:val="0"/>
                <w:bCs/>
                <w:color w:val="auto"/>
                <w:kern w:val="2"/>
                <w:sz w:val="24"/>
                <w:szCs w:val="24"/>
                <w:highlight w:val="none"/>
                <w:lang w:val="en-US" w:eastAsia="zh-CN" w:bidi="ar-SA"/>
              </w:rPr>
            </w:pPr>
            <w:r>
              <w:rPr>
                <w:rFonts w:ascii="Times New Roman"/>
                <w:color w:val="auto"/>
                <w:szCs w:val="24"/>
              </w:rPr>
              <w:t>根据上表监测结果可知，项目验收期间</w:t>
            </w:r>
            <w:r>
              <w:rPr>
                <w:rFonts w:hint="eastAsia" w:ascii="Times New Roman"/>
                <w:color w:val="auto"/>
                <w:szCs w:val="24"/>
              </w:rPr>
              <w:t>厂界无组织废气污染物：</w:t>
            </w:r>
            <w:r>
              <w:rPr>
                <w:rFonts w:hint="eastAsia" w:ascii="Times New Roman" w:hAnsi="Times New Roman" w:eastAsia="宋体" w:cs="Times New Roman"/>
                <w:sz w:val="24"/>
                <w:szCs w:val="24"/>
                <w:lang w:val="en-US" w:eastAsia="zh-CN"/>
              </w:rPr>
              <w:t>非甲烷总烃</w:t>
            </w:r>
            <w:r>
              <w:rPr>
                <w:rFonts w:hint="eastAsia" w:ascii="Times New Roman" w:eastAsia="宋体" w:cs="Times New Roman"/>
                <w:sz w:val="24"/>
                <w:szCs w:val="24"/>
                <w:lang w:val="en-US" w:eastAsia="zh-CN"/>
              </w:rPr>
              <w:t>符合</w:t>
            </w:r>
            <w:r>
              <w:rPr>
                <w:rFonts w:hint="eastAsia" w:ascii="Times New Roman" w:hAnsi="Times New Roman" w:eastAsia="宋体" w:cs="Times New Roman"/>
                <w:sz w:val="24"/>
                <w:szCs w:val="24"/>
                <w:lang w:val="en-US" w:eastAsia="zh-CN"/>
              </w:rPr>
              <w:t>《合成树脂工业污染物排放标准》（</w:t>
            </w:r>
            <w:r>
              <w:rPr>
                <w:rFonts w:hint="default" w:ascii="Times New Roman" w:hAnsi="Times New Roman" w:eastAsia="宋体" w:cs="Times New Roman"/>
                <w:sz w:val="24"/>
                <w:szCs w:val="24"/>
                <w:lang w:val="en-US" w:eastAsia="zh-CN"/>
              </w:rPr>
              <w:t>GB31572-2015</w:t>
            </w:r>
            <w:r>
              <w:rPr>
                <w:rFonts w:hint="eastAsia" w:ascii="Times New Roman" w:hAnsi="Times New Roman" w:eastAsia="宋体" w:cs="Times New Roman"/>
                <w:sz w:val="24"/>
                <w:szCs w:val="24"/>
                <w:lang w:val="en-US" w:eastAsia="zh-CN"/>
              </w:rPr>
              <w:t>）（含2024年修改单）中表9企业边界大气污染物浓度限值；臭气浓度</w:t>
            </w:r>
            <w:r>
              <w:rPr>
                <w:rFonts w:hint="eastAsia" w:ascii="Times New Roman" w:eastAsia="宋体" w:cs="Times New Roman"/>
                <w:sz w:val="24"/>
                <w:szCs w:val="24"/>
                <w:lang w:val="en-US" w:eastAsia="zh-CN"/>
              </w:rPr>
              <w:t>符合</w:t>
            </w:r>
            <w:r>
              <w:rPr>
                <w:rFonts w:hint="eastAsia" w:ascii="Times New Roman" w:hAnsi="Times New Roman" w:eastAsia="宋体" w:cs="Times New Roman"/>
                <w:sz w:val="24"/>
                <w:szCs w:val="24"/>
                <w:lang w:val="en-US" w:eastAsia="zh-CN"/>
              </w:rPr>
              <w:t>《恶臭污染物排放标准》（</w:t>
            </w:r>
            <w:r>
              <w:rPr>
                <w:rFonts w:hint="default" w:ascii="Times New Roman" w:hAnsi="Times New Roman" w:eastAsia="宋体" w:cs="Times New Roman"/>
                <w:sz w:val="24"/>
                <w:szCs w:val="24"/>
                <w:lang w:val="en-US" w:eastAsia="zh-CN"/>
              </w:rPr>
              <w:t>GB14554-93</w:t>
            </w:r>
            <w:r>
              <w:rPr>
                <w:rFonts w:hint="eastAsia" w:ascii="Times New Roman" w:hAnsi="Times New Roman" w:eastAsia="宋体" w:cs="Times New Roman"/>
                <w:sz w:val="24"/>
                <w:szCs w:val="24"/>
                <w:lang w:val="en-US" w:eastAsia="zh-CN"/>
              </w:rPr>
              <w:t>）中“表</w:t>
            </w:r>
            <w:r>
              <w:rPr>
                <w:rFonts w:hint="default"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lang w:val="en-US" w:eastAsia="zh-CN"/>
              </w:rPr>
              <w:t>二级新扩改建”排放标准限值</w:t>
            </w:r>
            <w:r>
              <w:rPr>
                <w:rFonts w:hint="default" w:ascii="Times New Roman" w:hAnsi="Times New Roman" w:eastAsia="宋体" w:cs="Times New Roman"/>
                <w:b w:val="0"/>
                <w:bCs/>
                <w:color w:val="auto"/>
                <w:kern w:val="2"/>
                <w:sz w:val="24"/>
                <w:szCs w:val="24"/>
                <w:highlight w:val="none"/>
                <w:lang w:val="en-US" w:eastAsia="zh-CN" w:bidi="ar-SA"/>
              </w:rPr>
              <w:t>。</w:t>
            </w:r>
          </w:p>
          <w:p w14:paraId="16AA8E96">
            <w:pPr>
              <w:pStyle w:val="36"/>
              <w:snapToGrid w:val="0"/>
              <w:spacing w:line="500" w:lineRule="exact"/>
              <w:ind w:firstLine="482" w:firstLineChars="200"/>
              <w:rPr>
                <w:rFonts w:ascii="Times New Roman"/>
                <w:b/>
                <w:bCs/>
                <w:szCs w:val="24"/>
              </w:rPr>
            </w:pPr>
            <w:r>
              <w:rPr>
                <w:rFonts w:ascii="Times New Roman"/>
                <w:b/>
                <w:bCs/>
                <w:szCs w:val="24"/>
              </w:rPr>
              <w:t>3、噪声监测结果</w:t>
            </w:r>
          </w:p>
          <w:p w14:paraId="282CD68D">
            <w:pPr>
              <w:adjustRightInd w:val="0"/>
              <w:snapToGrid w:val="0"/>
              <w:spacing w:line="500" w:lineRule="exact"/>
              <w:ind w:firstLine="480" w:firstLineChars="200"/>
              <w:rPr>
                <w:rFonts w:ascii="Times New Roman" w:hAnsi="Times New Roman" w:eastAsia="宋体" w:cs="Times New Roman"/>
                <w:bCs/>
                <w:sz w:val="24"/>
              </w:rPr>
            </w:pPr>
            <w:r>
              <w:rPr>
                <w:rFonts w:hint="eastAsia" w:ascii="Times New Roman"/>
                <w:bCs/>
                <w:color w:val="auto"/>
                <w:sz w:val="24"/>
                <w:szCs w:val="24"/>
                <w:highlight w:val="none"/>
              </w:rPr>
              <w:t>2025年4月17-18日</w:t>
            </w:r>
            <w:r>
              <w:rPr>
                <w:rFonts w:ascii="Times New Roman" w:hAnsi="Times New Roman" w:eastAsia="宋体" w:cs="Times New Roman"/>
                <w:bCs/>
                <w:sz w:val="24"/>
              </w:rPr>
              <w:t>验收监测期间，在项目</w:t>
            </w:r>
            <w:r>
              <w:rPr>
                <w:rFonts w:hint="eastAsia" w:ascii="Times New Roman" w:hAnsi="Times New Roman" w:eastAsia="宋体" w:cs="Times New Roman"/>
                <w:bCs/>
                <w:sz w:val="24"/>
                <w:lang w:val="en-US" w:eastAsia="zh-CN"/>
              </w:rPr>
              <w:t>南北</w:t>
            </w:r>
            <w:r>
              <w:rPr>
                <w:rFonts w:ascii="Times New Roman" w:hAnsi="Times New Roman" w:eastAsia="宋体" w:cs="Times New Roman"/>
                <w:bCs/>
                <w:sz w:val="24"/>
              </w:rPr>
              <w:t>厂界</w:t>
            </w:r>
            <w:r>
              <w:rPr>
                <w:rFonts w:hint="eastAsia" w:ascii="Times New Roman" w:hAnsi="Times New Roman" w:eastAsia="宋体" w:cs="Times New Roman"/>
                <w:bCs/>
                <w:sz w:val="24"/>
                <w:lang w:val="en-US" w:eastAsia="zh-CN"/>
              </w:rPr>
              <w:t>各</w:t>
            </w:r>
            <w:r>
              <w:rPr>
                <w:rFonts w:ascii="Times New Roman" w:hAnsi="Times New Roman" w:eastAsia="宋体" w:cs="Times New Roman"/>
                <w:bCs/>
                <w:sz w:val="24"/>
              </w:rPr>
              <w:t>设置</w:t>
            </w:r>
            <w:r>
              <w:rPr>
                <w:rFonts w:hint="eastAsia" w:ascii="Times New Roman" w:hAnsi="Times New Roman" w:eastAsia="宋体" w:cs="Times New Roman"/>
                <w:bCs/>
                <w:sz w:val="24"/>
                <w:lang w:val="en-US" w:eastAsia="zh-CN"/>
              </w:rPr>
              <w:t>1</w:t>
            </w:r>
            <w:r>
              <w:rPr>
                <w:rFonts w:ascii="Times New Roman" w:hAnsi="Times New Roman" w:eastAsia="宋体" w:cs="Times New Roman"/>
                <w:bCs/>
                <w:sz w:val="24"/>
              </w:rPr>
              <w:t>个监测点位，监测结果如下：</w:t>
            </w:r>
          </w:p>
          <w:p w14:paraId="5B2FB2B1">
            <w:pPr>
              <w:pStyle w:val="6"/>
              <w:adjustRightInd w:val="0"/>
              <w:snapToGrid w:val="0"/>
              <w:spacing w:line="500" w:lineRule="exact"/>
              <w:ind w:firstLine="0" w:firstLineChars="0"/>
              <w:jc w:val="center"/>
              <w:rPr>
                <w:rFonts w:ascii="Times New Roman" w:hAnsi="Times New Roman" w:cs="Times New Roman"/>
                <w:sz w:val="24"/>
              </w:rPr>
            </w:pPr>
            <w:r>
              <w:rPr>
                <w:rFonts w:ascii="Times New Roman" w:hAnsi="Times New Roman" w:cs="Times New Roman"/>
                <w:b/>
                <w:bCs/>
                <w:sz w:val="24"/>
              </w:rPr>
              <w:t>表7-</w:t>
            </w:r>
            <w:r>
              <w:rPr>
                <w:rFonts w:hint="eastAsia" w:ascii="Times New Roman" w:hAnsi="Times New Roman" w:cs="Times New Roman"/>
                <w:b/>
                <w:bCs/>
                <w:sz w:val="24"/>
              </w:rPr>
              <w:t>8</w:t>
            </w:r>
            <w:r>
              <w:rPr>
                <w:rFonts w:ascii="Times New Roman" w:hAnsi="Times New Roman" w:cs="Times New Roman"/>
                <w:b/>
                <w:bCs/>
                <w:sz w:val="24"/>
              </w:rPr>
              <w:t>噪声监测结果</w:t>
            </w:r>
          </w:p>
          <w:tbl>
            <w:tblPr>
              <w:tblStyle w:val="29"/>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1254"/>
              <w:gridCol w:w="1166"/>
              <w:gridCol w:w="1238"/>
              <w:gridCol w:w="1267"/>
              <w:gridCol w:w="1152"/>
              <w:gridCol w:w="1080"/>
            </w:tblGrid>
            <w:tr w14:paraId="4DC19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6" w:type="dxa"/>
                  <w:vAlign w:val="center"/>
                </w:tcPr>
                <w:p w14:paraId="4C1189EA">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cs="Times New Roman"/>
                      <w:color w:val="auto"/>
                      <w:kern w:val="0"/>
                      <w:sz w:val="21"/>
                      <w:szCs w:val="21"/>
                      <w:lang w:val="en-US" w:eastAsia="zh-CN"/>
                    </w:rPr>
                    <w:t>时间</w:t>
                  </w:r>
                </w:p>
              </w:tc>
              <w:tc>
                <w:tcPr>
                  <w:tcW w:w="1188" w:type="dxa"/>
                  <w:vAlign w:val="center"/>
                </w:tcPr>
                <w:p w14:paraId="721E0EAB">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cs="Times New Roman"/>
                      <w:color w:val="auto"/>
                      <w:kern w:val="0"/>
                      <w:sz w:val="21"/>
                      <w:szCs w:val="21"/>
                      <w:lang w:val="en-US" w:eastAsia="zh-CN"/>
                    </w:rPr>
                    <w:t>点位</w:t>
                  </w:r>
                </w:p>
              </w:tc>
              <w:tc>
                <w:tcPr>
                  <w:tcW w:w="1104" w:type="dxa"/>
                  <w:vAlign w:val="center"/>
                </w:tcPr>
                <w:p w14:paraId="71405F7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cs="Times New Roman"/>
                      <w:color w:val="auto"/>
                      <w:kern w:val="0"/>
                      <w:sz w:val="21"/>
                      <w:szCs w:val="21"/>
                    </w:rPr>
                    <w:t>时段</w:t>
                  </w:r>
                </w:p>
              </w:tc>
              <w:tc>
                <w:tcPr>
                  <w:tcW w:w="1173" w:type="dxa"/>
                  <w:vAlign w:val="center"/>
                </w:tcPr>
                <w:p w14:paraId="68169C7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主要声源</w:t>
                  </w:r>
                </w:p>
              </w:tc>
              <w:tc>
                <w:tcPr>
                  <w:tcW w:w="1200" w:type="dxa"/>
                  <w:vAlign w:val="center"/>
                </w:tcPr>
                <w:p w14:paraId="011FA21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cs="Times New Roman"/>
                      <w:color w:val="auto"/>
                      <w:kern w:val="0"/>
                      <w:sz w:val="21"/>
                      <w:szCs w:val="21"/>
                    </w:rPr>
                    <w:t>结果L</w:t>
                  </w:r>
                  <w:r>
                    <w:rPr>
                      <w:rFonts w:hint="default" w:ascii="Times New Roman" w:hAnsi="Times New Roman" w:cs="Times New Roman"/>
                      <w:color w:val="auto"/>
                      <w:kern w:val="0"/>
                      <w:sz w:val="21"/>
                      <w:szCs w:val="21"/>
                      <w:vertAlign w:val="subscript"/>
                    </w:rPr>
                    <w:t>eq</w:t>
                  </w:r>
                  <w:r>
                    <w:rPr>
                      <w:rFonts w:hint="default" w:ascii="Times New Roman" w:hAnsi="Times New Roman" w:cs="Times New Roman"/>
                      <w:color w:val="auto"/>
                      <w:kern w:val="0"/>
                      <w:sz w:val="21"/>
                      <w:szCs w:val="21"/>
                    </w:rPr>
                    <w:t>dB(A)</w:t>
                  </w:r>
                </w:p>
              </w:tc>
              <w:tc>
                <w:tcPr>
                  <w:tcW w:w="1091" w:type="dxa"/>
                  <w:vAlign w:val="center"/>
                </w:tcPr>
                <w:p w14:paraId="66864A4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标准限值dB(A)</w:t>
                  </w:r>
                </w:p>
              </w:tc>
              <w:tc>
                <w:tcPr>
                  <w:tcW w:w="1023" w:type="dxa"/>
                  <w:vAlign w:val="center"/>
                </w:tcPr>
                <w:p w14:paraId="0BA8D7D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结果</w:t>
                  </w:r>
                </w:p>
                <w:p w14:paraId="6633B72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评价</w:t>
                  </w:r>
                </w:p>
              </w:tc>
            </w:tr>
            <w:tr w14:paraId="0F104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276" w:type="dxa"/>
                  <w:vMerge w:val="restart"/>
                  <w:vAlign w:val="center"/>
                </w:tcPr>
                <w:p w14:paraId="4E2E66DB">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2025.04.17</w:t>
                  </w:r>
                </w:p>
              </w:tc>
              <w:tc>
                <w:tcPr>
                  <w:tcW w:w="1188" w:type="dxa"/>
                  <w:vMerge w:val="restart"/>
                  <w:vAlign w:val="center"/>
                </w:tcPr>
                <w:p w14:paraId="57FA80A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eastAsia="宋体" w:cs="Times New Roman"/>
                      <w:color w:val="auto"/>
                      <w:kern w:val="2"/>
                      <w:sz w:val="21"/>
                      <w:szCs w:val="21"/>
                      <w:lang w:val="en-US" w:eastAsia="zh-CN" w:bidi="ar-SA"/>
                    </w:rPr>
                    <w:t>N1北侧</w:t>
                  </w:r>
                </w:p>
              </w:tc>
              <w:tc>
                <w:tcPr>
                  <w:tcW w:w="1104" w:type="dxa"/>
                  <w:vAlign w:val="center"/>
                </w:tcPr>
                <w:p w14:paraId="4EC96DEA">
                  <w:pPr>
                    <w:pStyle w:val="11"/>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昼间</w:t>
                  </w:r>
                </w:p>
              </w:tc>
              <w:tc>
                <w:tcPr>
                  <w:tcW w:w="1173" w:type="dxa"/>
                  <w:vAlign w:val="center"/>
                </w:tcPr>
                <w:p w14:paraId="0070856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00" w:type="dxa"/>
                  <w:vAlign w:val="center"/>
                </w:tcPr>
                <w:p w14:paraId="6242678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62</w:t>
                  </w:r>
                </w:p>
              </w:tc>
              <w:tc>
                <w:tcPr>
                  <w:tcW w:w="1091" w:type="dxa"/>
                  <w:vAlign w:val="center"/>
                </w:tcPr>
                <w:p w14:paraId="0F2CDB9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65</w:t>
                  </w:r>
                </w:p>
              </w:tc>
              <w:tc>
                <w:tcPr>
                  <w:tcW w:w="1023" w:type="dxa"/>
                  <w:vAlign w:val="center"/>
                </w:tcPr>
                <w:p w14:paraId="4E77D35B">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达标</w:t>
                  </w:r>
                </w:p>
              </w:tc>
            </w:tr>
            <w:tr w14:paraId="72500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0439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p>
              </w:tc>
              <w:tc>
                <w:tcPr>
                  <w:tcW w:w="1188" w:type="dxa"/>
                  <w:vMerge w:val="continue"/>
                  <w:vAlign w:val="center"/>
                </w:tcPr>
                <w:p w14:paraId="3FC51FF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p>
              </w:tc>
              <w:tc>
                <w:tcPr>
                  <w:tcW w:w="1104" w:type="dxa"/>
                  <w:vAlign w:val="center"/>
                </w:tcPr>
                <w:p w14:paraId="0284558D">
                  <w:pPr>
                    <w:pStyle w:val="11"/>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夜间</w:t>
                  </w:r>
                </w:p>
              </w:tc>
              <w:tc>
                <w:tcPr>
                  <w:tcW w:w="1173" w:type="dxa"/>
                  <w:vAlign w:val="center"/>
                </w:tcPr>
                <w:p w14:paraId="4F2C388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200" w:type="dxa"/>
                  <w:vAlign w:val="center"/>
                </w:tcPr>
                <w:p w14:paraId="3562C97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52</w:t>
                  </w:r>
                </w:p>
              </w:tc>
              <w:tc>
                <w:tcPr>
                  <w:tcW w:w="1091" w:type="dxa"/>
                  <w:vAlign w:val="center"/>
                </w:tcPr>
                <w:p w14:paraId="5865E75B">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55</w:t>
                  </w:r>
                </w:p>
              </w:tc>
              <w:tc>
                <w:tcPr>
                  <w:tcW w:w="1023" w:type="dxa"/>
                  <w:vAlign w:val="center"/>
                </w:tcPr>
                <w:p w14:paraId="209AF1E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达标</w:t>
                  </w:r>
                </w:p>
              </w:tc>
            </w:tr>
            <w:tr w14:paraId="7B660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DF63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p>
              </w:tc>
              <w:tc>
                <w:tcPr>
                  <w:tcW w:w="1188" w:type="dxa"/>
                  <w:vMerge w:val="restart"/>
                  <w:vAlign w:val="center"/>
                </w:tcPr>
                <w:p w14:paraId="7673BF0B">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eastAsia="宋体" w:cs="Times New Roman"/>
                      <w:color w:val="auto"/>
                      <w:kern w:val="2"/>
                      <w:sz w:val="21"/>
                      <w:szCs w:val="21"/>
                      <w:lang w:val="en-US" w:eastAsia="zh-CN" w:bidi="ar-SA"/>
                    </w:rPr>
                    <w:t>N2南侧</w:t>
                  </w:r>
                </w:p>
              </w:tc>
              <w:tc>
                <w:tcPr>
                  <w:tcW w:w="1104" w:type="dxa"/>
                  <w:vAlign w:val="center"/>
                </w:tcPr>
                <w:p w14:paraId="18186CFF">
                  <w:pPr>
                    <w:pStyle w:val="11"/>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昼间</w:t>
                  </w:r>
                </w:p>
              </w:tc>
              <w:tc>
                <w:tcPr>
                  <w:tcW w:w="1173" w:type="dxa"/>
                  <w:vAlign w:val="center"/>
                </w:tcPr>
                <w:p w14:paraId="2051BF2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00" w:type="dxa"/>
                  <w:vAlign w:val="center"/>
                </w:tcPr>
                <w:p w14:paraId="1FB18E0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i w:val="0"/>
                      <w:iCs w:val="0"/>
                      <w:color w:val="auto"/>
                      <w:kern w:val="0"/>
                      <w:sz w:val="21"/>
                      <w:szCs w:val="21"/>
                      <w:u w:val="none"/>
                      <w:lang w:val="en-US" w:eastAsia="zh-CN" w:bidi="ar"/>
                    </w:rPr>
                    <w:t>61</w:t>
                  </w:r>
                </w:p>
              </w:tc>
              <w:tc>
                <w:tcPr>
                  <w:tcW w:w="1091" w:type="dxa"/>
                  <w:vAlign w:val="center"/>
                </w:tcPr>
                <w:p w14:paraId="17CEE57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65</w:t>
                  </w:r>
                </w:p>
              </w:tc>
              <w:tc>
                <w:tcPr>
                  <w:tcW w:w="1023" w:type="dxa"/>
                  <w:vAlign w:val="center"/>
                </w:tcPr>
                <w:p w14:paraId="3CFB9C5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达标</w:t>
                  </w:r>
                </w:p>
              </w:tc>
            </w:tr>
            <w:tr w14:paraId="06B43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A1072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p>
              </w:tc>
              <w:tc>
                <w:tcPr>
                  <w:tcW w:w="1188" w:type="dxa"/>
                  <w:vMerge w:val="continue"/>
                  <w:vAlign w:val="center"/>
                </w:tcPr>
                <w:p w14:paraId="2BE7747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p>
              </w:tc>
              <w:tc>
                <w:tcPr>
                  <w:tcW w:w="1104" w:type="dxa"/>
                  <w:vAlign w:val="center"/>
                </w:tcPr>
                <w:p w14:paraId="03D1439A">
                  <w:pPr>
                    <w:pStyle w:val="11"/>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夜间</w:t>
                  </w:r>
                </w:p>
              </w:tc>
              <w:tc>
                <w:tcPr>
                  <w:tcW w:w="1173" w:type="dxa"/>
                  <w:vAlign w:val="center"/>
                </w:tcPr>
                <w:p w14:paraId="7C9FD61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200" w:type="dxa"/>
                  <w:vAlign w:val="center"/>
                </w:tcPr>
                <w:p w14:paraId="0B3EA9F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52</w:t>
                  </w:r>
                </w:p>
              </w:tc>
              <w:tc>
                <w:tcPr>
                  <w:tcW w:w="1091" w:type="dxa"/>
                  <w:vAlign w:val="center"/>
                </w:tcPr>
                <w:p w14:paraId="2D9F4281">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55</w:t>
                  </w:r>
                </w:p>
              </w:tc>
              <w:tc>
                <w:tcPr>
                  <w:tcW w:w="1023" w:type="dxa"/>
                  <w:vAlign w:val="center"/>
                </w:tcPr>
                <w:p w14:paraId="463393D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达标</w:t>
                  </w:r>
                </w:p>
              </w:tc>
            </w:tr>
            <w:tr w14:paraId="53627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1CA7D3">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2025.04.18~2025.04.19</w:t>
                  </w:r>
                </w:p>
              </w:tc>
              <w:tc>
                <w:tcPr>
                  <w:tcW w:w="1188" w:type="dxa"/>
                  <w:vMerge w:val="restart"/>
                  <w:vAlign w:val="center"/>
                </w:tcPr>
                <w:p w14:paraId="71E9D0B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eastAsia="宋体" w:cs="Times New Roman"/>
                      <w:color w:val="auto"/>
                      <w:kern w:val="2"/>
                      <w:sz w:val="21"/>
                      <w:szCs w:val="21"/>
                      <w:lang w:val="en-US" w:eastAsia="zh-CN" w:bidi="ar-SA"/>
                    </w:rPr>
                    <w:t>N1北侧</w:t>
                  </w:r>
                </w:p>
              </w:tc>
              <w:tc>
                <w:tcPr>
                  <w:tcW w:w="1104" w:type="dxa"/>
                  <w:vAlign w:val="center"/>
                </w:tcPr>
                <w:p w14:paraId="61BB5FAC">
                  <w:pPr>
                    <w:pStyle w:val="11"/>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昼间</w:t>
                  </w:r>
                </w:p>
              </w:tc>
              <w:tc>
                <w:tcPr>
                  <w:tcW w:w="1173" w:type="dxa"/>
                  <w:vAlign w:val="center"/>
                </w:tcPr>
                <w:p w14:paraId="0ED8CB4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00" w:type="dxa"/>
                  <w:vAlign w:val="center"/>
                </w:tcPr>
                <w:p w14:paraId="14C31A4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60</w:t>
                  </w:r>
                </w:p>
              </w:tc>
              <w:tc>
                <w:tcPr>
                  <w:tcW w:w="1091" w:type="dxa"/>
                  <w:vAlign w:val="center"/>
                </w:tcPr>
                <w:p w14:paraId="4D03470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65</w:t>
                  </w:r>
                </w:p>
              </w:tc>
              <w:tc>
                <w:tcPr>
                  <w:tcW w:w="1023" w:type="dxa"/>
                  <w:vAlign w:val="center"/>
                </w:tcPr>
                <w:p w14:paraId="2AE6890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达标</w:t>
                  </w:r>
                </w:p>
              </w:tc>
            </w:tr>
            <w:tr w14:paraId="3D5FD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18620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p>
              </w:tc>
              <w:tc>
                <w:tcPr>
                  <w:tcW w:w="1188" w:type="dxa"/>
                  <w:vMerge w:val="continue"/>
                  <w:vAlign w:val="center"/>
                </w:tcPr>
                <w:p w14:paraId="6DEA9BE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p>
              </w:tc>
              <w:tc>
                <w:tcPr>
                  <w:tcW w:w="1104" w:type="dxa"/>
                  <w:vAlign w:val="center"/>
                </w:tcPr>
                <w:p w14:paraId="70CC2315">
                  <w:pPr>
                    <w:pStyle w:val="11"/>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夜间</w:t>
                  </w:r>
                </w:p>
              </w:tc>
              <w:tc>
                <w:tcPr>
                  <w:tcW w:w="1173" w:type="dxa"/>
                  <w:vAlign w:val="center"/>
                </w:tcPr>
                <w:p w14:paraId="7628812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200" w:type="dxa"/>
                  <w:vAlign w:val="center"/>
                </w:tcPr>
                <w:p w14:paraId="3EFBE47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52</w:t>
                  </w:r>
                </w:p>
              </w:tc>
              <w:tc>
                <w:tcPr>
                  <w:tcW w:w="1091" w:type="dxa"/>
                  <w:vAlign w:val="center"/>
                </w:tcPr>
                <w:p w14:paraId="33827851">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55</w:t>
                  </w:r>
                </w:p>
              </w:tc>
              <w:tc>
                <w:tcPr>
                  <w:tcW w:w="1023" w:type="dxa"/>
                  <w:vAlign w:val="center"/>
                </w:tcPr>
                <w:p w14:paraId="70F7272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达标</w:t>
                  </w:r>
                </w:p>
              </w:tc>
            </w:tr>
            <w:tr w14:paraId="66AE7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9B00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p>
              </w:tc>
              <w:tc>
                <w:tcPr>
                  <w:tcW w:w="1188" w:type="dxa"/>
                  <w:vMerge w:val="restart"/>
                  <w:vAlign w:val="center"/>
                </w:tcPr>
                <w:p w14:paraId="1262874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eastAsia="宋体" w:cs="Times New Roman"/>
                      <w:color w:val="auto"/>
                      <w:kern w:val="2"/>
                      <w:sz w:val="21"/>
                      <w:szCs w:val="21"/>
                      <w:lang w:val="en-US" w:eastAsia="zh-CN" w:bidi="ar-SA"/>
                    </w:rPr>
                    <w:t>N2南侧</w:t>
                  </w:r>
                </w:p>
              </w:tc>
              <w:tc>
                <w:tcPr>
                  <w:tcW w:w="1104" w:type="dxa"/>
                  <w:vAlign w:val="center"/>
                </w:tcPr>
                <w:p w14:paraId="4EA3B30E">
                  <w:pPr>
                    <w:pStyle w:val="11"/>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昼间</w:t>
                  </w:r>
                </w:p>
              </w:tc>
              <w:tc>
                <w:tcPr>
                  <w:tcW w:w="1173" w:type="dxa"/>
                  <w:vAlign w:val="center"/>
                </w:tcPr>
                <w:p w14:paraId="6DD60D2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工业噪声</w:t>
                  </w:r>
                </w:p>
              </w:tc>
              <w:tc>
                <w:tcPr>
                  <w:tcW w:w="1200" w:type="dxa"/>
                  <w:vAlign w:val="center"/>
                </w:tcPr>
                <w:p w14:paraId="04CD03A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i w:val="0"/>
                      <w:iCs w:val="0"/>
                      <w:color w:val="auto"/>
                      <w:kern w:val="0"/>
                      <w:sz w:val="21"/>
                      <w:szCs w:val="21"/>
                      <w:u w:val="none"/>
                      <w:lang w:val="en-US" w:eastAsia="zh-CN" w:bidi="ar"/>
                    </w:rPr>
                    <w:t>62</w:t>
                  </w:r>
                </w:p>
              </w:tc>
              <w:tc>
                <w:tcPr>
                  <w:tcW w:w="1091" w:type="dxa"/>
                  <w:vAlign w:val="center"/>
                </w:tcPr>
                <w:p w14:paraId="50F69A5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65</w:t>
                  </w:r>
                </w:p>
              </w:tc>
              <w:tc>
                <w:tcPr>
                  <w:tcW w:w="1023" w:type="dxa"/>
                  <w:vAlign w:val="center"/>
                </w:tcPr>
                <w:p w14:paraId="7C04AA87">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达标</w:t>
                  </w:r>
                </w:p>
              </w:tc>
            </w:tr>
            <w:tr w14:paraId="35A11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B7AA4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p>
              </w:tc>
              <w:tc>
                <w:tcPr>
                  <w:tcW w:w="1188" w:type="dxa"/>
                  <w:vMerge w:val="continue"/>
                  <w:vAlign w:val="center"/>
                </w:tcPr>
                <w:p w14:paraId="38F44961">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p>
              </w:tc>
              <w:tc>
                <w:tcPr>
                  <w:tcW w:w="1104" w:type="dxa"/>
                  <w:vAlign w:val="center"/>
                </w:tcPr>
                <w:p w14:paraId="7F0F25B2">
                  <w:pPr>
                    <w:pStyle w:val="11"/>
                    <w:keepNext w:val="0"/>
                    <w:keepLines w:val="0"/>
                    <w:pageBreakBefore w:val="0"/>
                    <w:kinsoku/>
                    <w:wordWrap/>
                    <w:overflowPunct/>
                    <w:topLinePunct w:val="0"/>
                    <w:autoSpaceDE/>
                    <w:autoSpaceDN/>
                    <w:bidi w:val="0"/>
                    <w:adjustRightInd w:val="0"/>
                    <w:snapToGrid w:val="0"/>
                    <w:spacing w:line="240" w:lineRule="auto"/>
                    <w:ind w:left="-99" w:leftChars="-47" w:firstLine="180" w:firstLineChars="86"/>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夜间</w:t>
                  </w:r>
                </w:p>
              </w:tc>
              <w:tc>
                <w:tcPr>
                  <w:tcW w:w="1173" w:type="dxa"/>
                  <w:vAlign w:val="center"/>
                </w:tcPr>
                <w:p w14:paraId="3AD189F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其它噪声</w:t>
                  </w:r>
                </w:p>
              </w:tc>
              <w:tc>
                <w:tcPr>
                  <w:tcW w:w="1200" w:type="dxa"/>
                  <w:vAlign w:val="center"/>
                </w:tcPr>
                <w:p w14:paraId="2A4FED2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52</w:t>
                  </w:r>
                </w:p>
              </w:tc>
              <w:tc>
                <w:tcPr>
                  <w:tcW w:w="1091" w:type="dxa"/>
                  <w:vAlign w:val="center"/>
                </w:tcPr>
                <w:p w14:paraId="4F405212">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55</w:t>
                  </w:r>
                </w:p>
              </w:tc>
              <w:tc>
                <w:tcPr>
                  <w:tcW w:w="1023" w:type="dxa"/>
                  <w:vAlign w:val="center"/>
                </w:tcPr>
                <w:p w14:paraId="6D49AD2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达标</w:t>
                  </w:r>
                </w:p>
              </w:tc>
            </w:tr>
          </w:tbl>
          <w:p w14:paraId="6EFE296D">
            <w:pPr>
              <w:adjustRightInd w:val="0"/>
              <w:snapToGrid w:val="0"/>
              <w:spacing w:line="500" w:lineRule="exact"/>
              <w:ind w:firstLine="480" w:firstLineChars="200"/>
              <w:rPr>
                <w:rFonts w:ascii="Times New Roman" w:hAnsi="Times New Roman" w:eastAsia="宋体" w:cs="Times New Roman"/>
                <w:kern w:val="0"/>
                <w:sz w:val="24"/>
              </w:rPr>
            </w:pPr>
            <w:r>
              <w:rPr>
                <w:rFonts w:ascii="Times New Roman" w:hAnsi="Times New Roman" w:eastAsia="宋体" w:cs="Times New Roman"/>
                <w:sz w:val="24"/>
              </w:rPr>
              <w:t>根据上表监测结果可知，项目验收期间</w:t>
            </w:r>
            <w:r>
              <w:rPr>
                <w:rFonts w:hint="eastAsia" w:ascii="Times New Roman" w:hAnsi="Times New Roman" w:eastAsia="宋体" w:cs="Times New Roman"/>
                <w:sz w:val="24"/>
              </w:rPr>
              <w:t>厂界</w:t>
            </w:r>
            <w:r>
              <w:rPr>
                <w:rFonts w:ascii="Times New Roman" w:hAnsi="Times New Roman" w:eastAsia="宋体" w:cs="Times New Roman"/>
                <w:sz w:val="24"/>
              </w:rPr>
              <w:t>昼夜噪声排放均满足</w:t>
            </w:r>
            <w:r>
              <w:rPr>
                <w:rFonts w:ascii="Times New Roman" w:hAnsi="Times New Roman" w:eastAsia="宋体" w:cs="Times New Roman"/>
                <w:kern w:val="0"/>
                <w:sz w:val="24"/>
              </w:rPr>
              <w:t>《工业企业厂界环境噪声排放标准》（GB12348-2008）中</w:t>
            </w:r>
            <w:r>
              <w:rPr>
                <w:rFonts w:hint="eastAsia" w:ascii="Times New Roman" w:hAnsi="Times New Roman" w:eastAsia="宋体" w:cs="Times New Roman"/>
                <w:kern w:val="0"/>
                <w:sz w:val="24"/>
              </w:rPr>
              <w:t>3</w:t>
            </w:r>
            <w:r>
              <w:rPr>
                <w:rFonts w:ascii="Times New Roman" w:hAnsi="Times New Roman" w:eastAsia="宋体" w:cs="Times New Roman"/>
                <w:kern w:val="0"/>
                <w:sz w:val="24"/>
              </w:rPr>
              <w:t>类标准限值。</w:t>
            </w:r>
            <w:r>
              <w:rPr>
                <w:rFonts w:hint="eastAsia" w:ascii="Times New Roman" w:hAnsi="Times New Roman" w:eastAsia="宋体" w:cs="Times New Roman"/>
                <w:kern w:val="0"/>
                <w:sz w:val="24"/>
              </w:rPr>
              <w:t xml:space="preserve"> </w:t>
            </w:r>
          </w:p>
          <w:p w14:paraId="27883375">
            <w:pPr>
              <w:adjustRightInd w:val="0"/>
              <w:snapToGrid w:val="0"/>
              <w:spacing w:line="500" w:lineRule="exact"/>
              <w:ind w:firstLine="480" w:firstLineChars="200"/>
              <w:rPr>
                <w:rFonts w:ascii="Times New Roman" w:hAnsi="Times New Roman" w:eastAsia="宋体" w:cs="Times New Roman"/>
                <w:kern w:val="0"/>
                <w:sz w:val="24"/>
              </w:rPr>
            </w:pPr>
          </w:p>
          <w:p w14:paraId="2F2AE8E5">
            <w:pPr>
              <w:adjustRightInd w:val="0"/>
              <w:snapToGrid w:val="0"/>
              <w:spacing w:line="500" w:lineRule="exact"/>
              <w:ind w:firstLine="480" w:firstLineChars="200"/>
              <w:rPr>
                <w:rFonts w:ascii="Times New Roman" w:hAnsi="Times New Roman" w:eastAsia="宋体" w:cs="Times New Roman"/>
                <w:kern w:val="0"/>
                <w:sz w:val="24"/>
              </w:rPr>
            </w:pPr>
          </w:p>
          <w:p w14:paraId="1C35676B">
            <w:pPr>
              <w:adjustRightInd w:val="0"/>
              <w:snapToGrid w:val="0"/>
              <w:spacing w:line="500" w:lineRule="exact"/>
              <w:ind w:firstLine="480" w:firstLineChars="200"/>
              <w:rPr>
                <w:rFonts w:ascii="Times New Roman" w:hAnsi="Times New Roman" w:eastAsia="宋体" w:cs="Times New Roman"/>
                <w:kern w:val="0"/>
                <w:sz w:val="24"/>
              </w:rPr>
            </w:pPr>
          </w:p>
          <w:p w14:paraId="7A3FB9DD">
            <w:pPr>
              <w:adjustRightInd w:val="0"/>
              <w:snapToGrid w:val="0"/>
              <w:spacing w:line="500" w:lineRule="exact"/>
            </w:pPr>
          </w:p>
        </w:tc>
      </w:tr>
    </w:tbl>
    <w:p w14:paraId="61AFAE22">
      <w:pPr>
        <w:pStyle w:val="28"/>
        <w:adjustRightInd w:val="0"/>
        <w:snapToGrid w:val="0"/>
        <w:spacing w:after="0" w:line="500" w:lineRule="exact"/>
        <w:ind w:left="0" w:leftChars="0" w:firstLine="0"/>
        <w:outlineLvl w:val="0"/>
        <w:rPr>
          <w:rFonts w:hAnsi="Times New Roman" w:cs="Times New Roman"/>
          <w:b/>
          <w:bCs/>
          <w:color w:val="auto"/>
          <w:sz w:val="28"/>
          <w:szCs w:val="28"/>
        </w:rPr>
      </w:pPr>
      <w:bookmarkStart w:id="26" w:name="_Toc19246"/>
      <w:bookmarkStart w:id="27" w:name="_Toc11376"/>
      <w:bookmarkStart w:id="28" w:name="_Toc15627900"/>
      <w:r>
        <w:rPr>
          <w:rFonts w:hint="eastAsia" w:hAnsi="Times New Roman" w:cs="Times New Roman"/>
          <w:b/>
          <w:bCs/>
          <w:color w:val="auto"/>
          <w:sz w:val="28"/>
          <w:szCs w:val="28"/>
        </w:rPr>
        <w:t>表八、验收监测结论</w:t>
      </w:r>
      <w:bookmarkEnd w:id="26"/>
      <w:bookmarkEnd w:id="27"/>
      <w:bookmarkEnd w:id="28"/>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14:paraId="348B9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14:paraId="55409692">
            <w:pPr>
              <w:pStyle w:val="28"/>
              <w:keepNext w:val="0"/>
              <w:keepLines w:val="0"/>
              <w:pageBreakBefore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b/>
                <w:color w:val="000000" w:themeColor="text1"/>
                <w:sz w:val="24"/>
                <w14:textFill>
                  <w14:solidFill>
                    <w14:schemeClr w14:val="tx1"/>
                  </w14:solidFill>
                </w14:textFill>
              </w:rPr>
            </w:pPr>
            <w:r>
              <w:rPr>
                <w:rFonts w:hAnsi="Times New Roman" w:cs="Times New Roman"/>
                <w:b/>
                <w:color w:val="000000" w:themeColor="text1"/>
                <w:sz w:val="24"/>
                <w14:textFill>
                  <w14:solidFill>
                    <w14:schemeClr w14:val="tx1"/>
                  </w14:solidFill>
                </w14:textFill>
              </w:rPr>
              <w:t>1、项目基本情况</w:t>
            </w:r>
          </w:p>
          <w:p w14:paraId="455D55E1">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hAnsi="Times New Roman" w:eastAsia="宋体" w:cs="Times New Roman"/>
                <w:sz w:val="24"/>
              </w:rPr>
            </w:pPr>
            <w:r>
              <w:rPr>
                <w:rFonts w:ascii="Times New Roman" w:hAnsi="Times New Roman" w:eastAsia="宋体" w:cs="Times New Roman"/>
                <w:color w:val="000000"/>
                <w:kern w:val="0"/>
                <w:sz w:val="24"/>
                <w:lang w:bidi="ar"/>
              </w:rPr>
              <w:t>项目建设于</w:t>
            </w:r>
            <w:r>
              <w:rPr>
                <w:rFonts w:hint="default" w:ascii="Times New Roman" w:hAnsi="Times New Roman" w:eastAsia="宋体" w:cs="Times New Roman"/>
                <w:bCs/>
                <w:sz w:val="24"/>
                <w:szCs w:val="24"/>
                <w:highlight w:val="none"/>
                <w:lang w:val="en-US" w:eastAsia="zh-CN"/>
              </w:rPr>
              <w:t>澄迈县老城</w:t>
            </w:r>
            <w:r>
              <w:rPr>
                <w:rFonts w:hint="eastAsia" w:ascii="Times New Roman" w:hAnsi="Times New Roman" w:eastAsia="宋体" w:cs="Times New Roman"/>
                <w:bCs/>
                <w:sz w:val="24"/>
                <w:szCs w:val="24"/>
                <w:highlight w:val="none"/>
                <w:lang w:val="en-US" w:eastAsia="zh-CN"/>
              </w:rPr>
              <w:t>科技新城</w:t>
            </w:r>
            <w:r>
              <w:rPr>
                <w:rFonts w:hint="default" w:ascii="Times New Roman" w:hAnsi="Times New Roman" w:eastAsia="宋体" w:cs="Times New Roman"/>
                <w:bCs/>
                <w:sz w:val="24"/>
                <w:szCs w:val="24"/>
                <w:highlight w:val="none"/>
                <w:lang w:val="en-US" w:eastAsia="zh-CN"/>
              </w:rPr>
              <w:t>南一环路与美朗南路交汇处西北侧</w:t>
            </w:r>
            <w:r>
              <w:rPr>
                <w:rFonts w:hint="eastAsia" w:ascii="Times New Roman" w:hAnsi="Times New Roman" w:eastAsia="宋体" w:cs="Times New Roman"/>
                <w:bCs/>
                <w:sz w:val="24"/>
                <w:szCs w:val="24"/>
                <w:highlight w:val="none"/>
                <w:lang w:val="en-US" w:eastAsia="zh-CN"/>
              </w:rPr>
              <w:t>，租用“海南百年新乐幕墙门窗系统工程有限公司”厂区内厂房</w:t>
            </w:r>
            <w:r>
              <w:rPr>
                <w:rFonts w:hint="default" w:ascii="Times New Roman" w:hAnsi="Times New Roman" w:eastAsia="宋体" w:cs="Times New Roman"/>
                <w:bCs/>
                <w:sz w:val="24"/>
                <w:szCs w:val="24"/>
              </w:rPr>
              <w:t>，地理坐标为</w:t>
            </w:r>
            <w:r>
              <w:rPr>
                <w:rFonts w:hint="default" w:ascii="Times New Roman" w:hAnsi="Times New Roman" w:eastAsia="宋体" w:cs="Times New Roman"/>
                <w:color w:val="000000"/>
                <w:sz w:val="24"/>
                <w:szCs w:val="24"/>
              </w:rPr>
              <w:t>E：110°4′4</w:t>
            </w:r>
            <w:r>
              <w:rPr>
                <w:rFonts w:hint="eastAsia" w:ascii="Times New Roman" w:hAnsi="Times New Roman" w:eastAsia="宋体" w:cs="Times New Roman"/>
                <w:color w:val="000000"/>
                <w:sz w:val="24"/>
                <w:szCs w:val="24"/>
                <w:lang w:val="en-US" w:eastAsia="zh-CN"/>
              </w:rPr>
              <w:t>3</w:t>
            </w:r>
            <w:r>
              <w:rPr>
                <w:rFonts w:hint="default"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val="en-US" w:eastAsia="zh-CN"/>
              </w:rPr>
              <w:t>456</w:t>
            </w:r>
            <w:r>
              <w:rPr>
                <w:rFonts w:hint="default" w:ascii="Times New Roman" w:hAnsi="Times New Roman" w:eastAsia="宋体" w:cs="Times New Roman"/>
                <w:color w:val="000000"/>
                <w:sz w:val="24"/>
                <w:szCs w:val="24"/>
                <w:lang w:val="en-US" w:eastAsia="zh-CN"/>
              </w:rPr>
              <w:t>″</w:t>
            </w:r>
            <w:r>
              <w:rPr>
                <w:rFonts w:hint="default" w:ascii="Times New Roman" w:hAnsi="Times New Roman" w:eastAsia="宋体" w:cs="Times New Roman"/>
                <w:color w:val="000000"/>
                <w:sz w:val="24"/>
                <w:szCs w:val="24"/>
              </w:rPr>
              <w:t>、N：</w:t>
            </w:r>
            <w:r>
              <w:rPr>
                <w:rFonts w:hint="default" w:ascii="Times New Roman" w:hAnsi="Times New Roman" w:eastAsia="宋体" w:cs="Times New Roman"/>
                <w:color w:val="000000"/>
                <w:sz w:val="24"/>
                <w:szCs w:val="24"/>
                <w:lang w:val="en-US" w:eastAsia="zh-CN"/>
              </w:rPr>
              <w:t>19°5</w:t>
            </w:r>
            <w:r>
              <w:rPr>
                <w:rFonts w:hint="eastAsia" w:ascii="Times New Roman" w:hAnsi="Times New Roman" w:eastAsia="宋体" w:cs="Times New Roman"/>
                <w:color w:val="000000"/>
                <w:sz w:val="24"/>
                <w:szCs w:val="24"/>
                <w:lang w:val="en-US" w:eastAsia="zh-CN"/>
              </w:rPr>
              <w:t>6</w:t>
            </w:r>
            <w:r>
              <w:rPr>
                <w:rFonts w:hint="default" w:ascii="Times New Roman" w:hAnsi="Times New Roman" w:eastAsia="宋体" w:cs="Times New Roman"/>
                <w:color w:val="000000"/>
                <w:sz w:val="24"/>
                <w:szCs w:val="24"/>
                <w:lang w:val="en-US" w:eastAsia="zh-CN"/>
              </w:rPr>
              <w:t>′</w:t>
            </w:r>
            <w:r>
              <w:rPr>
                <w:rFonts w:hint="eastAsia" w:ascii="Times New Roman" w:hAnsi="Times New Roman" w:eastAsia="宋体" w:cs="Times New Roman"/>
                <w:color w:val="000000"/>
                <w:sz w:val="24"/>
                <w:szCs w:val="24"/>
                <w:lang w:val="en-US" w:eastAsia="zh-CN"/>
              </w:rPr>
              <w:t>39</w:t>
            </w:r>
            <w:r>
              <w:rPr>
                <w:rFonts w:hint="default" w:ascii="Times New Roman" w:hAnsi="Times New Roman" w:eastAsia="宋体" w:cs="Times New Roman"/>
                <w:color w:val="000000"/>
                <w:sz w:val="24"/>
                <w:szCs w:val="24"/>
                <w:lang w:val="en-US" w:eastAsia="zh-CN"/>
              </w:rPr>
              <w:t>.</w:t>
            </w:r>
            <w:r>
              <w:rPr>
                <w:rFonts w:hint="eastAsia" w:ascii="Times New Roman" w:hAnsi="Times New Roman" w:eastAsia="宋体" w:cs="Times New Roman"/>
                <w:color w:val="000000"/>
                <w:sz w:val="24"/>
                <w:szCs w:val="24"/>
                <w:lang w:val="en-US" w:eastAsia="zh-CN"/>
              </w:rPr>
              <w:t>8</w:t>
            </w:r>
            <w:r>
              <w:rPr>
                <w:rFonts w:hint="default" w:ascii="Times New Roman" w:hAnsi="Times New Roman" w:eastAsia="宋体" w:cs="Times New Roman"/>
                <w:color w:val="000000"/>
                <w:sz w:val="24"/>
                <w:szCs w:val="24"/>
                <w:lang w:val="en-US" w:eastAsia="zh-CN"/>
              </w:rPr>
              <w:t>25″</w:t>
            </w:r>
            <w:r>
              <w:rPr>
                <w:rFonts w:hint="default" w:ascii="Times New Roman" w:hAnsi="Times New Roman" w:eastAsia="宋体" w:cs="Times New Roman"/>
                <w:sz w:val="24"/>
                <w:szCs w:val="24"/>
              </w:rPr>
              <w:t>。</w:t>
            </w:r>
            <w:r>
              <w:rPr>
                <w:rFonts w:ascii="Times New Roman" w:hAnsi="Times New Roman" w:eastAsia="宋体" w:cs="Times New Roman"/>
                <w:bCs/>
                <w:sz w:val="24"/>
              </w:rPr>
              <w:t>项目</w:t>
            </w:r>
            <w:r>
              <w:rPr>
                <w:rFonts w:hint="default" w:ascii="Times New Roman" w:hAnsi="Times New Roman" w:eastAsia="宋体" w:cs="Times New Roman"/>
                <w:color w:val="000000"/>
                <w:kern w:val="0"/>
                <w:sz w:val="24"/>
                <w:szCs w:val="24"/>
                <w:lang w:val="en-US" w:eastAsia="zh-CN" w:bidi="ar"/>
              </w:rPr>
              <w:t>总用地面积为</w:t>
            </w:r>
            <w:r>
              <w:rPr>
                <w:rFonts w:hint="eastAsia" w:ascii="Times New Roman" w:hAnsi="Times New Roman" w:eastAsia="宋体" w:cs="Times New Roman"/>
                <w:color w:val="000000"/>
                <w:kern w:val="0"/>
                <w:sz w:val="24"/>
                <w:szCs w:val="24"/>
                <w:lang w:val="en-US" w:eastAsia="zh-CN" w:bidi="ar"/>
              </w:rPr>
              <w:t>3030</w:t>
            </w:r>
            <w:r>
              <w:rPr>
                <w:rFonts w:hint="default" w:ascii="Times New Roman" w:hAnsi="Times New Roman" w:eastAsia="宋体" w:cs="Times New Roman"/>
                <w:color w:val="000000"/>
                <w:kern w:val="0"/>
                <w:sz w:val="24"/>
                <w:szCs w:val="24"/>
                <w:lang w:val="en-US" w:eastAsia="zh-CN" w:bidi="ar"/>
              </w:rPr>
              <w:t>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即</w:t>
            </w:r>
            <w:r>
              <w:rPr>
                <w:rFonts w:ascii="Times New Roman" w:hAnsi="Times New Roman" w:eastAsia="宋体" w:cs="Times New Roman"/>
                <w:bCs/>
                <w:sz w:val="24"/>
              </w:rPr>
              <w:t>租用</w:t>
            </w:r>
            <w:r>
              <w:rPr>
                <w:rFonts w:hint="eastAsia" w:ascii="Times New Roman" w:hAnsi="Times New Roman" w:eastAsia="宋体" w:cs="Times New Roman"/>
                <w:bCs/>
                <w:sz w:val="24"/>
                <w:lang w:val="en-US" w:eastAsia="zh-CN"/>
              </w:rPr>
              <w:t>厂房的</w:t>
            </w:r>
            <w:r>
              <w:rPr>
                <w:rFonts w:hint="default" w:ascii="Times New Roman" w:hAnsi="Times New Roman" w:eastAsia="宋体" w:cs="Times New Roman"/>
                <w:color w:val="000000"/>
                <w:kern w:val="0"/>
                <w:sz w:val="24"/>
                <w:szCs w:val="24"/>
                <w:lang w:val="en-US" w:eastAsia="zh-CN" w:bidi="ar"/>
              </w:rPr>
              <w:t>总建筑面积</w:t>
            </w:r>
            <w:r>
              <w:rPr>
                <w:rFonts w:hint="eastAsia" w:ascii="Times New Roman" w:hAnsi="Times New Roman" w:eastAsia="宋体" w:cs="Times New Roman"/>
                <w:color w:val="000000"/>
                <w:kern w:val="0"/>
                <w:sz w:val="24"/>
                <w:szCs w:val="24"/>
                <w:highlight w:val="none"/>
                <w:lang w:val="en-US" w:eastAsia="zh-CN" w:bidi="ar"/>
              </w:rPr>
              <w:t>3030</w:t>
            </w:r>
            <w:r>
              <w:rPr>
                <w:rFonts w:hint="default" w:ascii="Times New Roman" w:hAnsi="Times New Roman" w:eastAsia="宋体" w:cs="Times New Roman"/>
                <w:color w:val="000000"/>
                <w:kern w:val="0"/>
                <w:sz w:val="24"/>
                <w:szCs w:val="24"/>
                <w:lang w:val="en-US" w:eastAsia="zh-CN" w:bidi="ar"/>
              </w:rPr>
              <w:t>m</w:t>
            </w:r>
            <w:r>
              <w:rPr>
                <w:rFonts w:hint="default" w:ascii="Times New Roman" w:hAnsi="Times New Roman" w:eastAsia="宋体" w:cs="Times New Roman"/>
                <w:color w:val="000000"/>
                <w:kern w:val="0"/>
                <w:sz w:val="24"/>
                <w:szCs w:val="24"/>
                <w:vertAlign w:val="superscript"/>
                <w:lang w:val="en-US" w:eastAsia="zh-CN" w:bidi="ar"/>
              </w:rPr>
              <w:t>2</w:t>
            </w:r>
            <w:r>
              <w:rPr>
                <w:rFonts w:hint="eastAsia" w:ascii="Times New Roman" w:hAnsi="Times New Roman" w:eastAsia="宋体" w:cs="Times New Roman"/>
                <w:color w:val="000000"/>
                <w:kern w:val="0"/>
                <w:sz w:val="24"/>
                <w:szCs w:val="24"/>
                <w:vertAlign w:val="baseline"/>
                <w:lang w:val="en-US" w:eastAsia="zh-CN" w:bidi="ar"/>
              </w:rPr>
              <w:t>，已完成</w:t>
            </w:r>
            <w:r>
              <w:rPr>
                <w:rFonts w:hint="default" w:ascii="Times New Roman" w:hAnsi="Times New Roman" w:eastAsia="宋体" w:cs="Times New Roman"/>
                <w:color w:val="000000"/>
                <w:kern w:val="0"/>
                <w:sz w:val="24"/>
                <w:szCs w:val="24"/>
                <w:lang w:val="en-US" w:eastAsia="zh-CN" w:bidi="ar"/>
              </w:rPr>
              <w:t>主要建设内容：</w:t>
            </w:r>
            <w:r>
              <w:rPr>
                <w:rFonts w:hint="eastAsia" w:ascii="Times New Roman" w:hAnsi="Times New Roman" w:eastAsia="宋体" w:cs="Times New Roman"/>
                <w:color w:val="000000"/>
                <w:kern w:val="0"/>
                <w:sz w:val="24"/>
                <w:szCs w:val="24"/>
                <w:lang w:val="en-US" w:eastAsia="zh-CN" w:bidi="ar"/>
              </w:rPr>
              <w:t>保温板生产加工车间</w:t>
            </w:r>
            <w:r>
              <w:rPr>
                <w:rFonts w:hint="default" w:ascii="Times New Roman" w:hAnsi="Times New Roman" w:eastAsia="宋体" w:cs="Times New Roman"/>
                <w:color w:val="000000"/>
                <w:kern w:val="0"/>
                <w:sz w:val="24"/>
                <w:szCs w:val="24"/>
                <w:lang w:val="en-US" w:eastAsia="zh-CN" w:bidi="ar"/>
              </w:rPr>
              <w:t>以及相关配套设施</w:t>
            </w:r>
            <w:r>
              <w:rPr>
                <w:rFonts w:hint="eastAsia" w:ascii="Times New Roman" w:hAnsi="Times New Roman" w:eastAsia="宋体" w:cs="Times New Roman"/>
                <w:color w:val="000000"/>
                <w:kern w:val="0"/>
                <w:sz w:val="24"/>
                <w:szCs w:val="24"/>
                <w:lang w:val="en-US" w:eastAsia="zh-CN" w:bidi="ar"/>
              </w:rPr>
              <w:t>，车间内建设1条保温板生产线。保温板生产加工车间内部按实际使用功能进行划分：物料存放区、钢板加工区、模具成型区、发泡区、板材存放区等</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项目厂房内隔断出一间单独值班室（不产生生活污水），员工日常办公依托厂内综合办公楼。</w:t>
            </w:r>
            <w:r>
              <w:rPr>
                <w:rFonts w:hint="default" w:ascii="Times New Roman" w:hAnsi="Times New Roman" w:eastAsia="宋体" w:cs="Times New Roman"/>
                <w:color w:val="000000"/>
                <w:kern w:val="0"/>
                <w:sz w:val="24"/>
                <w:szCs w:val="24"/>
                <w:lang w:val="en-US" w:eastAsia="zh-CN" w:bidi="ar"/>
              </w:rPr>
              <w:t>项目主要产品为：</w:t>
            </w:r>
            <w:r>
              <w:rPr>
                <w:rFonts w:hint="eastAsia" w:ascii="Times New Roman" w:hAnsi="Times New Roman" w:eastAsia="宋体" w:cs="Times New Roman"/>
                <w:color w:val="000000"/>
                <w:kern w:val="0"/>
                <w:sz w:val="24"/>
                <w:szCs w:val="24"/>
                <w:lang w:val="en-US" w:eastAsia="zh-CN" w:bidi="ar"/>
              </w:rPr>
              <w:t>冷库聚氨酯保温板</w:t>
            </w:r>
            <w:r>
              <w:rPr>
                <w:rFonts w:hint="default" w:ascii="Times New Roman" w:hAnsi="Times New Roman" w:eastAsia="宋体" w:cs="Times New Roman"/>
                <w:color w:val="000000"/>
                <w:kern w:val="0"/>
                <w:sz w:val="24"/>
                <w:szCs w:val="24"/>
                <w:lang w:val="en-US" w:eastAsia="zh-CN" w:bidi="ar"/>
              </w:rPr>
              <w:t>，设计最大生产规模为</w:t>
            </w:r>
            <w:r>
              <w:rPr>
                <w:rFonts w:hint="eastAsia" w:ascii="Times New Roman" w:hAnsi="Times New Roman" w:eastAsia="宋体" w:cs="Times New Roman"/>
                <w:color w:val="000000"/>
                <w:kern w:val="0"/>
                <w:sz w:val="24"/>
                <w:szCs w:val="24"/>
                <w:lang w:val="en-US" w:eastAsia="zh-CN" w:bidi="ar"/>
              </w:rPr>
              <w:t>每年6万平方米（约</w:t>
            </w:r>
            <w:r>
              <w:rPr>
                <w:rFonts w:hint="eastAsia" w:ascii="Times New Roman" w:hAnsi="Times New Roman" w:eastAsia="宋体" w:cs="Times New Roman"/>
                <w:color w:val="000000"/>
                <w:kern w:val="0"/>
                <w:sz w:val="24"/>
                <w:szCs w:val="24"/>
                <w:highlight w:val="none"/>
                <w:lang w:val="en-US" w:eastAsia="zh-CN" w:bidi="ar"/>
              </w:rPr>
              <w:t>6050m</w:t>
            </w:r>
            <w:r>
              <w:rPr>
                <w:rFonts w:hint="eastAsia" w:ascii="Times New Roman" w:hAnsi="Times New Roman" w:eastAsia="宋体" w:cs="Times New Roman"/>
                <w:color w:val="000000"/>
                <w:kern w:val="0"/>
                <w:sz w:val="24"/>
                <w:szCs w:val="24"/>
                <w:highlight w:val="none"/>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/a</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厂内生产加工板材</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厂外现场组装</w:t>
            </w:r>
            <w:r>
              <w:rPr>
                <w:rFonts w:hint="default" w:ascii="Times New Roman" w:hAnsi="Times New Roman" w:eastAsia="宋体" w:cs="Times New Roman"/>
                <w:color w:val="000000"/>
                <w:kern w:val="0"/>
                <w:sz w:val="24"/>
                <w:szCs w:val="24"/>
                <w:lang w:val="en-US" w:eastAsia="zh-CN" w:bidi="ar"/>
              </w:rPr>
              <w:t>。项目</w:t>
            </w:r>
            <w:r>
              <w:rPr>
                <w:rFonts w:hint="eastAsia" w:ascii="Times New Roman" w:hAnsi="Times New Roman" w:eastAsia="宋体" w:cs="Times New Roman"/>
                <w:color w:val="000000"/>
                <w:kern w:val="0"/>
                <w:sz w:val="24"/>
                <w:szCs w:val="24"/>
                <w:lang w:val="en-US" w:eastAsia="zh-CN" w:bidi="ar"/>
              </w:rPr>
              <w:t>实际</w:t>
            </w:r>
            <w:r>
              <w:rPr>
                <w:rFonts w:hint="default" w:ascii="Times New Roman" w:hAnsi="Times New Roman" w:eastAsia="宋体" w:cs="Times New Roman"/>
                <w:color w:val="000000"/>
                <w:kern w:val="0"/>
                <w:sz w:val="24"/>
                <w:szCs w:val="24"/>
                <w:lang w:val="en-US" w:eastAsia="zh-CN" w:bidi="ar"/>
              </w:rPr>
              <w:t>总投资</w:t>
            </w:r>
            <w:r>
              <w:rPr>
                <w:rFonts w:hint="eastAsia" w:ascii="Times New Roman" w:hAnsi="Times New Roman" w:eastAsia="宋体" w:cs="Times New Roman"/>
                <w:color w:val="000000"/>
                <w:kern w:val="0"/>
                <w:sz w:val="24"/>
                <w:szCs w:val="24"/>
                <w:highlight w:val="none"/>
                <w:lang w:val="en-US" w:eastAsia="zh-CN" w:bidi="ar"/>
              </w:rPr>
              <w:t>350</w:t>
            </w:r>
            <w:r>
              <w:rPr>
                <w:rFonts w:hint="default" w:ascii="Times New Roman" w:hAnsi="Times New Roman" w:eastAsia="宋体" w:cs="Times New Roman"/>
                <w:color w:val="000000"/>
                <w:kern w:val="0"/>
                <w:sz w:val="24"/>
                <w:szCs w:val="24"/>
                <w:lang w:val="en-US" w:eastAsia="zh-CN" w:bidi="ar"/>
              </w:rPr>
              <w:t>万元，其中环保投资</w:t>
            </w:r>
            <w:r>
              <w:rPr>
                <w:rFonts w:hint="eastAsia" w:ascii="Times New Roman" w:hAnsi="Times New Roman" w:eastAsia="宋体" w:cs="Times New Roman"/>
                <w:color w:val="000000"/>
                <w:kern w:val="0"/>
                <w:sz w:val="24"/>
                <w:szCs w:val="24"/>
                <w:lang w:val="en-US" w:eastAsia="zh-CN" w:bidi="ar"/>
              </w:rPr>
              <w:t>32</w:t>
            </w:r>
            <w:r>
              <w:rPr>
                <w:rFonts w:hint="default" w:ascii="Times New Roman" w:hAnsi="Times New Roman" w:eastAsia="宋体" w:cs="Times New Roman"/>
                <w:color w:val="000000"/>
                <w:kern w:val="0"/>
                <w:sz w:val="24"/>
                <w:szCs w:val="24"/>
                <w:lang w:val="en-US" w:eastAsia="zh-CN" w:bidi="ar"/>
              </w:rPr>
              <w:t>万元，占比总投资的</w:t>
            </w:r>
            <w:r>
              <w:rPr>
                <w:rFonts w:hint="eastAsia" w:ascii="Times New Roman" w:hAnsi="Times New Roman" w:eastAsia="宋体" w:cs="Times New Roman"/>
                <w:color w:val="000000"/>
                <w:kern w:val="0"/>
                <w:sz w:val="24"/>
                <w:szCs w:val="24"/>
                <w:highlight w:val="none"/>
                <w:lang w:val="en-US" w:eastAsia="zh-CN" w:bidi="ar"/>
              </w:rPr>
              <w:t>9.1</w:t>
            </w:r>
            <w:r>
              <w:rPr>
                <w:rFonts w:hint="default" w:ascii="Times New Roman" w:hAnsi="Times New Roman" w:eastAsia="宋体" w:cs="Times New Roman"/>
                <w:color w:val="000000"/>
                <w:kern w:val="0"/>
                <w:sz w:val="24"/>
                <w:szCs w:val="24"/>
                <w:lang w:val="en-US" w:eastAsia="zh-CN" w:bidi="ar"/>
              </w:rPr>
              <w:t>%。</w:t>
            </w:r>
            <w:r>
              <w:rPr>
                <w:rFonts w:ascii="Times New Roman" w:hAnsi="Times New Roman" w:eastAsia="宋体" w:cs="Times New Roman"/>
                <w:sz w:val="24"/>
              </w:rPr>
              <w:t>项目实际建设情况与环评报告及批复的建设内容基本相符，部分工程设施按照实际情况进行调整，生产规模以及</w:t>
            </w:r>
            <w:r>
              <w:rPr>
                <w:rFonts w:ascii="Times New Roman" w:hAnsi="Times New Roman" w:eastAsia="宋体" w:cs="Times New Roman"/>
                <w:sz w:val="24"/>
                <w:lang w:val="zh-TW" w:eastAsia="zh-TW"/>
              </w:rPr>
              <w:t>配套环保设施符合竣工环境保护验收的条件。</w:t>
            </w:r>
          </w:p>
          <w:p w14:paraId="2A9076BC">
            <w:pPr>
              <w:pStyle w:val="28"/>
              <w:keepNext w:val="0"/>
              <w:keepLines w:val="0"/>
              <w:pageBreakBefore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b/>
                <w:color w:val="000000" w:themeColor="text1"/>
                <w:sz w:val="24"/>
                <w14:textFill>
                  <w14:solidFill>
                    <w14:schemeClr w14:val="tx1"/>
                  </w14:solidFill>
                </w14:textFill>
              </w:rPr>
            </w:pPr>
            <w:r>
              <w:rPr>
                <w:rFonts w:hAnsi="Times New Roman" w:cs="Times New Roman"/>
                <w:b/>
                <w:color w:val="000000" w:themeColor="text1"/>
                <w:sz w:val="24"/>
                <w14:textFill>
                  <w14:solidFill>
                    <w14:schemeClr w14:val="tx1"/>
                  </w14:solidFill>
                </w14:textFill>
              </w:rPr>
              <w:t>2、验收监测结果及固废处置情况</w:t>
            </w:r>
          </w:p>
          <w:p w14:paraId="0327D275">
            <w:pPr>
              <w:pStyle w:val="28"/>
              <w:keepNext w:val="0"/>
              <w:keepLines w:val="0"/>
              <w:pageBreakBefore w:val="0"/>
              <w:kinsoku/>
              <w:wordWrap/>
              <w:overflowPunct/>
              <w:topLinePunct w:val="0"/>
              <w:bidi w:val="0"/>
              <w:adjustRightInd w:val="0"/>
              <w:snapToGrid w:val="0"/>
              <w:spacing w:after="0" w:line="500" w:lineRule="exact"/>
              <w:ind w:left="0" w:leftChars="0" w:firstLine="468" w:firstLineChars="195"/>
              <w:textAlignment w:val="auto"/>
              <w:rPr>
                <w:rFonts w:hAnsi="Times New Roman" w:cs="Times New Roman"/>
                <w:b/>
                <w:color w:val="000000" w:themeColor="text1"/>
                <w:sz w:val="24"/>
                <w14:textFill>
                  <w14:solidFill>
                    <w14:schemeClr w14:val="tx1"/>
                  </w14:solidFill>
                </w14:textFill>
              </w:rPr>
            </w:pPr>
            <w:r>
              <w:rPr>
                <w:rFonts w:hAnsi="Times New Roman" w:cs="Times New Roman"/>
                <w:color w:val="000000" w:themeColor="text1"/>
                <w:sz w:val="24"/>
                <w14:textFill>
                  <w14:solidFill>
                    <w14:schemeClr w14:val="tx1"/>
                  </w14:solidFill>
                </w14:textFill>
              </w:rPr>
              <w:t>通过对本项目营运期产生的废气和噪声等污染物排放情况进行监测和</w:t>
            </w:r>
            <w:r>
              <w:rPr>
                <w:rFonts w:hint="eastAsia" w:hAnsi="Times New Roman" w:cs="Times New Roman"/>
                <w:color w:val="000000" w:themeColor="text1"/>
                <w:sz w:val="24"/>
                <w:lang w:val="en-US" w:eastAsia="zh-CN"/>
                <w14:textFill>
                  <w14:solidFill>
                    <w14:schemeClr w14:val="tx1"/>
                  </w14:solidFill>
                </w14:textFill>
              </w:rPr>
              <w:t>废水、</w:t>
            </w:r>
            <w:r>
              <w:rPr>
                <w:rFonts w:hAnsi="Times New Roman" w:cs="Times New Roman"/>
                <w:color w:val="000000" w:themeColor="text1"/>
                <w:sz w:val="24"/>
                <w14:textFill>
                  <w14:solidFill>
                    <w14:schemeClr w14:val="tx1"/>
                  </w14:solidFill>
                </w14:textFill>
              </w:rPr>
              <w:t>固废处置情况进行调查后结果如下。</w:t>
            </w:r>
          </w:p>
          <w:p w14:paraId="29C182E9">
            <w:pPr>
              <w:pStyle w:val="28"/>
              <w:keepNext w:val="0"/>
              <w:keepLines w:val="0"/>
              <w:pageBreakBefore w:val="0"/>
              <w:kinsoku/>
              <w:wordWrap/>
              <w:overflowPunct/>
              <w:topLinePunct w:val="0"/>
              <w:bidi w:val="0"/>
              <w:adjustRightInd w:val="0"/>
              <w:snapToGrid w:val="0"/>
              <w:spacing w:after="0" w:line="500" w:lineRule="exact"/>
              <w:ind w:left="0" w:leftChars="0" w:firstLine="480" w:firstLineChars="200"/>
              <w:textAlignment w:val="auto"/>
              <w:rPr>
                <w:rFonts w:hAnsi="Times New Roman" w:cs="Times New Roman"/>
                <w:b/>
                <w:color w:val="000000" w:themeColor="text1"/>
                <w:sz w:val="24"/>
                <w14:textFill>
                  <w14:solidFill>
                    <w14:schemeClr w14:val="tx1"/>
                  </w14:solidFill>
                </w14:textFill>
              </w:rPr>
            </w:pPr>
            <w:r>
              <w:rPr>
                <w:rFonts w:hAnsi="Times New Roman" w:cs="Times New Roman"/>
                <w:color w:val="000000" w:themeColor="text1"/>
                <w:sz w:val="24"/>
                <w14:textFill>
                  <w14:solidFill>
                    <w14:schemeClr w14:val="tx1"/>
                  </w14:solidFill>
                </w14:textFill>
              </w:rPr>
              <w:t>（1）废水</w:t>
            </w:r>
            <w:r>
              <w:rPr>
                <w:rFonts w:hint="eastAsia" w:hAnsi="Times New Roman" w:cs="Times New Roman"/>
                <w:color w:val="000000" w:themeColor="text1"/>
                <w:sz w:val="24"/>
                <w:lang w:val="en-US" w:eastAsia="zh-CN"/>
                <w14:textFill>
                  <w14:solidFill>
                    <w14:schemeClr w14:val="tx1"/>
                  </w14:solidFill>
                </w14:textFill>
              </w:rPr>
              <w:t>调查</w:t>
            </w:r>
            <w:r>
              <w:rPr>
                <w:rFonts w:hAnsi="Times New Roman" w:cs="Times New Roman"/>
                <w:color w:val="000000" w:themeColor="text1"/>
                <w:sz w:val="24"/>
                <w14:textFill>
                  <w14:solidFill>
                    <w14:schemeClr w14:val="tx1"/>
                  </w14:solidFill>
                </w14:textFill>
              </w:rPr>
              <w:t>结果</w:t>
            </w:r>
          </w:p>
          <w:p w14:paraId="729ED80F">
            <w:pPr>
              <w:keepNext w:val="0"/>
              <w:keepLines w:val="0"/>
              <w:pageBreakBefore w:val="0"/>
              <w:widowControl/>
              <w:kinsoku/>
              <w:wordWrap/>
              <w:overflowPunct/>
              <w:topLinePunct w:val="0"/>
              <w:bidi w:val="0"/>
              <w:adjustRightInd w:val="0"/>
              <w:snapToGrid w:val="0"/>
              <w:spacing w:line="500" w:lineRule="exact"/>
              <w:ind w:firstLine="440" w:firstLineChars="200"/>
              <w:jc w:val="left"/>
              <w:textAlignment w:val="auto"/>
              <w:rPr>
                <w:rFonts w:hint="default" w:ascii="Times New Roman" w:hAnsi="Times New Roman" w:eastAsia="宋体" w:cs="Times New Roman"/>
                <w:bCs/>
                <w:spacing w:val="-10"/>
                <w:sz w:val="24"/>
                <w:szCs w:val="24"/>
                <w:lang w:val="en-US" w:eastAsia="zh-CN"/>
              </w:rPr>
            </w:pPr>
            <w:r>
              <w:rPr>
                <w:rFonts w:hint="default" w:ascii="Times New Roman" w:hAnsi="Times New Roman" w:eastAsia="宋体" w:cs="Times New Roman"/>
                <w:bCs/>
                <w:spacing w:val="-10"/>
                <w:sz w:val="24"/>
                <w:szCs w:val="24"/>
              </w:rPr>
              <w:t>项目营运期</w:t>
            </w:r>
            <w:r>
              <w:rPr>
                <w:rFonts w:hint="default" w:ascii="Times New Roman" w:hAnsi="Times New Roman" w:eastAsia="宋体" w:cs="Times New Roman"/>
                <w:bCs/>
                <w:spacing w:val="-10"/>
                <w:sz w:val="24"/>
                <w:szCs w:val="24"/>
                <w:lang w:val="en-US" w:eastAsia="zh-CN"/>
              </w:rPr>
              <w:t>废水</w:t>
            </w:r>
            <w:r>
              <w:rPr>
                <w:rFonts w:hint="default" w:ascii="Times New Roman" w:hAnsi="Times New Roman" w:eastAsia="宋体" w:cs="Times New Roman"/>
                <w:bCs/>
                <w:spacing w:val="-10"/>
                <w:sz w:val="24"/>
                <w:szCs w:val="24"/>
              </w:rPr>
              <w:t>主要为</w:t>
            </w:r>
            <w:r>
              <w:rPr>
                <w:rFonts w:hint="eastAsia" w:ascii="Times New Roman" w:hAnsi="Times New Roman" w:eastAsia="宋体" w:cs="Times New Roman"/>
                <w:bCs/>
                <w:spacing w:val="-10"/>
                <w:sz w:val="24"/>
                <w:szCs w:val="24"/>
                <w:lang w:eastAsia="zh-CN"/>
              </w:rPr>
              <w:t>：</w:t>
            </w:r>
            <w:r>
              <w:rPr>
                <w:rFonts w:hint="default" w:ascii="Times New Roman" w:hAnsi="Times New Roman" w:eastAsia="宋体" w:cs="Times New Roman"/>
                <w:bCs/>
                <w:spacing w:val="-10"/>
                <w:sz w:val="24"/>
                <w:szCs w:val="24"/>
                <w:lang w:val="en-US" w:eastAsia="zh-CN"/>
              </w:rPr>
              <w:t>工作</w:t>
            </w:r>
            <w:r>
              <w:rPr>
                <w:rFonts w:hint="default" w:ascii="Times New Roman" w:hAnsi="Times New Roman" w:eastAsia="宋体" w:cs="Times New Roman"/>
                <w:bCs/>
                <w:spacing w:val="-10"/>
                <w:sz w:val="24"/>
                <w:szCs w:val="24"/>
              </w:rPr>
              <w:t>人员生活</w:t>
            </w:r>
            <w:r>
              <w:rPr>
                <w:rFonts w:hint="default" w:ascii="Times New Roman" w:hAnsi="Times New Roman" w:eastAsia="宋体" w:cs="Times New Roman"/>
                <w:bCs/>
                <w:spacing w:val="-10"/>
                <w:sz w:val="24"/>
                <w:szCs w:val="24"/>
                <w:lang w:val="en-US" w:eastAsia="zh-CN"/>
              </w:rPr>
              <w:t>污水</w:t>
            </w:r>
            <w:r>
              <w:rPr>
                <w:rFonts w:hint="eastAsia" w:ascii="Times New Roman" w:hAnsi="Times New Roman" w:eastAsia="宋体" w:cs="Times New Roman"/>
                <w:bCs/>
                <w:spacing w:val="-10"/>
                <w:sz w:val="24"/>
                <w:szCs w:val="24"/>
                <w:lang w:val="en-US" w:eastAsia="zh-CN"/>
              </w:rPr>
              <w:t>，无生产废水产排。项目营运期车间和设备仅人工清扫，无需用水清洗；发泡定型采用自然成型，无需用水冷却</w:t>
            </w:r>
            <w:r>
              <w:rPr>
                <w:rFonts w:hint="default" w:ascii="Times New Roman" w:hAnsi="Times New Roman" w:eastAsia="宋体" w:cs="Times New Roman"/>
                <w:bCs/>
                <w:spacing w:val="-10"/>
                <w:sz w:val="24"/>
                <w:szCs w:val="24"/>
                <w:lang w:val="en-US" w:eastAsia="zh-CN"/>
              </w:rPr>
              <w:t>。</w:t>
            </w:r>
            <w:r>
              <w:rPr>
                <w:rFonts w:hint="eastAsia" w:ascii="Times New Roman" w:hAnsi="Times New Roman" w:eastAsia="宋体" w:cs="Times New Roman"/>
                <w:bCs/>
                <w:spacing w:val="-10"/>
                <w:sz w:val="24"/>
                <w:szCs w:val="24"/>
                <w:lang w:val="en-US" w:eastAsia="zh-CN"/>
              </w:rPr>
              <w:t>项目厂房内仅设置值班室（不涉及产排污），员工办公依托厂区现有办公楼。</w:t>
            </w:r>
            <w:r>
              <w:rPr>
                <w:rFonts w:hint="default" w:ascii="Times New Roman" w:hAnsi="Times New Roman" w:eastAsia="宋体" w:cs="Times New Roman"/>
                <w:bCs/>
                <w:spacing w:val="-10"/>
                <w:sz w:val="24"/>
                <w:szCs w:val="24"/>
              </w:rPr>
              <w:t>生活污</w:t>
            </w:r>
            <w:r>
              <w:rPr>
                <w:rFonts w:hint="eastAsia" w:ascii="Times New Roman" w:hAnsi="Times New Roman" w:eastAsia="宋体" w:cs="Times New Roman"/>
                <w:bCs/>
                <w:spacing w:val="-10"/>
                <w:sz w:val="24"/>
                <w:szCs w:val="24"/>
                <w:lang w:val="en-US" w:eastAsia="zh-CN"/>
              </w:rPr>
              <w:t>水依托厂内</w:t>
            </w:r>
            <w:r>
              <w:rPr>
                <w:rFonts w:hint="default" w:ascii="Times New Roman" w:hAnsi="Times New Roman" w:eastAsia="宋体" w:cs="Times New Roman"/>
                <w:bCs/>
                <w:spacing w:val="-10"/>
                <w:sz w:val="24"/>
                <w:szCs w:val="24"/>
                <w:lang w:val="en-US" w:eastAsia="zh-CN"/>
              </w:rPr>
              <w:t>三级化粪池，</w:t>
            </w:r>
            <w:r>
              <w:rPr>
                <w:rFonts w:hint="eastAsia" w:ascii="Times New Roman" w:hAnsi="Times New Roman" w:eastAsia="宋体" w:cs="Times New Roman"/>
                <w:bCs/>
                <w:spacing w:val="-10"/>
                <w:sz w:val="24"/>
                <w:szCs w:val="24"/>
                <w:lang w:val="en-US" w:eastAsia="zh-CN"/>
              </w:rPr>
              <w:t>后接入市政污水管网</w:t>
            </w:r>
            <w:r>
              <w:rPr>
                <w:rFonts w:hint="default" w:ascii="Times New Roman" w:hAnsi="Times New Roman" w:eastAsia="宋体" w:cs="Times New Roman"/>
                <w:bCs/>
                <w:spacing w:val="-10"/>
                <w:sz w:val="24"/>
                <w:szCs w:val="24"/>
                <w:lang w:val="en-US" w:eastAsia="zh-CN"/>
              </w:rPr>
              <w:t>，</w:t>
            </w:r>
            <w:r>
              <w:rPr>
                <w:rFonts w:hint="eastAsia" w:ascii="Times New Roman" w:hAnsi="Times New Roman" w:eastAsia="宋体" w:cs="Times New Roman"/>
                <w:bCs/>
                <w:spacing w:val="-10"/>
                <w:sz w:val="24"/>
                <w:szCs w:val="24"/>
                <w:lang w:val="en-US" w:eastAsia="zh-CN"/>
              </w:rPr>
              <w:t>排入老城污水处理厂（西区）深度处理</w:t>
            </w:r>
            <w:r>
              <w:rPr>
                <w:rFonts w:hint="default" w:ascii="Times New Roman" w:hAnsi="Times New Roman" w:eastAsia="宋体" w:cs="Times New Roman"/>
                <w:bCs/>
                <w:spacing w:val="-10"/>
                <w:sz w:val="24"/>
                <w:szCs w:val="24"/>
                <w:lang w:val="en-US" w:eastAsia="zh-CN"/>
              </w:rPr>
              <w:t>。</w:t>
            </w:r>
          </w:p>
          <w:p w14:paraId="73B07696">
            <w:pPr>
              <w:pStyle w:val="28"/>
              <w:keepNext w:val="0"/>
              <w:keepLines w:val="0"/>
              <w:pageBreakBefore w:val="0"/>
              <w:kinsoku/>
              <w:wordWrap/>
              <w:overflowPunct/>
              <w:topLinePunct w:val="0"/>
              <w:bidi w:val="0"/>
              <w:adjustRightInd w:val="0"/>
              <w:snapToGrid w:val="0"/>
              <w:spacing w:after="0" w:line="500" w:lineRule="exact"/>
              <w:ind w:left="0" w:leftChars="0" w:firstLine="468"/>
              <w:textAlignment w:val="auto"/>
              <w:rPr>
                <w:rFonts w:hAnsi="Times New Roman"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综上，项目营运期</w:t>
            </w:r>
            <w:r>
              <w:rPr>
                <w:rFonts w:hint="eastAsia" w:hAnsi="Times New Roman" w:eastAsia="宋体" w:cs="Times New Roman"/>
                <w:color w:val="000000" w:themeColor="text1"/>
                <w:sz w:val="24"/>
                <w:lang w:val="en-US" w:eastAsia="zh-CN"/>
                <w14:textFill>
                  <w14:solidFill>
                    <w14:schemeClr w14:val="tx1"/>
                  </w14:solidFill>
                </w14:textFill>
              </w:rPr>
              <w:t>废水</w:t>
            </w:r>
            <w:r>
              <w:rPr>
                <w:rFonts w:ascii="Times New Roman" w:hAnsi="Times New Roman" w:eastAsia="宋体" w:cs="Times New Roman"/>
                <w:color w:val="000000" w:themeColor="text1"/>
                <w:sz w:val="24"/>
                <w14:textFill>
                  <w14:solidFill>
                    <w14:schemeClr w14:val="tx1"/>
                  </w14:solidFill>
                </w14:textFill>
              </w:rPr>
              <w:t>均得到合理处置。</w:t>
            </w:r>
          </w:p>
          <w:p w14:paraId="05BB9191">
            <w:pPr>
              <w:pStyle w:val="28"/>
              <w:keepNext w:val="0"/>
              <w:keepLines w:val="0"/>
              <w:pageBreakBefore w:val="0"/>
              <w:kinsoku/>
              <w:wordWrap/>
              <w:overflowPunct/>
              <w:topLinePunct w:val="0"/>
              <w:bidi w:val="0"/>
              <w:adjustRightInd w:val="0"/>
              <w:snapToGrid w:val="0"/>
              <w:spacing w:after="0" w:line="500" w:lineRule="exact"/>
              <w:ind w:left="0" w:leftChars="0" w:firstLine="468"/>
              <w:textAlignment w:val="auto"/>
              <w:rPr>
                <w:rFonts w:hAnsi="Times New Roman" w:cs="Times New Roman"/>
                <w:b/>
                <w:color w:val="000000" w:themeColor="text1"/>
                <w:sz w:val="24"/>
                <w14:textFill>
                  <w14:solidFill>
                    <w14:schemeClr w14:val="tx1"/>
                  </w14:solidFill>
                </w14:textFill>
              </w:rPr>
            </w:pPr>
            <w:r>
              <w:rPr>
                <w:rFonts w:hAnsi="Times New Roman" w:cs="Times New Roman"/>
                <w:color w:val="000000" w:themeColor="text1"/>
                <w:sz w:val="24"/>
                <w14:textFill>
                  <w14:solidFill>
                    <w14:schemeClr w14:val="tx1"/>
                  </w14:solidFill>
                </w14:textFill>
              </w:rPr>
              <w:t>（2）废气监测结果</w:t>
            </w:r>
          </w:p>
          <w:p w14:paraId="07CC0BCC">
            <w:pPr>
              <w:pStyle w:val="28"/>
              <w:keepNext w:val="0"/>
              <w:keepLines w:val="0"/>
              <w:pageBreakBefore w:val="0"/>
              <w:kinsoku/>
              <w:wordWrap/>
              <w:overflowPunct/>
              <w:topLinePunct w:val="0"/>
              <w:bidi w:val="0"/>
              <w:adjustRightInd w:val="0"/>
              <w:snapToGrid w:val="0"/>
              <w:spacing w:after="0" w:line="500" w:lineRule="exact"/>
              <w:ind w:left="0" w:leftChars="0" w:firstLine="468"/>
              <w:textAlignment w:val="auto"/>
              <w:rPr>
                <w:rFonts w:hint="eastAsia" w:hAnsi="Times New Roman" w:eastAsia="宋体" w:cs="Times New Roman"/>
                <w:color w:val="000000" w:themeColor="text1"/>
                <w:sz w:val="24"/>
                <w:lang w:eastAsia="zh-CN"/>
                <w14:textFill>
                  <w14:solidFill>
                    <w14:schemeClr w14:val="tx1"/>
                  </w14:solidFill>
                </w14:textFill>
              </w:rPr>
            </w:pPr>
            <w:r>
              <w:rPr>
                <w:rFonts w:hint="eastAsia" w:ascii="Times New Roman"/>
                <w:bCs/>
                <w:color w:val="auto"/>
                <w:sz w:val="24"/>
                <w:szCs w:val="24"/>
                <w:highlight w:val="none"/>
              </w:rPr>
              <w:t>2025年4月17-18日</w:t>
            </w:r>
            <w:r>
              <w:rPr>
                <w:rFonts w:hAnsi="Times New Roman" w:cs="Times New Roman"/>
                <w:color w:val="000000" w:themeColor="text1"/>
                <w:sz w:val="24"/>
                <w14:textFill>
                  <w14:solidFill>
                    <w14:schemeClr w14:val="tx1"/>
                  </w14:solidFill>
                </w14:textFill>
              </w:rPr>
              <w:t>验收监测期间</w:t>
            </w:r>
            <w:r>
              <w:rPr>
                <w:rFonts w:hAnsi="Times New Roman" w:cs="Times New Roman"/>
                <w:bCs/>
                <w:color w:val="000000" w:themeColor="text1"/>
                <w:sz w:val="24"/>
                <w14:textFill>
                  <w14:solidFill>
                    <w14:schemeClr w14:val="tx1"/>
                  </w14:solidFill>
                </w14:textFill>
              </w:rPr>
              <w:t>，通过对</w:t>
            </w:r>
            <w:r>
              <w:rPr>
                <w:rFonts w:hAnsi="Times New Roman" w:cs="Times New Roman"/>
                <w:color w:val="000000" w:themeColor="text1"/>
                <w:sz w:val="24"/>
                <w14:textFill>
                  <w14:solidFill>
                    <w14:schemeClr w14:val="tx1"/>
                  </w14:solidFill>
                </w14:textFill>
              </w:rPr>
              <w:t>项目废气</w:t>
            </w:r>
            <w:r>
              <w:rPr>
                <w:rFonts w:hint="eastAsia" w:hAnsi="Times New Roman" w:cs="Times New Roman"/>
                <w:color w:val="000000" w:themeColor="text1"/>
                <w:sz w:val="24"/>
                <w:lang w:val="en-US" w:eastAsia="zh-CN"/>
                <w14:textFill>
                  <w14:solidFill>
                    <w14:schemeClr w14:val="tx1"/>
                  </w14:solidFill>
                </w14:textFill>
              </w:rPr>
              <w:t>进口/</w:t>
            </w:r>
            <w:r>
              <w:rPr>
                <w:rFonts w:hAnsi="Times New Roman" w:cs="Times New Roman"/>
                <w:color w:val="000000" w:themeColor="text1"/>
                <w:sz w:val="24"/>
                <w14:textFill>
                  <w14:solidFill>
                    <w14:schemeClr w14:val="tx1"/>
                  </w14:solidFill>
                </w14:textFill>
              </w:rPr>
              <w:t>排放口、厂界无组织等废气的监测</w:t>
            </w:r>
            <w:r>
              <w:rPr>
                <w:rFonts w:hint="eastAsia" w:hAnsi="Times New Roman" w:cs="Times New Roman"/>
                <w:color w:val="000000" w:themeColor="text1"/>
                <w:sz w:val="24"/>
                <w:lang w:eastAsia="zh-CN"/>
                <w14:textFill>
                  <w14:solidFill>
                    <w14:schemeClr w14:val="tx1"/>
                  </w14:solidFill>
                </w14:textFill>
              </w:rPr>
              <w:t>：</w:t>
            </w:r>
          </w:p>
          <w:p w14:paraId="39ED335A">
            <w:pPr>
              <w:pStyle w:val="36"/>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color w:val="000000" w:themeColor="text1"/>
                <w:szCs w:val="24"/>
                <w14:textFill>
                  <w14:solidFill>
                    <w14:schemeClr w14:val="tx1"/>
                  </w14:solidFill>
                </w14:textFill>
              </w:rPr>
            </w:pPr>
            <w:r>
              <w:rPr>
                <w:rFonts w:ascii="Times New Roman"/>
                <w:color w:val="000000" w:themeColor="text1"/>
                <w:szCs w:val="24"/>
                <w14:textFill>
                  <w14:solidFill>
                    <w14:schemeClr w14:val="tx1"/>
                  </w14:solidFill>
                </w14:textFill>
              </w:rPr>
              <w:t>①有组织废气污染物：</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非甲烷总烃</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符合</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《合成树脂工业污染物排放标准》（GB31572-2015）（含2024年修改单）中表4大气污染物排放限值；臭气浓度</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符合</w:t>
            </w:r>
            <w:r>
              <w:rPr>
                <w:rFonts w:hint="default" w:ascii="Times New Roman" w:hAnsi="Times New Roman" w:cs="Times New Roman"/>
                <w:color w:val="000000" w:themeColor="text1"/>
                <w:sz w:val="24"/>
                <w:szCs w:val="24"/>
                <w:lang w:val="en-US" w:eastAsia="zh-CN"/>
                <w14:textFill>
                  <w14:solidFill>
                    <w14:schemeClr w14:val="tx1"/>
                  </w14:solidFill>
                </w14:textFill>
              </w:rPr>
              <w:t>《恶臭污染物排放标准》（GB14554-93）中表2排放标准限值。</w:t>
            </w:r>
            <w:r>
              <w:rPr>
                <w:rFonts w:hint="eastAsia" w:ascii="Times New Roman" w:hAnsi="Times New Roman" w:eastAsia="宋体" w:cs="Times New Roman"/>
                <w:color w:val="000000" w:themeColor="text1"/>
                <w:sz w:val="24"/>
                <w:lang w:val="en-US" w:eastAsia="zh-CN"/>
                <w14:textFill>
                  <w14:solidFill>
                    <w14:schemeClr w14:val="tx1"/>
                  </w14:solidFill>
                </w14:textFill>
              </w:rPr>
              <w:t>废气治理效率为符合环评中</w:t>
            </w:r>
            <w:r>
              <w:rPr>
                <w:rFonts w:hint="eastAsia" w:ascii="Times New Roman" w:cs="Times New Roman"/>
                <w:color w:val="000000" w:themeColor="text1"/>
                <w:sz w:val="24"/>
                <w:lang w:val="en-US" w:eastAsia="zh-CN"/>
                <w14:textFill>
                  <w14:solidFill>
                    <w14:schemeClr w14:val="tx1"/>
                  </w14:solidFill>
                </w14:textFill>
              </w:rPr>
              <w:t>27.8</w:t>
            </w:r>
            <w:r>
              <w:rPr>
                <w:rFonts w:hint="eastAsia" w:ascii="Times New Roman" w:hAnsi="Times New Roman" w:eastAsia="宋体" w:cs="Times New Roman"/>
                <w:color w:val="000000" w:themeColor="text1"/>
                <w:sz w:val="24"/>
                <w:lang w:val="en-US" w:eastAsia="zh-CN"/>
                <w14:textFill>
                  <w14:solidFill>
                    <w14:schemeClr w14:val="tx1"/>
                  </w14:solidFill>
                </w14:textFill>
              </w:rPr>
              <w:t>%的要求。</w:t>
            </w:r>
            <w:r>
              <w:rPr>
                <w:rFonts w:hint="default" w:ascii="Times New Roman" w:hAnsi="Times New Roman" w:eastAsia="宋体" w:cs="Times New Roman"/>
                <w:color w:val="000000"/>
                <w:kern w:val="0"/>
                <w:sz w:val="24"/>
                <w:szCs w:val="24"/>
                <w:lang w:val="en-US" w:eastAsia="zh-CN" w:bidi="ar"/>
              </w:rPr>
              <w:t>非甲烷总烃</w:t>
            </w:r>
            <w:r>
              <w:rPr>
                <w:rFonts w:hint="eastAsia" w:ascii="Times New Roman" w:eastAsia="宋体" w:cs="Times New Roman"/>
                <w:color w:val="000000"/>
                <w:kern w:val="0"/>
                <w:sz w:val="24"/>
                <w:szCs w:val="24"/>
                <w:lang w:val="en-US" w:eastAsia="zh-CN" w:bidi="ar"/>
              </w:rPr>
              <w:t>排放量</w:t>
            </w:r>
            <w:r>
              <w:rPr>
                <w:rFonts w:hint="eastAsia" w:ascii="Times New Roman" w:eastAsia="宋体" w:cs="Times New Roman"/>
                <w:sz w:val="24"/>
                <w:lang w:val="en-US" w:eastAsia="zh-CN"/>
              </w:rPr>
              <w:t>符合</w:t>
            </w:r>
            <w:r>
              <w:rPr>
                <w:rFonts w:ascii="Times New Roman" w:hAnsi="Times New Roman" w:eastAsia="宋体" w:cs="Times New Roman"/>
                <w:sz w:val="24"/>
              </w:rPr>
              <w:t>项目环评及批复文件的总量控制指标</w:t>
            </w:r>
            <w:r>
              <w:rPr>
                <w:rFonts w:hint="default" w:ascii="Times New Roman" w:hAnsi="Times New Roman" w:eastAsia="宋体" w:cs="Times New Roman"/>
                <w:color w:val="000000"/>
                <w:kern w:val="0"/>
                <w:sz w:val="24"/>
                <w:szCs w:val="24"/>
                <w:vertAlign w:val="baseline"/>
                <w:lang w:val="en-US" w:eastAsia="zh-CN" w:bidi="ar"/>
              </w:rPr>
              <w:t>0.117</w:t>
            </w:r>
            <w:r>
              <w:rPr>
                <w:rFonts w:hint="default" w:ascii="Times New Roman" w:hAnsi="Times New Roman" w:eastAsia="宋体" w:cs="Times New Roman"/>
                <w:color w:val="000000"/>
                <w:kern w:val="0"/>
                <w:sz w:val="24"/>
                <w:szCs w:val="24"/>
                <w:highlight w:val="none"/>
                <w:lang w:val="en-US" w:eastAsia="zh-CN" w:bidi="ar"/>
              </w:rPr>
              <w:t>t/a</w:t>
            </w:r>
            <w:r>
              <w:rPr>
                <w:rFonts w:ascii="Times New Roman" w:hAnsi="Times New Roman" w:eastAsia="宋体" w:cs="Times New Roman"/>
                <w:sz w:val="24"/>
              </w:rPr>
              <w:t>的要求。</w:t>
            </w:r>
          </w:p>
          <w:p w14:paraId="5BD7DDE8">
            <w:pPr>
              <w:pStyle w:val="28"/>
              <w:keepNext w:val="0"/>
              <w:keepLines w:val="0"/>
              <w:pageBreakBefore w:val="0"/>
              <w:kinsoku/>
              <w:wordWrap/>
              <w:overflowPunct/>
              <w:topLinePunct w:val="0"/>
              <w:bidi w:val="0"/>
              <w:adjustRightInd w:val="0"/>
              <w:snapToGrid w:val="0"/>
              <w:spacing w:after="0" w:line="500" w:lineRule="exact"/>
              <w:ind w:left="0" w:leftChars="0" w:firstLine="468"/>
              <w:textAlignment w:val="auto"/>
              <w:rPr>
                <w:rFonts w:hAnsi="Times New Roman" w:cs="Times New Roman"/>
                <w:b/>
                <w:bCs/>
                <w:color w:val="000000" w:themeColor="text1"/>
                <w:sz w:val="24"/>
                <w14:textFill>
                  <w14:solidFill>
                    <w14:schemeClr w14:val="tx1"/>
                  </w14:solidFill>
                </w14:textFill>
              </w:rPr>
            </w:pPr>
            <w:r>
              <w:rPr>
                <w:rFonts w:hAnsi="Times New Roman" w:cs="Times New Roman"/>
                <w:color w:val="000000" w:themeColor="text1"/>
                <w:sz w:val="24"/>
                <w14:textFill>
                  <w14:solidFill>
                    <w14:schemeClr w14:val="tx1"/>
                  </w14:solidFill>
                </w14:textFill>
              </w:rPr>
              <w:t>②厂界无组织废气污染物：</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非甲烷总烃</w:t>
            </w:r>
            <w:r>
              <w:rPr>
                <w:rFonts w:hint="eastAsia" w:hAnsi="Times New Roman" w:eastAsia="宋体" w:cs="Times New Roman"/>
                <w:color w:val="000000" w:themeColor="text1"/>
                <w:sz w:val="24"/>
                <w:szCs w:val="24"/>
                <w:lang w:val="en-US" w:eastAsia="zh-CN"/>
                <w14:textFill>
                  <w14:solidFill>
                    <w14:schemeClr w14:val="tx1"/>
                  </w14:solidFill>
                </w14:textFill>
              </w:rPr>
              <w:t>符合</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《合成树脂工业污染物排放标准》（</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GB31572-2015</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）（含2024年修改单）中表9企业边界大气污染物浓度限值；臭气浓度</w:t>
            </w:r>
            <w:r>
              <w:rPr>
                <w:rFonts w:hint="eastAsia" w:hAnsi="Times New Roman" w:eastAsia="宋体" w:cs="Times New Roman"/>
                <w:color w:val="000000" w:themeColor="text1"/>
                <w:sz w:val="24"/>
                <w:szCs w:val="24"/>
                <w:lang w:val="en-US" w:eastAsia="zh-CN"/>
                <w14:textFill>
                  <w14:solidFill>
                    <w14:schemeClr w14:val="tx1"/>
                  </w14:solidFill>
                </w14:textFill>
              </w:rPr>
              <w:t>符合</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《恶臭污染物排放标准》（</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GB14554-93</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）中“表</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二级新扩改建”排放标准限值</w:t>
            </w:r>
            <w:r>
              <w:rPr>
                <w:rFonts w:hint="default" w:ascii="Times New Roman" w:hAnsi="Times New Roman" w:eastAsia="宋体" w:cs="Times New Roman"/>
                <w:b w:val="0"/>
                <w:bCs/>
                <w:color w:val="000000" w:themeColor="text1"/>
                <w:kern w:val="2"/>
                <w:sz w:val="24"/>
                <w:szCs w:val="24"/>
                <w:highlight w:val="none"/>
                <w:lang w:val="en-US" w:eastAsia="zh-CN" w:bidi="ar-SA"/>
                <w14:textFill>
                  <w14:solidFill>
                    <w14:schemeClr w14:val="tx1"/>
                  </w14:solidFill>
                </w14:textFill>
              </w:rPr>
              <w:t>。</w:t>
            </w:r>
          </w:p>
          <w:p w14:paraId="036901CC">
            <w:pPr>
              <w:pStyle w:val="28"/>
              <w:keepNext w:val="0"/>
              <w:keepLines w:val="0"/>
              <w:pageBreakBefore w:val="0"/>
              <w:kinsoku/>
              <w:wordWrap/>
              <w:overflowPunct/>
              <w:topLinePunct w:val="0"/>
              <w:bidi w:val="0"/>
              <w:adjustRightInd w:val="0"/>
              <w:snapToGrid w:val="0"/>
              <w:spacing w:after="0" w:line="500" w:lineRule="exact"/>
              <w:ind w:left="0" w:leftChars="0" w:firstLine="468"/>
              <w:textAlignment w:val="auto"/>
              <w:rPr>
                <w:rFonts w:hAnsi="Times New Roman" w:cs="Times New Roman"/>
                <w:color w:val="000000" w:themeColor="text1"/>
                <w:sz w:val="24"/>
                <w14:textFill>
                  <w14:solidFill>
                    <w14:schemeClr w14:val="tx1"/>
                  </w14:solidFill>
                </w14:textFill>
              </w:rPr>
            </w:pPr>
            <w:r>
              <w:rPr>
                <w:rFonts w:hAnsi="Times New Roman" w:cs="Times New Roman"/>
                <w:color w:val="000000" w:themeColor="text1"/>
                <w:sz w:val="24"/>
                <w14:textFill>
                  <w14:solidFill>
                    <w14:schemeClr w14:val="tx1"/>
                  </w14:solidFill>
                </w14:textFill>
              </w:rPr>
              <w:t>综上，</w:t>
            </w:r>
            <w:r>
              <w:rPr>
                <w:rFonts w:hAnsi="Times New Roman" w:cs="Times New Roman"/>
                <w:color w:val="000000" w:themeColor="text1"/>
                <w:kern w:val="0"/>
                <w:sz w:val="24"/>
                <w14:textFill>
                  <w14:solidFill>
                    <w14:schemeClr w14:val="tx1"/>
                  </w14:solidFill>
                </w14:textFill>
              </w:rPr>
              <w:t>项目营运期通过采取有效废气污染防治措施，废气污染物达标排放。</w:t>
            </w:r>
          </w:p>
          <w:p w14:paraId="6E76B3E4">
            <w:pPr>
              <w:pStyle w:val="28"/>
              <w:keepNext w:val="0"/>
              <w:keepLines w:val="0"/>
              <w:pageBreakBefore w:val="0"/>
              <w:kinsoku/>
              <w:wordWrap/>
              <w:overflowPunct/>
              <w:topLinePunct w:val="0"/>
              <w:bidi w:val="0"/>
              <w:adjustRightInd w:val="0"/>
              <w:snapToGrid w:val="0"/>
              <w:spacing w:after="0" w:line="500" w:lineRule="exact"/>
              <w:ind w:left="0" w:leftChars="0" w:firstLine="468"/>
              <w:textAlignment w:val="auto"/>
              <w:rPr>
                <w:rFonts w:hAnsi="Times New Roman" w:cs="Times New Roman"/>
                <w:b/>
                <w:color w:val="000000" w:themeColor="text1"/>
                <w:sz w:val="24"/>
                <w14:textFill>
                  <w14:solidFill>
                    <w14:schemeClr w14:val="tx1"/>
                  </w14:solidFill>
                </w14:textFill>
              </w:rPr>
            </w:pPr>
            <w:r>
              <w:rPr>
                <w:rFonts w:hAnsi="Times New Roman" w:cs="Times New Roman"/>
                <w:color w:val="000000" w:themeColor="text1"/>
                <w:sz w:val="24"/>
                <w14:textFill>
                  <w14:solidFill>
                    <w14:schemeClr w14:val="tx1"/>
                  </w14:solidFill>
                </w14:textFill>
              </w:rPr>
              <w:t>（3）噪声监测结果</w:t>
            </w:r>
          </w:p>
          <w:p w14:paraId="5AE0284A">
            <w:pPr>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hAnsi="Times New Roman" w:eastAsia="宋体" w:cs="Times New Roman"/>
                <w:color w:val="000000" w:themeColor="text1"/>
                <w:kern w:val="0"/>
                <w:sz w:val="24"/>
                <w14:textFill>
                  <w14:solidFill>
                    <w14:schemeClr w14:val="tx1"/>
                  </w14:solidFill>
                </w14:textFill>
              </w:rPr>
            </w:pPr>
            <w:r>
              <w:rPr>
                <w:rFonts w:hint="eastAsia" w:ascii="Times New Roman"/>
                <w:bCs/>
                <w:color w:val="auto"/>
                <w:sz w:val="24"/>
                <w:szCs w:val="24"/>
                <w:highlight w:val="none"/>
              </w:rPr>
              <w:t>2025年4月17-18日</w:t>
            </w:r>
            <w:r>
              <w:rPr>
                <w:rFonts w:ascii="Times New Roman" w:hAnsi="Times New Roman" w:eastAsia="宋体" w:cs="Times New Roman"/>
                <w:color w:val="000000" w:themeColor="text1"/>
                <w:sz w:val="24"/>
                <w14:textFill>
                  <w14:solidFill>
                    <w14:schemeClr w14:val="tx1"/>
                  </w14:solidFill>
                </w14:textFill>
              </w:rPr>
              <w:t>验收监测期间，通过对项目厂界噪声的监测，本项目厂界昼夜噪声排放均满足</w:t>
            </w:r>
            <w:r>
              <w:rPr>
                <w:rFonts w:ascii="Times New Roman" w:hAnsi="Times New Roman" w:eastAsia="宋体" w:cs="Times New Roman"/>
                <w:color w:val="000000" w:themeColor="text1"/>
                <w:kern w:val="0"/>
                <w:sz w:val="24"/>
                <w14:textFill>
                  <w14:solidFill>
                    <w14:schemeClr w14:val="tx1"/>
                  </w14:solidFill>
                </w14:textFill>
              </w:rPr>
              <w:t>《工业企业厂界环境噪声排放标准》（GB12348-2008）中3类标准限值。因此，项目营运期通过采取有效降噪措施，厂界噪声达标排放。</w:t>
            </w:r>
          </w:p>
          <w:p w14:paraId="64767F77">
            <w:pPr>
              <w:pStyle w:val="28"/>
              <w:keepNext w:val="0"/>
              <w:keepLines w:val="0"/>
              <w:pageBreakBefore w:val="0"/>
              <w:kinsoku/>
              <w:wordWrap/>
              <w:overflowPunct/>
              <w:topLinePunct w:val="0"/>
              <w:bidi w:val="0"/>
              <w:adjustRightInd w:val="0"/>
              <w:snapToGrid w:val="0"/>
              <w:spacing w:after="0" w:line="500" w:lineRule="exact"/>
              <w:ind w:left="0" w:leftChars="0" w:firstLine="480" w:firstLineChars="200"/>
              <w:textAlignment w:val="auto"/>
              <w:rPr>
                <w:rFonts w:hAnsi="Times New Roman" w:cs="Times New Roman"/>
                <w:bCs/>
                <w:color w:val="000000" w:themeColor="text1"/>
                <w:sz w:val="24"/>
                <w14:textFill>
                  <w14:solidFill>
                    <w14:schemeClr w14:val="tx1"/>
                  </w14:solidFill>
                </w14:textFill>
              </w:rPr>
            </w:pPr>
            <w:r>
              <w:rPr>
                <w:rFonts w:hAnsi="Times New Roman" w:cs="Times New Roman"/>
                <w:bCs/>
                <w:color w:val="000000" w:themeColor="text1"/>
                <w:sz w:val="24"/>
                <w14:textFill>
                  <w14:solidFill>
                    <w14:schemeClr w14:val="tx1"/>
                  </w14:solidFill>
                </w14:textFill>
              </w:rPr>
              <w:t>（4）固废处置情况</w:t>
            </w:r>
          </w:p>
          <w:p w14:paraId="04C9B6F1">
            <w:pPr>
              <w:pStyle w:val="73"/>
              <w:keepNext w:val="0"/>
              <w:keepLines w:val="0"/>
              <w:pageBreakBefore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b w:val="0"/>
                <w:bCs w:val="0"/>
                <w:kern w:val="2"/>
                <w:sz w:val="24"/>
                <w:szCs w:val="24"/>
                <w:lang w:val="zh-CN" w:eastAsia="zh-CN" w:bidi="ar-SA"/>
              </w:rPr>
            </w:pPr>
            <w:r>
              <w:rPr>
                <w:rFonts w:hint="default" w:ascii="Times New Roman" w:hAnsi="Times New Roman" w:eastAsia="宋体" w:cs="Times New Roman"/>
                <w:sz w:val="24"/>
                <w:szCs w:val="24"/>
                <w:lang w:val="zh-CN"/>
              </w:rPr>
              <w:t>项目营运期产生的</w:t>
            </w:r>
            <w:r>
              <w:rPr>
                <w:rFonts w:hint="default" w:ascii="Times New Roman" w:hAnsi="Times New Roman" w:eastAsia="宋体" w:cs="Times New Roman"/>
                <w:sz w:val="24"/>
                <w:szCs w:val="24"/>
                <w:lang w:val="en-US" w:eastAsia="zh-CN"/>
              </w:rPr>
              <w:t>一般</w:t>
            </w:r>
            <w:r>
              <w:rPr>
                <w:rFonts w:hint="default" w:ascii="Times New Roman" w:hAnsi="Times New Roman" w:eastAsia="宋体" w:cs="Times New Roman"/>
                <w:sz w:val="24"/>
                <w:szCs w:val="24"/>
                <w:lang w:val="zh-CN"/>
              </w:rPr>
              <w:t>固废</w:t>
            </w:r>
            <w:r>
              <w:rPr>
                <w:rFonts w:hint="default" w:ascii="Times New Roman" w:hAnsi="Times New Roman" w:eastAsia="宋体" w:cs="Times New Roman"/>
                <w:sz w:val="24"/>
                <w:szCs w:val="24"/>
              </w:rPr>
              <w:t>主要</w:t>
            </w:r>
            <w:r>
              <w:rPr>
                <w:rFonts w:hint="default" w:ascii="Times New Roman" w:hAnsi="Times New Roman" w:eastAsia="宋体" w:cs="Times New Roman"/>
                <w:sz w:val="24"/>
                <w:szCs w:val="24"/>
                <w:lang w:val="en-US" w:eastAsia="zh-CN"/>
              </w:rPr>
              <w:t>为</w:t>
            </w:r>
            <w:r>
              <w:rPr>
                <w:rFonts w:hint="eastAsia" w:eastAsia="宋体" w:cs="Times New Roman"/>
                <w:sz w:val="24"/>
                <w:szCs w:val="24"/>
                <w:lang w:val="en-US" w:eastAsia="zh-CN"/>
              </w:rPr>
              <w:t>：</w:t>
            </w:r>
            <w:r>
              <w:rPr>
                <w:rFonts w:hint="default" w:ascii="Times New Roman" w:hAnsi="Times New Roman" w:eastAsia="宋体" w:cs="Times New Roman"/>
                <w:sz w:val="24"/>
                <w:szCs w:val="24"/>
                <w:lang w:val="zh-CN"/>
              </w:rPr>
              <w:t>员工生活垃圾、</w:t>
            </w:r>
            <w:r>
              <w:rPr>
                <w:rFonts w:hint="default" w:ascii="Times New Roman" w:hAnsi="Times New Roman" w:eastAsia="宋体" w:cs="Times New Roman"/>
                <w:sz w:val="24"/>
                <w:szCs w:val="24"/>
                <w:lang w:val="en-US" w:eastAsia="zh-CN"/>
              </w:rPr>
              <w:t>废发泡料、废边角料</w:t>
            </w:r>
            <w:r>
              <w:rPr>
                <w:rFonts w:hint="default" w:ascii="Times New Roman" w:hAnsi="Times New Roman" w:eastAsia="宋体" w:cs="Times New Roman"/>
                <w:sz w:val="24"/>
                <w:szCs w:val="24"/>
                <w:lang w:val="zh-CN"/>
              </w:rPr>
              <w:t>和</w:t>
            </w:r>
            <w:r>
              <w:rPr>
                <w:rFonts w:hint="default" w:ascii="Times New Roman" w:hAnsi="Times New Roman" w:eastAsia="宋体" w:cs="Times New Roman"/>
                <w:sz w:val="24"/>
                <w:szCs w:val="24"/>
                <w:lang w:val="en-US" w:eastAsia="zh-CN"/>
              </w:rPr>
              <w:t>危险废物：</w:t>
            </w:r>
            <w:r>
              <w:rPr>
                <w:rFonts w:hint="default" w:ascii="Times New Roman" w:hAnsi="Times New Roman" w:eastAsia="宋体" w:cs="Times New Roman"/>
                <w:sz w:val="24"/>
                <w:szCs w:val="24"/>
                <w:lang w:val="zh-CN"/>
              </w:rPr>
              <w:t>设备维修</w:t>
            </w:r>
            <w:r>
              <w:rPr>
                <w:rFonts w:hint="default" w:ascii="Times New Roman" w:hAnsi="Times New Roman" w:eastAsia="宋体" w:cs="Times New Roman"/>
                <w:sz w:val="24"/>
                <w:szCs w:val="24"/>
                <w:lang w:val="en-US" w:eastAsia="zh-CN"/>
              </w:rPr>
              <w:t>的</w:t>
            </w:r>
            <w:r>
              <w:rPr>
                <w:rFonts w:hint="default" w:ascii="Times New Roman" w:hAnsi="Times New Roman" w:eastAsia="宋体" w:cs="Times New Roman"/>
                <w:sz w:val="24"/>
                <w:szCs w:val="24"/>
                <w:lang w:val="zh-CN"/>
              </w:rPr>
              <w:t>废机油</w:t>
            </w:r>
            <w:r>
              <w:rPr>
                <w:rFonts w:hint="default" w:ascii="Times New Roman" w:hAnsi="Times New Roman" w:eastAsia="宋体" w:cs="Times New Roman"/>
                <w:sz w:val="24"/>
                <w:szCs w:val="24"/>
                <w:lang w:val="en-US" w:eastAsia="zh-CN"/>
              </w:rPr>
              <w:t>、废气治理措施的</w:t>
            </w:r>
            <w:r>
              <w:rPr>
                <w:rFonts w:hint="eastAsia" w:cs="Times New Roman"/>
                <w:sz w:val="24"/>
                <w:szCs w:val="24"/>
                <w:lang w:val="en-US" w:eastAsia="zh-CN"/>
              </w:rPr>
              <w:t>废UV灯管和</w:t>
            </w:r>
            <w:r>
              <w:rPr>
                <w:rFonts w:hint="default" w:ascii="Times New Roman" w:hAnsi="Times New Roman" w:eastAsia="宋体" w:cs="Times New Roman"/>
                <w:sz w:val="24"/>
                <w:szCs w:val="24"/>
                <w:lang w:val="en-US" w:eastAsia="zh-CN"/>
              </w:rPr>
              <w:t>废活性炭</w:t>
            </w:r>
            <w:r>
              <w:rPr>
                <w:rFonts w:hint="default" w:ascii="Times New Roman" w:hAnsi="Times New Roman" w:eastAsia="宋体" w:cs="Times New Roman"/>
                <w:sz w:val="24"/>
                <w:szCs w:val="24"/>
                <w:lang w:val="zh-CN"/>
              </w:rPr>
              <w:t>。</w:t>
            </w:r>
            <w:r>
              <w:rPr>
                <w:rFonts w:hint="eastAsia" w:ascii="Times New Roman" w:hAnsi="Times New Roman" w:eastAsia="宋体" w:cs="Times New Roman"/>
                <w:b w:val="0"/>
                <w:bCs w:val="0"/>
                <w:kern w:val="2"/>
                <w:sz w:val="24"/>
                <w:szCs w:val="24"/>
                <w:lang w:val="en-US" w:eastAsia="zh-CN" w:bidi="ar-SA"/>
              </w:rPr>
              <w:t>项目</w:t>
            </w:r>
            <w:r>
              <w:rPr>
                <w:rFonts w:hint="default" w:ascii="Times New Roman" w:hAnsi="Times New Roman" w:eastAsia="宋体" w:cs="Times New Roman"/>
                <w:b w:val="0"/>
                <w:bCs w:val="0"/>
                <w:kern w:val="2"/>
                <w:sz w:val="24"/>
                <w:szCs w:val="24"/>
                <w:lang w:val="en-US" w:eastAsia="zh-CN" w:bidi="ar-SA"/>
              </w:rPr>
              <w:t>员工生活垃圾自行收集</w:t>
            </w:r>
            <w:r>
              <w:rPr>
                <w:rFonts w:hint="eastAsia" w:ascii="Times New Roman" w:hAnsi="Times New Roman" w:eastAsia="宋体" w:cs="Times New Roman"/>
                <w:b w:val="0"/>
                <w:bCs w:val="0"/>
                <w:kern w:val="2"/>
                <w:sz w:val="24"/>
                <w:szCs w:val="24"/>
                <w:lang w:val="en-US" w:eastAsia="zh-CN" w:bidi="ar-SA"/>
              </w:rPr>
              <w:t>，</w:t>
            </w:r>
            <w:r>
              <w:rPr>
                <w:rFonts w:hint="default" w:ascii="Times New Roman" w:hAnsi="Times New Roman" w:eastAsia="宋体" w:cs="Times New Roman"/>
                <w:b w:val="0"/>
                <w:bCs w:val="0"/>
                <w:kern w:val="2"/>
                <w:sz w:val="24"/>
                <w:szCs w:val="24"/>
                <w:lang w:val="en-US" w:eastAsia="zh-CN" w:bidi="ar-SA"/>
              </w:rPr>
              <w:t>交由当地环卫部门清运；</w:t>
            </w:r>
            <w:r>
              <w:rPr>
                <w:rFonts w:hint="eastAsia" w:ascii="Times New Roman" w:hAnsi="Times New Roman" w:eastAsia="宋体" w:cs="Times New Roman"/>
                <w:b w:val="0"/>
                <w:bCs w:val="0"/>
                <w:kern w:val="2"/>
                <w:sz w:val="24"/>
                <w:szCs w:val="24"/>
                <w:lang w:val="en-US" w:eastAsia="zh-CN" w:bidi="ar-SA"/>
              </w:rPr>
              <w:t>废发泡料和废边角料分类收集，外售废品回收公司；危险废物（废机油、</w:t>
            </w:r>
            <w:r>
              <w:rPr>
                <w:rFonts w:hint="eastAsia" w:cs="Times New Roman"/>
                <w:sz w:val="24"/>
                <w:szCs w:val="24"/>
                <w:lang w:val="en-US" w:eastAsia="zh-CN"/>
              </w:rPr>
              <w:t>废UV灯管、</w:t>
            </w:r>
            <w:r>
              <w:rPr>
                <w:rFonts w:hint="eastAsia" w:ascii="Times New Roman" w:hAnsi="Times New Roman" w:eastAsia="宋体" w:cs="Times New Roman"/>
                <w:b w:val="0"/>
                <w:bCs w:val="0"/>
                <w:kern w:val="2"/>
                <w:sz w:val="24"/>
                <w:szCs w:val="24"/>
                <w:lang w:val="en-US" w:eastAsia="zh-CN" w:bidi="ar-SA"/>
              </w:rPr>
              <w:t>废活性炭）等分类收集暂存于危废间，交由海南腾先环保科技有限责任公司（资质单位）处置。</w:t>
            </w:r>
          </w:p>
          <w:p w14:paraId="21C2254A">
            <w:pPr>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综上，项目营运期固废均得到合理处置。</w:t>
            </w:r>
          </w:p>
          <w:p w14:paraId="301D5177">
            <w:pPr>
              <w:pStyle w:val="28"/>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b/>
                <w:color w:val="000000" w:themeColor="text1"/>
                <w:sz w:val="24"/>
                <w14:textFill>
                  <w14:solidFill>
                    <w14:schemeClr w14:val="tx1"/>
                  </w14:solidFill>
                </w14:textFill>
              </w:rPr>
            </w:pPr>
            <w:r>
              <w:rPr>
                <w:rFonts w:hAnsi="Times New Roman" w:cs="Times New Roman"/>
                <w:b/>
                <w:color w:val="000000" w:themeColor="text1"/>
                <w:sz w:val="24"/>
                <w14:textFill>
                  <w14:solidFill>
                    <w14:schemeClr w14:val="tx1"/>
                  </w14:solidFill>
                </w14:textFill>
              </w:rPr>
              <w:t>3、综合结论</w:t>
            </w:r>
          </w:p>
          <w:p w14:paraId="6FCB03F1">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项目在设计、施工和试生产过程中，执行“三同时”制度，环境影响报告表及批复文件要求的环境保护措施得到较好落实，有关环保设施已建成并投入正常运行，有效减缓环境不利影响，各项污染物达标排放。综上，本项目竣工环境保护验收结论为合格。</w:t>
            </w:r>
          </w:p>
          <w:p w14:paraId="5A6319DA">
            <w:pPr>
              <w:pStyle w:val="28"/>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b/>
                <w:color w:val="000000" w:themeColor="text1"/>
                <w:sz w:val="24"/>
                <w14:textFill>
                  <w14:solidFill>
                    <w14:schemeClr w14:val="tx1"/>
                  </w14:solidFill>
                </w14:textFill>
              </w:rPr>
            </w:pPr>
            <w:r>
              <w:rPr>
                <w:rFonts w:hAnsi="Times New Roman" w:cs="Times New Roman"/>
                <w:b/>
                <w:color w:val="000000" w:themeColor="text1"/>
                <w:sz w:val="24"/>
                <w14:textFill>
                  <w14:solidFill>
                    <w14:schemeClr w14:val="tx1"/>
                  </w14:solidFill>
                </w14:textFill>
              </w:rPr>
              <w:t>4、建议</w:t>
            </w:r>
          </w:p>
          <w:p w14:paraId="26E3B037">
            <w:pPr>
              <w:keepNext w:val="0"/>
              <w:keepLines w:val="0"/>
              <w:pageBreakBefore w:val="0"/>
              <w:widowControl w:val="0"/>
              <w:kinsoku/>
              <w:wordWrap/>
              <w:overflowPunct/>
              <w:topLinePunct w:val="0"/>
              <w:autoSpaceDE/>
              <w:autoSpaceDN/>
              <w:bidi w:val="0"/>
              <w:adjustRightInd w:val="0"/>
              <w:snapToGrid w:val="0"/>
              <w:spacing w:line="500" w:lineRule="exact"/>
              <w:ind w:firstLine="480"/>
              <w:jc w:val="left"/>
              <w:textAlignment w:val="auto"/>
              <w:rPr>
                <w:rFonts w:ascii="Times New Roman" w:hAnsi="Times New Roman" w:eastAsia="宋体" w:cs="Times New Roman"/>
                <w:b/>
                <w:bCs/>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（1）完善环境管理制度，细化环境管理岗位职责，</w:t>
            </w:r>
            <w:r>
              <w:rPr>
                <w:rFonts w:ascii="Times New Roman" w:hAnsi="Times New Roman" w:eastAsia="宋体" w:cs="Times New Roman"/>
                <w:color w:val="000000"/>
                <w:sz w:val="24"/>
              </w:rPr>
              <w:t>按照相关规范设置排污标识</w:t>
            </w:r>
            <w:r>
              <w:rPr>
                <w:rFonts w:ascii="Times New Roman" w:hAnsi="Times New Roman" w:eastAsia="宋体" w:cs="Times New Roman"/>
                <w:color w:val="000000" w:themeColor="text1"/>
                <w:sz w:val="24"/>
                <w14:textFill>
                  <w14:solidFill>
                    <w14:schemeClr w14:val="tx1"/>
                  </w14:solidFill>
                </w14:textFill>
              </w:rPr>
              <w:t>。</w:t>
            </w:r>
          </w:p>
          <w:p w14:paraId="07EBF6AA">
            <w:pPr>
              <w:keepNext w:val="0"/>
              <w:keepLines w:val="0"/>
              <w:pageBreakBefore w:val="0"/>
              <w:widowControl w:val="0"/>
              <w:kinsoku/>
              <w:wordWrap/>
              <w:overflowPunct/>
              <w:topLinePunct w:val="0"/>
              <w:autoSpaceDE/>
              <w:autoSpaceDN/>
              <w:bidi w:val="0"/>
              <w:adjustRightInd w:val="0"/>
              <w:snapToGrid w:val="0"/>
              <w:spacing w:line="500" w:lineRule="exact"/>
              <w:ind w:firstLine="480"/>
              <w:jc w:val="left"/>
              <w:textAlignment w:val="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（2）加强固体废物管理。按照国家和省关于固体废物的有关规定做好废物的收集、暂存和转移处置工作。</w:t>
            </w:r>
          </w:p>
          <w:p w14:paraId="0775313D">
            <w:pPr>
              <w:keepNext w:val="0"/>
              <w:keepLines w:val="0"/>
              <w:pageBreakBefore w:val="0"/>
              <w:widowControl w:val="0"/>
              <w:kinsoku/>
              <w:wordWrap/>
              <w:overflowPunct/>
              <w:topLinePunct w:val="0"/>
              <w:autoSpaceDE/>
              <w:autoSpaceDN/>
              <w:bidi w:val="0"/>
              <w:adjustRightInd w:val="0"/>
              <w:snapToGrid w:val="0"/>
              <w:spacing w:line="500" w:lineRule="exact"/>
              <w:ind w:firstLine="480"/>
              <w:jc w:val="left"/>
              <w:textAlignment w:val="auto"/>
              <w:rPr>
                <w:rFonts w:hint="eastAsia" w:ascii="Times New Roman" w:hAnsi="Times New Roman" w:eastAsia="宋体" w:cs="Times New Roman"/>
                <w:color w:val="000000" w:themeColor="text1"/>
                <w:sz w:val="24"/>
                <w:lang w:val="en-US" w:eastAsia="zh-CN"/>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（3）定期对项目设备进行维护、保修，确保设备设施正常运转</w:t>
            </w:r>
            <w:bookmarkStart w:id="29" w:name="_Toc46827024"/>
            <w:bookmarkStart w:id="30" w:name="_Toc46826912"/>
            <w:bookmarkStart w:id="31" w:name="_Toc44518865"/>
            <w:bookmarkStart w:id="32" w:name="_Toc46827847"/>
            <w:r>
              <w:rPr>
                <w:rFonts w:ascii="Times New Roman" w:hAnsi="Times New Roman" w:eastAsia="宋体" w:cs="Times New Roman"/>
                <w:color w:val="000000" w:themeColor="text1"/>
                <w:sz w:val="24"/>
                <w14:textFill>
                  <w14:solidFill>
                    <w14:schemeClr w14:val="tx1"/>
                  </w14:solidFill>
                </w14:textFill>
              </w:rPr>
              <w:t>与污染物持续稳定达标。</w:t>
            </w:r>
            <w:bookmarkEnd w:id="29"/>
            <w:bookmarkEnd w:id="30"/>
            <w:bookmarkEnd w:id="31"/>
            <w:bookmarkEnd w:id="32"/>
            <w:r>
              <w:rPr>
                <w:rFonts w:hint="eastAsia" w:ascii="Times New Roman" w:hAnsi="Times New Roman" w:eastAsia="宋体" w:cs="Times New Roman"/>
                <w:color w:val="000000" w:themeColor="text1"/>
                <w:sz w:val="24"/>
                <w:lang w:val="en-US" w:eastAsia="zh-CN"/>
                <w14:textFill>
                  <w14:solidFill>
                    <w14:schemeClr w14:val="tx1"/>
                  </w14:solidFill>
                </w14:textFill>
              </w:rPr>
              <w:t xml:space="preserve">  </w:t>
            </w:r>
          </w:p>
          <w:p w14:paraId="3AB7B445">
            <w:pPr>
              <w:keepNext w:val="0"/>
              <w:keepLines w:val="0"/>
              <w:pageBreakBefore w:val="0"/>
              <w:widowControl w:val="0"/>
              <w:kinsoku/>
              <w:wordWrap/>
              <w:overflowPunct/>
              <w:topLinePunct w:val="0"/>
              <w:autoSpaceDE/>
              <w:autoSpaceDN/>
              <w:bidi w:val="0"/>
              <w:adjustRightInd w:val="0"/>
              <w:snapToGrid w:val="0"/>
              <w:spacing w:line="500" w:lineRule="exact"/>
              <w:ind w:firstLine="480"/>
              <w:jc w:val="left"/>
              <w:textAlignment w:val="auto"/>
              <w:rPr>
                <w:rFonts w:hint="default" w:eastAsiaTheme="minorEastAsia"/>
                <w:lang w:val="en-US" w:eastAsia="zh-CN"/>
              </w:rPr>
            </w:pP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eastAsia" w:ascii="Times New Roman" w:hAnsi="Times New Roman" w:eastAsia="宋体" w:cs="Times New Roman"/>
                <w:color w:val="000000" w:themeColor="text1"/>
                <w:sz w:val="24"/>
                <w:lang w:val="en-US" w:eastAsia="zh-CN"/>
                <w14:textFill>
                  <w14:solidFill>
                    <w14:schemeClr w14:val="tx1"/>
                  </w14:solidFill>
                </w14:textFill>
              </w:rPr>
              <w:t>4</w:t>
            </w:r>
            <w:r>
              <w:rPr>
                <w:rFonts w:hint="eastAsia" w:ascii="Times New Roman" w:hAnsi="Times New Roman" w:eastAsia="宋体" w:cs="Times New Roman"/>
                <w:color w:val="000000" w:themeColor="text1"/>
                <w:sz w:val="24"/>
                <w:lang w:eastAsia="zh-CN"/>
                <w14:textFill>
                  <w14:solidFill>
                    <w14:schemeClr w14:val="tx1"/>
                  </w14:solidFill>
                </w14:textFill>
              </w:rPr>
              <w:t>）</w:t>
            </w:r>
            <w:r>
              <w:rPr>
                <w:rFonts w:hint="eastAsia" w:ascii="Times New Roman" w:hAnsi="Times New Roman" w:eastAsia="宋体" w:cs="Times New Roman"/>
                <w:color w:val="000000" w:themeColor="text1"/>
                <w:sz w:val="24"/>
                <w:lang w:val="en-US" w:eastAsia="zh-CN"/>
                <w14:textFill>
                  <w14:solidFill>
                    <w14:schemeClr w14:val="tx1"/>
                  </w14:solidFill>
                </w14:textFill>
              </w:rPr>
              <w:t>完善建设项目</w:t>
            </w:r>
            <w:r>
              <w:rPr>
                <w:rFonts w:hint="default" w:ascii="Times New Roman" w:hAnsi="Times New Roman" w:eastAsia="宋体" w:cs="Times New Roman"/>
                <w:color w:val="000000" w:themeColor="text1"/>
                <w:sz w:val="24"/>
                <w:lang w:val="en-US" w:eastAsia="zh-CN"/>
                <w14:textFill>
                  <w14:solidFill>
                    <w14:schemeClr w14:val="tx1"/>
                  </w14:solidFill>
                </w14:textFill>
              </w:rPr>
              <w:t>突发环境事件应急预案</w:t>
            </w:r>
            <w:r>
              <w:rPr>
                <w:rFonts w:hint="eastAsia" w:ascii="Times New Roman" w:hAnsi="Times New Roman" w:eastAsia="宋体" w:cs="Times New Roman"/>
                <w:color w:val="000000" w:themeColor="text1"/>
                <w:sz w:val="24"/>
                <w:lang w:val="en-US" w:eastAsia="zh-CN"/>
                <w14:textFill>
                  <w14:solidFill>
                    <w14:schemeClr w14:val="tx1"/>
                  </w14:solidFill>
                </w14:textFill>
              </w:rPr>
              <w:t>编制及备案工作。</w:t>
            </w:r>
          </w:p>
        </w:tc>
      </w:tr>
    </w:tbl>
    <w:p w14:paraId="2C7DA40F">
      <w:pPr>
        <w:pStyle w:val="28"/>
        <w:adjustRightInd w:val="0"/>
        <w:snapToGrid w:val="0"/>
        <w:spacing w:after="0" w:line="500" w:lineRule="exact"/>
        <w:ind w:left="0" w:leftChars="0" w:firstLine="0"/>
        <w:outlineLvl w:val="0"/>
        <w:rPr>
          <w:rFonts w:hint="default" w:hAnsi="Times New Roman" w:cs="Times New Roman"/>
          <w:b/>
          <w:bCs/>
          <w:color w:val="auto"/>
          <w:sz w:val="28"/>
          <w:szCs w:val="28"/>
          <w:lang w:val="en-US" w:eastAsia="zh-CN"/>
        </w:rPr>
      </w:pPr>
      <w:r>
        <w:rPr>
          <w:rFonts w:hint="eastAsia" w:hAnsi="Times New Roman" w:cs="Times New Roman"/>
          <w:b/>
          <w:bCs/>
          <w:color w:val="auto"/>
          <w:sz w:val="28"/>
          <w:szCs w:val="28"/>
          <w:lang w:eastAsia="zh-CN"/>
        </w:rPr>
        <w:t xml:space="preserve"> </w:t>
      </w:r>
      <w:r>
        <w:rPr>
          <w:rFonts w:hint="default" w:hAnsi="Times New Roman" w:cs="Times New Roman"/>
          <w:b/>
          <w:bCs/>
          <w:color w:val="auto"/>
          <w:sz w:val="28"/>
          <w:szCs w:val="28"/>
          <w:lang w:val="en-US" w:eastAsia="zh-CN"/>
        </w:rPr>
        <w:t>表九</w:t>
      </w:r>
      <w:r>
        <w:rPr>
          <w:rFonts w:hint="eastAsia" w:hAnsi="Times New Roman" w:cs="Times New Roman"/>
          <w:b/>
          <w:bCs/>
          <w:color w:val="auto"/>
          <w:sz w:val="28"/>
          <w:szCs w:val="28"/>
          <w:lang w:val="en-US" w:eastAsia="zh-CN"/>
        </w:rPr>
        <w:t>、</w:t>
      </w:r>
      <w:r>
        <w:rPr>
          <w:rFonts w:hint="default" w:hAnsi="Times New Roman" w:cs="Times New Roman"/>
          <w:b/>
          <w:bCs/>
          <w:color w:val="auto"/>
          <w:sz w:val="28"/>
          <w:szCs w:val="28"/>
          <w:lang w:val="en-US" w:eastAsia="zh-CN"/>
        </w:rPr>
        <w:t>其他需要说明事项</w:t>
      </w:r>
    </w:p>
    <w:tbl>
      <w:tblPr>
        <w:tblStyle w:val="3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14:paraId="55E7C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vAlign w:val="top"/>
          </w:tcPr>
          <w:p w14:paraId="7E763CA3">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1、环境保护设施设计、施工和验收过程简况</w:t>
            </w:r>
          </w:p>
          <w:p w14:paraId="276BDBC9">
            <w:pPr>
              <w:keepNext w:val="0"/>
              <w:keepLines w:val="0"/>
              <w:pageBreakBefore w:val="0"/>
              <w:widowControl w:val="0"/>
              <w:tabs>
                <w:tab w:val="left" w:pos="6120"/>
                <w:tab w:val="left" w:pos="6840"/>
              </w:tabs>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t>（1）设计简况</w:t>
            </w:r>
          </w:p>
          <w:p w14:paraId="3E09C855">
            <w:pPr>
              <w:keepNext w:val="0"/>
              <w:keepLines w:val="0"/>
              <w:pageBreakBefore w:val="0"/>
              <w:widowControl w:val="0"/>
              <w:tabs>
                <w:tab w:val="left" w:pos="6120"/>
                <w:tab w:val="left" w:pos="6840"/>
              </w:tabs>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由于项目规模较小，未开展单独的工程初步设计工作，但项目的环境保护设施纳入了建设方案，在方案中编制了环保篇，包含：废气收集处理系统、噪声防治措施、固废处置方式等方面符合环境保护设计规范的要求，项目不涉及废水产排。项目建设落实了废气、噪声、固废等污染防治措施以及环境保护设施的投资概算。</w:t>
            </w:r>
          </w:p>
          <w:p w14:paraId="0B6E0BE6">
            <w:pPr>
              <w:keepNext w:val="0"/>
              <w:keepLines w:val="0"/>
              <w:pageBreakBefore w:val="0"/>
              <w:widowControl w:val="0"/>
              <w:tabs>
                <w:tab w:val="left" w:pos="6120"/>
                <w:tab w:val="left" w:pos="6840"/>
              </w:tabs>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t>（2）施工简况</w:t>
            </w:r>
          </w:p>
          <w:p w14:paraId="2B4D9183">
            <w:pPr>
              <w:keepNext w:val="0"/>
              <w:keepLines w:val="0"/>
              <w:pageBreakBefore w:val="0"/>
              <w:widowControl w:val="0"/>
              <w:tabs>
                <w:tab w:val="left" w:pos="6120"/>
                <w:tab w:val="left" w:pos="6840"/>
              </w:tabs>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项目建设期间将环境保护设施纳入了施工要求，环境保护设施的建设进度和资金得到了保证。项目建设过程中较好的实施了环境影响报告表及其审批部门审批决定中提出的环境保护对策措施，建成后未遗留施工环境问题。</w:t>
            </w:r>
          </w:p>
          <w:p w14:paraId="1AFA1389">
            <w:pPr>
              <w:keepNext w:val="0"/>
              <w:keepLines w:val="0"/>
              <w:pageBreakBefore w:val="0"/>
              <w:widowControl w:val="0"/>
              <w:tabs>
                <w:tab w:val="left" w:pos="6120"/>
                <w:tab w:val="left" w:pos="6840"/>
              </w:tabs>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4"/>
                <w:szCs w:val="24"/>
                <w:lang w:val="en-US" w:eastAsia="zh-CN" w:bidi="ar-SA"/>
                <w14:textFill>
                  <w14:solidFill>
                    <w14:schemeClr w14:val="tx1"/>
                  </w14:solidFill>
                </w14:textFill>
              </w:rPr>
              <w:t>（3）验收过程简况</w:t>
            </w:r>
          </w:p>
          <w:p w14:paraId="0A25920E">
            <w:pPr>
              <w:pStyle w:val="28"/>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jc w:val="both"/>
              <w:textAlignment w:val="auto"/>
              <w:outlineLvl w:val="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项目于</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2025年2月</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开工建设，于</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2025年4月</w:t>
            </w:r>
            <w:r>
              <w:rPr>
                <w:rFonts w:hint="default" w:ascii="Times New Roman" w:hAnsi="Times New Roman" w:eastAsia="宋体" w:cs="Times New Roman"/>
                <w:color w:val="000000" w:themeColor="text1"/>
                <w:sz w:val="24"/>
                <w:szCs w:val="24"/>
                <w14:textFill>
                  <w14:solidFill>
                    <w14:schemeClr w14:val="tx1"/>
                  </w14:solidFill>
                </w14:textFill>
              </w:rPr>
              <w:t>完工后开始调试</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目前，项目相关环保手续已完善，投入试运营，且各项环保处理设施已落实到位。</w:t>
            </w:r>
          </w:p>
          <w:p w14:paraId="5F846B64">
            <w:pPr>
              <w:pStyle w:val="28"/>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jc w:val="both"/>
              <w:textAlignment w:val="auto"/>
              <w:outlineLvl w:val="0"/>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海南良雪制冷设备有限公司于202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年</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14:textFill>
                  <w14:solidFill>
                    <w14:schemeClr w14:val="tx1"/>
                  </w14:solidFill>
                </w14:textFill>
              </w:rPr>
              <w:t>月委托海南环供科技有限公司对本项目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开展</w:t>
            </w:r>
            <w:r>
              <w:rPr>
                <w:rFonts w:hint="default" w:ascii="Times New Roman" w:hAnsi="Times New Roman" w:eastAsia="宋体" w:cs="Times New Roman"/>
                <w:color w:val="000000" w:themeColor="text1"/>
                <w:sz w:val="24"/>
                <w:szCs w:val="24"/>
                <w14:textFill>
                  <w14:solidFill>
                    <w14:schemeClr w14:val="tx1"/>
                  </w14:solidFill>
                </w14:textFill>
              </w:rPr>
              <w:t>竣工环境保护验收</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工作，期间</w:t>
            </w:r>
            <w:r>
              <w:rPr>
                <w:rFonts w:hint="default" w:ascii="Times New Roman" w:hAnsi="Times New Roman" w:eastAsia="宋体" w:cs="Times New Roman"/>
                <w:color w:val="000000" w:themeColor="text1"/>
                <w:sz w:val="24"/>
                <w:szCs w:val="24"/>
                <w14:textFill>
                  <w14:solidFill>
                    <w14:schemeClr w14:val="tx1"/>
                  </w14:solidFill>
                </w14:textFill>
              </w:rPr>
              <w:t>建设单位依据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验收监测</w:t>
            </w:r>
            <w:r>
              <w:rPr>
                <w:rFonts w:hint="default" w:ascii="Times New Roman" w:hAnsi="Times New Roman" w:eastAsia="宋体" w:cs="Times New Roman"/>
                <w:color w:val="000000" w:themeColor="text1"/>
                <w:sz w:val="24"/>
                <w:szCs w:val="24"/>
                <w14:textFill>
                  <w14:solidFill>
                    <w14:schemeClr w14:val="tx1"/>
                  </w14:solidFill>
                </w14:textFill>
              </w:rPr>
              <w:t>方案委托海南中成检测技术有限公司于</w:t>
            </w:r>
            <w:r>
              <w:rPr>
                <w:rFonts w:hint="default" w:ascii="Times New Roman" w:hAnsi="Times New Roman" w:eastAsia="宋体" w:cs="Times New Roman"/>
                <w:color w:val="000000" w:themeColor="text1"/>
                <w:sz w:val="24"/>
                <w:szCs w:val="24"/>
                <w:highlight w:val="none"/>
                <w14:textFill>
                  <w14:solidFill>
                    <w14:schemeClr w14:val="tx1"/>
                  </w14:solidFill>
                </w14:textFill>
              </w:rPr>
              <w:t>202</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highlight w:val="none"/>
                <w14:textFill>
                  <w14:solidFill>
                    <w14:schemeClr w14:val="tx1"/>
                  </w14:solidFill>
                </w14:textFill>
              </w:rPr>
              <w:t>年</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sz w:val="24"/>
                <w:szCs w:val="24"/>
                <w:highlight w:val="none"/>
                <w14:textFill>
                  <w14:solidFill>
                    <w14:schemeClr w14:val="tx1"/>
                  </w14:solidFill>
                </w14:textFill>
              </w:rPr>
              <w:t>月1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7</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18</w:t>
            </w:r>
            <w:r>
              <w:rPr>
                <w:rFonts w:hint="default" w:ascii="Times New Roman" w:hAnsi="Times New Roman" w:eastAsia="宋体" w:cs="Times New Roman"/>
                <w:color w:val="000000" w:themeColor="text1"/>
                <w:sz w:val="24"/>
                <w:szCs w:val="24"/>
                <w:highlight w:val="none"/>
                <w14:textFill>
                  <w14:solidFill>
                    <w14:schemeClr w14:val="tx1"/>
                  </w14:solidFill>
                </w14:textFill>
              </w:rPr>
              <w:t>日</w:t>
            </w:r>
            <w:r>
              <w:rPr>
                <w:rFonts w:hint="default" w:ascii="Times New Roman" w:hAnsi="Times New Roman" w:eastAsia="宋体" w:cs="Times New Roman"/>
                <w:color w:val="000000" w:themeColor="text1"/>
                <w:sz w:val="24"/>
                <w:szCs w:val="24"/>
                <w14:textFill>
                  <w14:solidFill>
                    <w14:schemeClr w14:val="tx1"/>
                  </w14:solidFill>
                </w14:textFill>
              </w:rPr>
              <w:t>进行</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验收</w:t>
            </w:r>
            <w:r>
              <w:rPr>
                <w:rFonts w:hint="default" w:ascii="Times New Roman" w:hAnsi="Times New Roman" w:eastAsia="宋体" w:cs="Times New Roman"/>
                <w:color w:val="000000" w:themeColor="text1"/>
                <w:sz w:val="24"/>
                <w:szCs w:val="24"/>
                <w14:textFill>
                  <w14:solidFill>
                    <w14:schemeClr w14:val="tx1"/>
                  </w14:solidFill>
                </w14:textFill>
              </w:rPr>
              <w:t>监测</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14:textFill>
                  <w14:solidFill>
                    <w14:schemeClr w14:val="tx1"/>
                  </w14:solidFill>
                </w14:textFill>
              </w:rPr>
              <w:t>202</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bCs/>
                <w:color w:val="000000" w:themeColor="text1"/>
                <w:sz w:val="24"/>
                <w:szCs w:val="24"/>
                <w14:textFill>
                  <w14:solidFill>
                    <w14:schemeClr w14:val="tx1"/>
                  </w14:solidFill>
                </w14:textFill>
              </w:rPr>
              <w:t>年</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bCs/>
                <w:color w:val="000000" w:themeColor="text1"/>
                <w:sz w:val="24"/>
                <w:szCs w:val="24"/>
                <w14:textFill>
                  <w14:solidFill>
                    <w14:schemeClr w14:val="tx1"/>
                  </w14:solidFill>
                </w14:textFill>
              </w:rPr>
              <w:t>月</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7</w:t>
            </w:r>
            <w:r>
              <w:rPr>
                <w:rFonts w:hint="default" w:ascii="Times New Roman" w:hAnsi="Times New Roman" w:eastAsia="宋体" w:cs="Times New Roman"/>
                <w:bCs/>
                <w:color w:val="000000" w:themeColor="text1"/>
                <w:sz w:val="24"/>
                <w:szCs w:val="24"/>
                <w14:textFill>
                  <w14:solidFill>
                    <w14:schemeClr w14:val="tx1"/>
                  </w14:solidFill>
                </w14:textFill>
              </w:rPr>
              <w:t>日，邀请相关单位代表和专业技术专家组成验收组对本项目自行组织验收</w:t>
            </w:r>
            <w:r>
              <w:rPr>
                <w:rFonts w:hint="default" w:ascii="Times New Roman" w:hAnsi="Times New Roman" w:eastAsia="宋体" w:cs="Times New Roman"/>
                <w:bCs/>
                <w:color w:val="000000" w:themeColor="text1"/>
                <w:sz w:val="24"/>
                <w:szCs w:val="24"/>
                <w:lang w:eastAsia="zh-CN"/>
                <w14:textFill>
                  <w14:solidFill>
                    <w14:schemeClr w14:val="tx1"/>
                  </w14:solidFill>
                </w14:textFill>
              </w:rPr>
              <w:t>，</w:t>
            </w:r>
            <w:r>
              <w:rPr>
                <w:rFonts w:hint="default" w:ascii="Times New Roman" w:hAnsi="Times New Roman" w:eastAsia="宋体" w:cs="Times New Roman"/>
                <w:bCs/>
                <w:color w:val="000000" w:themeColor="text1"/>
                <w:sz w:val="24"/>
                <w:szCs w:val="24"/>
                <w14:textFill>
                  <w14:solidFill>
                    <w14:schemeClr w14:val="tx1"/>
                  </w14:solidFill>
                </w14:textFill>
              </w:rPr>
              <w:t>验收组听取了建设单位对该项目环保执行情况和验收监测单位对项目竣工环保验收监测报告的汇报，现场检查了项目及环保设施建设、运行情况，查阅了有关资料。经认真讨论，形成</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了</w:t>
            </w:r>
            <w:r>
              <w:rPr>
                <w:rFonts w:hint="default" w:ascii="Times New Roman" w:hAnsi="Times New Roman" w:eastAsia="宋体" w:cs="Times New Roman"/>
                <w:bCs/>
                <w:color w:val="000000" w:themeColor="text1"/>
                <w:sz w:val="24"/>
                <w:szCs w:val="24"/>
                <w14:textFill>
                  <w14:solidFill>
                    <w14:schemeClr w14:val="tx1"/>
                  </w14:solidFill>
                </w14:textFill>
              </w:rPr>
              <w:t>验收意见</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附后。</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2025年7月，完成</w:t>
            </w: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竣工环保验收监测报告表。</w:t>
            </w:r>
          </w:p>
          <w:p w14:paraId="2FC3E14E">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（4）公众反馈意见及处理情况 </w:t>
            </w:r>
          </w:p>
          <w:p w14:paraId="4A551CA2">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lang w:val="en-US" w:eastAsia="zh-CN" w:bidi="ar-SA"/>
                <w14:textFill>
                  <w14:solidFill>
                    <w14:schemeClr w14:val="tx1"/>
                  </w14:solidFill>
                </w14:textFill>
              </w:rPr>
              <w:t>项目周边500m范围内无居民点，通过对周围其他企业员工和环境主管部门进行问询，</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建设项目在设计、施工和验收期间均未收到过公众反馈意见或投诉以及环保处罚。</w:t>
            </w:r>
          </w:p>
          <w:p w14:paraId="78CDE22B">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2、其他环境保护措施的落实情况 </w:t>
            </w:r>
          </w:p>
          <w:p w14:paraId="3E0D69EC">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（1）制度措施落实情况 </w:t>
            </w:r>
          </w:p>
          <w:p w14:paraId="16757CE8">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①环保组织机构及规章制度 </w:t>
            </w:r>
          </w:p>
          <w:p w14:paraId="5EDFCE53">
            <w:pPr>
              <w:pStyle w:val="4"/>
              <w:keepNext w:val="0"/>
              <w:keepLines w:val="0"/>
              <w:pageBreakBefore w:val="0"/>
              <w:widowControl/>
              <w:tabs>
                <w:tab w:val="left" w:pos="2126"/>
              </w:tabs>
              <w:kinsoku/>
              <w:wordWrap/>
              <w:overflowPunct/>
              <w:topLinePunct w:val="0"/>
              <w:autoSpaceDE/>
              <w:autoSpaceDN/>
              <w:bidi w:val="0"/>
              <w:adjustRightInd w:val="0"/>
              <w:snapToGrid w:val="0"/>
              <w:spacing w:line="500" w:lineRule="exact"/>
              <w:ind w:firstLine="482" w:firstLineChars="200"/>
              <w:textAlignment w:val="auto"/>
              <w:outlineLvl w:val="2"/>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1）环境管理机构设置</w:t>
            </w:r>
          </w:p>
          <w:p w14:paraId="3ABE6E0C">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由于企业员工数量有限，由生产管理人员兼职环保管理人员，负责环保设施的正常运行、维护管理工作。</w:t>
            </w:r>
          </w:p>
          <w:p w14:paraId="3993C90A">
            <w:pPr>
              <w:pStyle w:val="4"/>
              <w:keepNext w:val="0"/>
              <w:keepLines w:val="0"/>
              <w:pageBreakBefore w:val="0"/>
              <w:widowControl/>
              <w:tabs>
                <w:tab w:val="left" w:pos="2126"/>
              </w:tabs>
              <w:kinsoku/>
              <w:wordWrap/>
              <w:overflowPunct/>
              <w:topLinePunct w:val="0"/>
              <w:autoSpaceDE/>
              <w:autoSpaceDN/>
              <w:bidi w:val="0"/>
              <w:adjustRightInd w:val="0"/>
              <w:snapToGrid w:val="0"/>
              <w:spacing w:line="500" w:lineRule="exact"/>
              <w:ind w:firstLine="482" w:firstLineChars="200"/>
              <w:textAlignment w:val="auto"/>
              <w:outlineLvl w:val="2"/>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2）环境管理机构职责</w:t>
            </w:r>
          </w:p>
          <w:p w14:paraId="467702EA">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a</w:t>
            </w:r>
            <w:r>
              <w:rPr>
                <w:rFonts w:hint="default" w:ascii="Times New Roman" w:hAnsi="Times New Roman" w:eastAsia="宋体" w:cs="Times New Roman"/>
                <w:color w:val="000000" w:themeColor="text1"/>
                <w:sz w:val="24"/>
                <w:szCs w:val="24"/>
                <w14:textFill>
                  <w14:solidFill>
                    <w14:schemeClr w14:val="tx1"/>
                  </w14:solidFill>
                </w14:textFill>
              </w:rPr>
              <w:t>编制、提出营运期的环境保护计划；</w:t>
            </w:r>
          </w:p>
          <w:p w14:paraId="64BBE519">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b</w:t>
            </w:r>
            <w:r>
              <w:rPr>
                <w:rFonts w:hint="default" w:ascii="Times New Roman" w:hAnsi="Times New Roman" w:eastAsia="宋体" w:cs="Times New Roman"/>
                <w:color w:val="000000" w:themeColor="text1"/>
                <w:sz w:val="24"/>
                <w:szCs w:val="24"/>
                <w14:textFill>
                  <w14:solidFill>
                    <w14:schemeClr w14:val="tx1"/>
                  </w14:solidFill>
                </w14:textFill>
              </w:rPr>
              <w:t>贯彻落实国家和地方的环境保护法律、法规、政策和标准，直接接受行业主管部门及生态环境部门的监督、领导，配合环境主管部门做好环保工作；</w:t>
            </w:r>
          </w:p>
          <w:p w14:paraId="70BE7248">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c</w:t>
            </w:r>
            <w:r>
              <w:rPr>
                <w:rFonts w:hint="default" w:ascii="Times New Roman" w:hAnsi="Times New Roman" w:eastAsia="宋体" w:cs="Times New Roman"/>
                <w:color w:val="000000" w:themeColor="text1"/>
                <w:sz w:val="24"/>
                <w:szCs w:val="24"/>
                <w14:textFill>
                  <w14:solidFill>
                    <w14:schemeClr w14:val="tx1"/>
                  </w14:solidFill>
                </w14:textFill>
              </w:rPr>
              <w:t>负责区域内所有环保设施的日常运行管理，保障各环保设施的正常运行，并对环保设施的改进提出积极的建议；</w:t>
            </w:r>
          </w:p>
          <w:p w14:paraId="3968F075">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d</w:t>
            </w:r>
            <w:r>
              <w:rPr>
                <w:rFonts w:hint="default" w:ascii="Times New Roman" w:hAnsi="Times New Roman" w:eastAsia="宋体" w:cs="Times New Roman"/>
                <w:color w:val="000000" w:themeColor="text1"/>
                <w:sz w:val="24"/>
                <w:szCs w:val="24"/>
                <w14:textFill>
                  <w14:solidFill>
                    <w14:schemeClr w14:val="tx1"/>
                  </w14:solidFill>
                </w14:textFill>
              </w:rPr>
              <w:t>负责对校内人员进行环保宣传教育工作及检查、监督各岗位环保制度的执行情况。</w:t>
            </w:r>
          </w:p>
          <w:p w14:paraId="58226312">
            <w:pPr>
              <w:pStyle w:val="4"/>
              <w:keepNext w:val="0"/>
              <w:keepLines w:val="0"/>
              <w:pageBreakBefore w:val="0"/>
              <w:widowControl/>
              <w:tabs>
                <w:tab w:val="left" w:pos="2126"/>
              </w:tabs>
              <w:kinsoku/>
              <w:wordWrap/>
              <w:overflowPunct/>
              <w:topLinePunct w:val="0"/>
              <w:autoSpaceDE/>
              <w:autoSpaceDN/>
              <w:bidi w:val="0"/>
              <w:adjustRightInd w:val="0"/>
              <w:snapToGrid w:val="0"/>
              <w:spacing w:line="500" w:lineRule="exact"/>
              <w:ind w:firstLine="482" w:firstLineChars="200"/>
              <w:textAlignment w:val="auto"/>
              <w:outlineLvl w:val="2"/>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3）环境管理措施</w:t>
            </w:r>
          </w:p>
          <w:p w14:paraId="25E7C9FC">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a</w:t>
            </w:r>
            <w:r>
              <w:rPr>
                <w:rFonts w:hint="default" w:ascii="Times New Roman" w:hAnsi="Times New Roman" w:eastAsia="宋体" w:cs="Times New Roman"/>
                <w:color w:val="000000" w:themeColor="text1"/>
                <w:sz w:val="24"/>
                <w:szCs w:val="24"/>
                <w14:textFill>
                  <w14:solidFill>
                    <w14:schemeClr w14:val="tx1"/>
                  </w14:solidFill>
                </w14:textFill>
              </w:rPr>
              <w:t>根据国家环保政策、标准及环境监测要求，制定本项目营运期环保管理规章制度、各种污染物排放控制指标；</w:t>
            </w:r>
          </w:p>
          <w:p w14:paraId="557219FB">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b</w:t>
            </w:r>
            <w:r>
              <w:rPr>
                <w:rFonts w:hint="default" w:ascii="Times New Roman" w:hAnsi="Times New Roman" w:eastAsia="宋体" w:cs="Times New Roman"/>
                <w:color w:val="000000" w:themeColor="text1"/>
                <w:sz w:val="24"/>
                <w:szCs w:val="24"/>
                <w14:textFill>
                  <w14:solidFill>
                    <w14:schemeClr w14:val="tx1"/>
                  </w14:solidFill>
                </w14:textFill>
              </w:rPr>
              <w:t>负责本项目内所有环保设施的日常运行管理，保障各环保设施的正常运行，并对环保设施的改进提出积极的建议；</w:t>
            </w:r>
          </w:p>
          <w:p w14:paraId="5A0C4F18">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③在现有规章制度的基础上，建立健全环境档案管理与保密制度、污染防治设施设计技术改进及运行资料、污染源调查技术档案、环境监测及评价资料等。</w:t>
            </w:r>
          </w:p>
          <w:p w14:paraId="426511C5">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②环境风险防范措施 </w:t>
            </w:r>
          </w:p>
          <w:p w14:paraId="23AE7689">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企业尚未制定完善环境风险应急预案，后续将完善环境风险应急预案</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并</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向当地环境主管部门备案并按照预案定期开展演练，进一步完善落实应急措施。</w:t>
            </w:r>
          </w:p>
          <w:p w14:paraId="34CF564F">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③环境监测计划 </w:t>
            </w:r>
          </w:p>
          <w:p w14:paraId="41EE0393">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根据环评及批复文件要求，企业制定</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了</w:t>
            </w:r>
            <w:r>
              <w:rPr>
                <w:rFonts w:hint="default" w:ascii="Times New Roman" w:hAnsi="Times New Roman" w:eastAsia="宋体" w:cs="Times New Roman"/>
                <w:color w:val="000000" w:themeColor="text1"/>
                <w:sz w:val="24"/>
                <w:szCs w:val="24"/>
                <w14:textFill>
                  <w14:solidFill>
                    <w14:schemeClr w14:val="tx1"/>
                  </w14:solidFill>
                </w14:textFill>
              </w:rPr>
              <w:t>自行监测方案</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目前企业处于试运营阶段，后续按照监测计划委托资质单位定期开展自行监测。</w:t>
            </w:r>
          </w:p>
          <w:p w14:paraId="38FF3F84">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（2）配套措施落实情况 </w:t>
            </w:r>
          </w:p>
          <w:p w14:paraId="29EC4167">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①区域削减及淘汰落后产能 </w:t>
            </w:r>
          </w:p>
          <w:p w14:paraId="7F5CECC1">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不涉及</w:t>
            </w:r>
          </w:p>
          <w:p w14:paraId="6F075AD4">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 xml:space="preserve">②防护距离控制及居民搬迁 </w:t>
            </w:r>
          </w:p>
          <w:p w14:paraId="5643E774">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不涉及</w:t>
            </w:r>
          </w:p>
          <w:p w14:paraId="624147E9">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（3）其他措施落实情况 </w:t>
            </w:r>
          </w:p>
          <w:p w14:paraId="05BDD0EF">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无</w:t>
            </w:r>
          </w:p>
          <w:p w14:paraId="2AC43864">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kern w:val="0"/>
                <w:sz w:val="24"/>
                <w:szCs w:val="24"/>
                <w:lang w:val="en-US" w:eastAsia="zh-CN" w:bidi="ar"/>
                <w14:textFill>
                  <w14:solidFill>
                    <w14:schemeClr w14:val="tx1"/>
                  </w14:solidFill>
                </w14:textFill>
              </w:rPr>
              <w:t xml:space="preserve">3、整改工作情况 </w:t>
            </w:r>
          </w:p>
          <w:p w14:paraId="1930EF9A">
            <w:pPr>
              <w:pStyle w:val="6"/>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①完善发泡废气收集设施建设</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，如：提升集气罩收集效果</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p>
          <w:p w14:paraId="78E176AE">
            <w:pPr>
              <w:pStyle w:val="6"/>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②完善废气排放口建设</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，如：增加排放口高度</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p>
          <w:p w14:paraId="3ED12823">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③完善危废间建设</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，如：地面防渗、围堰，张贴环保标识。</w:t>
            </w:r>
          </w:p>
          <w:p w14:paraId="3A157EA1">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63328CFA">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0727B8E7">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13717E6D">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51278EF6">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617EC228">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023F43B7">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2BDF7D96">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3AA9AAAB">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51660AC6">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7F2331DF">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558F4C35">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5FCDBAD0">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7068006E">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7FD3DCE9">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21A9F2CD">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652AF5D3">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03D48A4B">
            <w:pPr>
              <w:keepNext w:val="0"/>
              <w:keepLines w:val="0"/>
              <w:pageBreakBefore w:val="0"/>
              <w:kinsoku/>
              <w:wordWrap/>
              <w:overflowPunct/>
              <w:topLinePunct w:val="0"/>
              <w:autoSpaceDE/>
              <w:autoSpaceDN/>
              <w:bidi w:val="0"/>
              <w:adjustRightInd w:val="0"/>
              <w:snapToGrid w:val="0"/>
              <w:spacing w:line="500" w:lineRule="exact"/>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07C025A6">
            <w:pPr>
              <w:keepNext w:val="0"/>
              <w:keepLines w:val="0"/>
              <w:pageBreakBefore w:val="0"/>
              <w:kinsoku/>
              <w:wordWrap/>
              <w:overflowPunct/>
              <w:topLinePunct w:val="0"/>
              <w:autoSpaceDE/>
              <w:autoSpaceDN/>
              <w:bidi w:val="0"/>
              <w:adjustRightInd w:val="0"/>
              <w:snapToGrid w:val="0"/>
              <w:spacing w:line="500" w:lineRule="exact"/>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p>
          <w:p w14:paraId="4EC441C3">
            <w:pPr>
              <w:keepNext w:val="0"/>
              <w:keepLines w:val="0"/>
              <w:pageBreakBefore w:val="0"/>
              <w:kinsoku/>
              <w:wordWrap/>
              <w:overflowPunct/>
              <w:topLinePunct w:val="0"/>
              <w:autoSpaceDE/>
              <w:autoSpaceDN/>
              <w:bidi w:val="0"/>
              <w:adjustRightInd w:val="0"/>
              <w:snapToGrid w:val="0"/>
              <w:spacing w:line="500" w:lineRule="exact"/>
              <w:textAlignment w:val="auto"/>
              <w:rPr>
                <w:rFonts w:hint="default"/>
                <w:lang w:val="en-US" w:eastAsia="zh-CN"/>
              </w:rPr>
            </w:pPr>
          </w:p>
        </w:tc>
      </w:tr>
    </w:tbl>
    <w:p w14:paraId="0BACB8AE">
      <w:pPr>
        <w:rPr>
          <w:rFonts w:hint="eastAsia"/>
          <w:lang w:eastAsia="zh-CN"/>
        </w:rPr>
        <w:sectPr>
          <w:pgSz w:w="11906" w:h="16838"/>
          <w:pgMar w:top="1440" w:right="1800" w:bottom="1440" w:left="1800" w:header="851" w:footer="992" w:gutter="0"/>
          <w:cols w:space="425" w:num="1"/>
          <w:docGrid w:type="lines" w:linePitch="312" w:charSpace="0"/>
        </w:sectPr>
      </w:pPr>
    </w:p>
    <w:tbl>
      <w:tblPr>
        <w:tblStyle w:val="29"/>
        <w:tblW w:w="15885" w:type="dxa"/>
        <w:jc w:val="center"/>
        <w:tblLayout w:type="fixed"/>
        <w:tblCellMar>
          <w:top w:w="15" w:type="dxa"/>
          <w:left w:w="15" w:type="dxa"/>
          <w:bottom w:w="15" w:type="dxa"/>
          <w:right w:w="15" w:type="dxa"/>
        </w:tblCellMar>
      </w:tblPr>
      <w:tblGrid>
        <w:gridCol w:w="976"/>
        <w:gridCol w:w="1168"/>
        <w:gridCol w:w="859"/>
        <w:gridCol w:w="1088"/>
        <w:gridCol w:w="1294"/>
        <w:gridCol w:w="1095"/>
        <w:gridCol w:w="285"/>
        <w:gridCol w:w="705"/>
        <w:gridCol w:w="315"/>
        <w:gridCol w:w="780"/>
        <w:gridCol w:w="90"/>
        <w:gridCol w:w="40"/>
        <w:gridCol w:w="28"/>
        <w:gridCol w:w="757"/>
        <w:gridCol w:w="410"/>
        <w:gridCol w:w="340"/>
        <w:gridCol w:w="222"/>
        <w:gridCol w:w="1264"/>
        <w:gridCol w:w="1020"/>
        <w:gridCol w:w="269"/>
        <w:gridCol w:w="661"/>
        <w:gridCol w:w="1314"/>
        <w:gridCol w:w="105"/>
        <w:gridCol w:w="800"/>
      </w:tblGrid>
      <w:tr w14:paraId="31351E91">
        <w:tblPrEx>
          <w:tblCellMar>
            <w:top w:w="15" w:type="dxa"/>
            <w:left w:w="15" w:type="dxa"/>
            <w:bottom w:w="15" w:type="dxa"/>
            <w:right w:w="15" w:type="dxa"/>
          </w:tblCellMar>
        </w:tblPrEx>
        <w:trPr>
          <w:trHeight w:val="23" w:hRule="atLeast"/>
          <w:jc w:val="center"/>
        </w:trPr>
        <w:tc>
          <w:tcPr>
            <w:tcW w:w="15885" w:type="dxa"/>
            <w:gridSpan w:val="24"/>
            <w:vAlign w:val="center"/>
          </w:tcPr>
          <w:p w14:paraId="453584D1">
            <w:pPr>
              <w:widowControl/>
              <w:adjustRightInd w:val="0"/>
              <w:snapToGrid w:val="0"/>
              <w:jc w:val="center"/>
              <w:textAlignment w:val="center"/>
              <w:rPr>
                <w:rFonts w:ascii="Times New Roman" w:hAnsi="Times New Roman" w:eastAsia="微软雅黑" w:cs="Times New Roman"/>
                <w:b/>
                <w:color w:val="000000"/>
                <w:kern w:val="0"/>
                <w:sz w:val="15"/>
                <w:szCs w:val="15"/>
              </w:rPr>
            </w:pPr>
            <w:r>
              <w:rPr>
                <w:rFonts w:ascii="Times New Roman" w:hAnsi="Times New Roman" w:eastAsia="微软雅黑" w:cs="Times New Roman"/>
                <w:b/>
                <w:bCs/>
                <w:color w:val="000000"/>
                <w:kern w:val="0"/>
                <w:sz w:val="28"/>
                <w:szCs w:val="28"/>
              </w:rPr>
              <w:t>建设项目工程竣工环境保护“三同时”验收登记表</w:t>
            </w:r>
          </w:p>
        </w:tc>
      </w:tr>
      <w:tr w14:paraId="66297C04">
        <w:tblPrEx>
          <w:tblCellMar>
            <w:top w:w="15" w:type="dxa"/>
            <w:left w:w="15" w:type="dxa"/>
            <w:bottom w:w="15" w:type="dxa"/>
            <w:right w:w="15" w:type="dxa"/>
          </w:tblCellMar>
        </w:tblPrEx>
        <w:trPr>
          <w:trHeight w:val="23" w:hRule="atLeast"/>
          <w:jc w:val="center"/>
        </w:trPr>
        <w:tc>
          <w:tcPr>
            <w:tcW w:w="976" w:type="dxa"/>
            <w:shd w:val="clear" w:color="auto" w:fill="FF9900"/>
            <w:vAlign w:val="center"/>
          </w:tcPr>
          <w:p w14:paraId="5DE275F1">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bottom w:val="single" w:color="000000" w:sz="4" w:space="0"/>
            </w:tcBorders>
            <w:shd w:val="clear" w:color="auto" w:fill="FF9900"/>
            <w:vAlign w:val="center"/>
          </w:tcPr>
          <w:p w14:paraId="53D39383">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填表单位（盖章）</w:t>
            </w:r>
            <w:r>
              <w:rPr>
                <w:rStyle w:val="54"/>
                <w:rFonts w:hint="default" w:ascii="Times New Roman" w:hAnsi="Times New Roman" w:eastAsia="微软雅黑" w:cs="Times New Roman"/>
                <w:kern w:val="0"/>
                <w:sz w:val="15"/>
                <w:szCs w:val="15"/>
              </w:rPr>
              <w:t>*</w:t>
            </w:r>
          </w:p>
        </w:tc>
        <w:tc>
          <w:tcPr>
            <w:tcW w:w="5652" w:type="dxa"/>
            <w:gridSpan w:val="8"/>
            <w:tcBorders>
              <w:bottom w:val="single" w:color="000000" w:sz="4" w:space="0"/>
            </w:tcBorders>
            <w:shd w:val="clear" w:color="auto" w:fill="C0C0C0"/>
            <w:vAlign w:val="center"/>
          </w:tcPr>
          <w:p w14:paraId="76CEF72E">
            <w:pPr>
              <w:widowControl/>
              <w:adjustRightInd w:val="0"/>
              <w:snapToGrid w:val="0"/>
              <w:jc w:val="center"/>
              <w:rPr>
                <w:rFonts w:ascii="Times New Roman" w:hAnsi="Times New Roman" w:eastAsia="微软雅黑" w:cs="Times New Roman"/>
                <w:kern w:val="0"/>
                <w:sz w:val="15"/>
                <w:szCs w:val="15"/>
              </w:rPr>
            </w:pPr>
          </w:p>
        </w:tc>
        <w:tc>
          <w:tcPr>
            <w:tcW w:w="1235" w:type="dxa"/>
            <w:gridSpan w:val="4"/>
            <w:shd w:val="clear" w:color="auto" w:fill="FF9900"/>
            <w:vAlign w:val="center"/>
          </w:tcPr>
          <w:p w14:paraId="7CEDA3CE">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填表人（签字）</w:t>
            </w:r>
            <w:r>
              <w:rPr>
                <w:rStyle w:val="54"/>
                <w:rFonts w:hint="default" w:ascii="Times New Roman" w:hAnsi="Times New Roman" w:eastAsia="微软雅黑" w:cs="Times New Roman"/>
                <w:kern w:val="0"/>
                <w:sz w:val="15"/>
                <w:szCs w:val="15"/>
              </w:rPr>
              <w:t>*</w:t>
            </w:r>
          </w:p>
        </w:tc>
        <w:tc>
          <w:tcPr>
            <w:tcW w:w="1826" w:type="dxa"/>
            <w:gridSpan w:val="3"/>
            <w:tcBorders>
              <w:bottom w:val="single" w:color="000000" w:sz="4" w:space="0"/>
            </w:tcBorders>
            <w:shd w:val="clear" w:color="auto" w:fill="C0C0C0"/>
            <w:vAlign w:val="center"/>
          </w:tcPr>
          <w:p w14:paraId="43B21F08">
            <w:pPr>
              <w:widowControl/>
              <w:adjustRightInd w:val="0"/>
              <w:snapToGrid w:val="0"/>
              <w:jc w:val="center"/>
              <w:rPr>
                <w:rFonts w:ascii="Times New Roman" w:hAnsi="Times New Roman" w:eastAsia="微软雅黑" w:cs="Times New Roman"/>
                <w:color w:val="000000"/>
                <w:kern w:val="0"/>
                <w:sz w:val="15"/>
                <w:szCs w:val="15"/>
              </w:rPr>
            </w:pPr>
          </w:p>
        </w:tc>
        <w:tc>
          <w:tcPr>
            <w:tcW w:w="1950" w:type="dxa"/>
            <w:gridSpan w:val="3"/>
            <w:tcBorders>
              <w:bottom w:val="single" w:color="000000" w:sz="4" w:space="0"/>
            </w:tcBorders>
            <w:shd w:val="clear" w:color="auto" w:fill="FF9900"/>
            <w:vAlign w:val="center"/>
          </w:tcPr>
          <w:p w14:paraId="235D3FDD">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项目经办人（签字）</w:t>
            </w:r>
            <w:r>
              <w:rPr>
                <w:rStyle w:val="54"/>
                <w:rFonts w:hint="default" w:ascii="Times New Roman" w:hAnsi="Times New Roman" w:eastAsia="微软雅黑" w:cs="Times New Roman"/>
                <w:kern w:val="0"/>
                <w:sz w:val="15"/>
                <w:szCs w:val="15"/>
              </w:rPr>
              <w:t>*</w:t>
            </w:r>
          </w:p>
        </w:tc>
        <w:tc>
          <w:tcPr>
            <w:tcW w:w="2219" w:type="dxa"/>
            <w:gridSpan w:val="3"/>
            <w:tcBorders>
              <w:bottom w:val="single" w:color="000000" w:sz="4" w:space="0"/>
            </w:tcBorders>
            <w:shd w:val="clear" w:color="auto" w:fill="C0C0C0"/>
            <w:vAlign w:val="center"/>
          </w:tcPr>
          <w:p w14:paraId="4B67BF7A">
            <w:pPr>
              <w:widowControl/>
              <w:adjustRightInd w:val="0"/>
              <w:snapToGrid w:val="0"/>
              <w:jc w:val="center"/>
              <w:rPr>
                <w:rFonts w:ascii="Times New Roman" w:hAnsi="Times New Roman" w:eastAsia="微软雅黑" w:cs="Times New Roman"/>
                <w:color w:val="000000"/>
                <w:kern w:val="0"/>
                <w:sz w:val="15"/>
                <w:szCs w:val="15"/>
              </w:rPr>
            </w:pPr>
          </w:p>
        </w:tc>
      </w:tr>
      <w:tr w14:paraId="147BC669">
        <w:tblPrEx>
          <w:tblCellMar>
            <w:top w:w="15" w:type="dxa"/>
            <w:left w:w="15" w:type="dxa"/>
            <w:bottom w:w="15" w:type="dxa"/>
            <w:right w:w="15" w:type="dxa"/>
          </w:tblCellMar>
        </w:tblPrEx>
        <w:trPr>
          <w:trHeight w:val="23" w:hRule="atLeast"/>
          <w:jc w:val="center"/>
        </w:trPr>
        <w:tc>
          <w:tcPr>
            <w:tcW w:w="976" w:type="dxa"/>
            <w:vMerge w:val="restart"/>
            <w:tcBorders>
              <w:top w:val="single" w:color="000000" w:sz="4" w:space="0"/>
              <w:left w:val="single" w:color="000000" w:sz="4" w:space="0"/>
              <w:right w:val="single" w:color="000000" w:sz="4" w:space="0"/>
            </w:tcBorders>
            <w:shd w:val="clear" w:color="auto" w:fill="FFCC99"/>
            <w:vAlign w:val="center"/>
          </w:tcPr>
          <w:p w14:paraId="60879758">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建设项目</w:t>
            </w: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4CC5E867">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项目名称</w:t>
            </w:r>
            <w:r>
              <w:rPr>
                <w:rStyle w:val="54"/>
                <w:rFonts w:hint="default" w:ascii="Times New Roman" w:hAnsi="Times New Roman" w:eastAsia="微软雅黑" w:cs="Times New Roman"/>
                <w:kern w:val="0"/>
                <w:sz w:val="15"/>
                <w:szCs w:val="15"/>
              </w:rPr>
              <w:t>*</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F71A4A9">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年产60000平方米冷库保温板项目</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14:paraId="25C6E128">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建设地点</w:t>
            </w:r>
            <w:r>
              <w:rPr>
                <w:rFonts w:hint="default" w:ascii="Times New Roman" w:hAnsi="Times New Roman" w:eastAsia="微软雅黑" w:cs="Times New Roman"/>
                <w:color w:val="000000"/>
                <w:kern w:val="0"/>
                <w:sz w:val="15"/>
                <w:szCs w:val="15"/>
              </w:rPr>
              <w:t>*</w:t>
            </w:r>
          </w:p>
        </w:tc>
        <w:tc>
          <w:tcPr>
            <w:tcW w:w="5655" w:type="dxa"/>
            <w:gridSpan w:val="8"/>
            <w:tcBorders>
              <w:top w:val="single" w:color="000000" w:sz="4" w:space="0"/>
              <w:left w:val="single" w:color="000000" w:sz="4" w:space="0"/>
              <w:bottom w:val="single" w:color="000000" w:sz="4" w:space="0"/>
              <w:right w:val="single" w:color="000000" w:sz="4" w:space="0"/>
            </w:tcBorders>
            <w:vAlign w:val="center"/>
          </w:tcPr>
          <w:p w14:paraId="59B87560">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lang w:val="en-US" w:eastAsia="zh-CN"/>
              </w:rPr>
              <w:t>澄迈县老城</w:t>
            </w:r>
            <w:r>
              <w:rPr>
                <w:rFonts w:hint="eastAsia" w:ascii="Times New Roman" w:hAnsi="Times New Roman" w:eastAsia="微软雅黑" w:cs="Times New Roman"/>
                <w:color w:val="000000"/>
                <w:kern w:val="0"/>
                <w:sz w:val="15"/>
                <w:szCs w:val="15"/>
                <w:lang w:val="en-US" w:eastAsia="zh-CN"/>
              </w:rPr>
              <w:t>科技新城南一环路与</w:t>
            </w:r>
            <w:r>
              <w:rPr>
                <w:rFonts w:hint="default" w:ascii="Times New Roman" w:hAnsi="Times New Roman" w:eastAsia="微软雅黑" w:cs="Times New Roman"/>
                <w:color w:val="000000"/>
                <w:kern w:val="0"/>
                <w:sz w:val="15"/>
                <w:szCs w:val="15"/>
                <w:lang w:val="en-US" w:eastAsia="zh-CN"/>
              </w:rPr>
              <w:t>美朗</w:t>
            </w:r>
            <w:r>
              <w:rPr>
                <w:rFonts w:hint="eastAsia" w:ascii="Times New Roman" w:hAnsi="Times New Roman" w:eastAsia="微软雅黑" w:cs="Times New Roman"/>
                <w:color w:val="000000"/>
                <w:kern w:val="0"/>
                <w:sz w:val="15"/>
                <w:szCs w:val="15"/>
                <w:lang w:val="en-US" w:eastAsia="zh-CN"/>
              </w:rPr>
              <w:t>南</w:t>
            </w:r>
            <w:r>
              <w:rPr>
                <w:rFonts w:hint="default" w:ascii="Times New Roman" w:hAnsi="Times New Roman" w:eastAsia="微软雅黑" w:cs="Times New Roman"/>
                <w:color w:val="000000"/>
                <w:kern w:val="0"/>
                <w:sz w:val="15"/>
                <w:szCs w:val="15"/>
                <w:lang w:val="en-US" w:eastAsia="zh-CN"/>
              </w:rPr>
              <w:t>路</w:t>
            </w:r>
            <w:r>
              <w:rPr>
                <w:rFonts w:hint="eastAsia" w:ascii="Times New Roman" w:hAnsi="Times New Roman" w:eastAsia="微软雅黑" w:cs="Times New Roman"/>
                <w:color w:val="000000"/>
                <w:kern w:val="0"/>
                <w:sz w:val="15"/>
                <w:szCs w:val="15"/>
                <w:lang w:val="en-US" w:eastAsia="zh-CN"/>
              </w:rPr>
              <w:t>交汇处西北</w:t>
            </w:r>
            <w:r>
              <w:rPr>
                <w:rFonts w:hint="default" w:ascii="Times New Roman" w:hAnsi="Times New Roman" w:eastAsia="微软雅黑" w:cs="Times New Roman"/>
                <w:color w:val="000000"/>
                <w:kern w:val="0"/>
                <w:sz w:val="15"/>
                <w:szCs w:val="15"/>
                <w:lang w:val="en-US" w:eastAsia="zh-CN"/>
              </w:rPr>
              <w:t>侧</w:t>
            </w:r>
          </w:p>
        </w:tc>
      </w:tr>
      <w:tr w14:paraId="62D3A13C">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6B775826">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5C7D97DF">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行业类别</w:t>
            </w:r>
            <w:r>
              <w:rPr>
                <w:rStyle w:val="54"/>
                <w:rFonts w:hint="default" w:ascii="Times New Roman" w:hAnsi="Times New Roman" w:eastAsia="微软雅黑" w:cs="Times New Roman"/>
                <w:kern w:val="0"/>
                <w:sz w:val="15"/>
                <w:szCs w:val="15"/>
              </w:rPr>
              <w:t>*</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86288D0">
            <w:pPr>
              <w:widowControl/>
              <w:adjustRightInd w:val="0"/>
              <w:snapToGrid w:val="0"/>
              <w:jc w:val="center"/>
              <w:textAlignment w:val="center"/>
              <w:rPr>
                <w:rFonts w:hint="eastAsia"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C2924泡沫塑料制造</w:t>
            </w:r>
          </w:p>
          <w:p w14:paraId="121A0637">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lang w:val="en-US" w:eastAsia="zh-CN"/>
              </w:rPr>
              <w:t>C3034</w:t>
            </w:r>
            <w:r>
              <w:rPr>
                <w:rFonts w:hint="eastAsia" w:ascii="Times New Roman" w:hAnsi="Times New Roman" w:eastAsia="微软雅黑" w:cs="Times New Roman"/>
                <w:color w:val="000000"/>
                <w:kern w:val="0"/>
                <w:sz w:val="15"/>
                <w:szCs w:val="15"/>
                <w:lang w:val="en-US" w:eastAsia="zh-CN"/>
              </w:rPr>
              <w:t>隔热和隔音材料制造</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14:paraId="5DF348C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建设性质</w:t>
            </w:r>
          </w:p>
        </w:tc>
        <w:tc>
          <w:tcPr>
            <w:tcW w:w="5655" w:type="dxa"/>
            <w:gridSpan w:val="8"/>
            <w:tcBorders>
              <w:top w:val="single" w:color="000000" w:sz="4" w:space="0"/>
              <w:left w:val="single" w:color="000000" w:sz="4" w:space="0"/>
              <w:bottom w:val="single" w:color="000000" w:sz="4" w:space="0"/>
              <w:right w:val="single" w:color="000000" w:sz="4" w:space="0"/>
            </w:tcBorders>
            <w:vAlign w:val="center"/>
          </w:tcPr>
          <w:p w14:paraId="593BB67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新建</w:t>
            </w:r>
          </w:p>
        </w:tc>
      </w:tr>
      <w:tr w14:paraId="7D84189F">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6BDD68DD">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280CDFF8">
            <w:pPr>
              <w:widowControl/>
              <w:adjustRightInd w:val="0"/>
              <w:snapToGrid w:val="0"/>
              <w:jc w:val="center"/>
              <w:rPr>
                <w:rFonts w:ascii="Times New Roman" w:hAnsi="Times New Roman" w:eastAsia="微软雅黑" w:cs="Times New Roman"/>
                <w:kern w:val="0"/>
                <w:sz w:val="15"/>
                <w:szCs w:val="15"/>
              </w:rPr>
            </w:pPr>
            <w:r>
              <w:rPr>
                <w:rFonts w:ascii="Times New Roman" w:hAnsi="Times New Roman" w:eastAsia="微软雅黑" w:cs="Times New Roman"/>
                <w:kern w:val="0"/>
                <w:sz w:val="15"/>
                <w:szCs w:val="15"/>
              </w:rPr>
              <w:t>设计生产能力</w:t>
            </w:r>
          </w:p>
        </w:tc>
        <w:tc>
          <w:tcPr>
            <w:tcW w:w="23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F9065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每年6万平方米（约6050m3</w:t>
            </w:r>
            <w:r>
              <w:rPr>
                <w:rFonts w:hint="default" w:ascii="Times New Roman" w:hAnsi="Times New Roman" w:eastAsia="微软雅黑" w:cs="Times New Roman"/>
                <w:color w:val="000000"/>
                <w:kern w:val="0"/>
                <w:sz w:val="15"/>
                <w:szCs w:val="15"/>
                <w:lang w:val="en-US" w:eastAsia="zh-CN"/>
              </w:rPr>
              <w:t>/a</w:t>
            </w:r>
            <w:r>
              <w:rPr>
                <w:rFonts w:hint="eastAsia" w:ascii="Times New Roman" w:hAnsi="Times New Roman" w:eastAsia="微软雅黑" w:cs="Times New Roman"/>
                <w:color w:val="000000"/>
                <w:kern w:val="0"/>
                <w:sz w:val="15"/>
                <w:szCs w:val="15"/>
                <w:lang w:val="en-US" w:eastAsia="zh-CN"/>
              </w:rPr>
              <w:t>）</w:t>
            </w:r>
          </w:p>
        </w:tc>
        <w:tc>
          <w:tcPr>
            <w:tcW w:w="138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3C74D188">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建设项目开工日期</w:t>
            </w:r>
          </w:p>
        </w:tc>
        <w:tc>
          <w:tcPr>
            <w:tcW w:w="1890" w:type="dxa"/>
            <w:gridSpan w:val="4"/>
            <w:shd w:val="clear" w:color="auto" w:fill="auto"/>
            <w:vAlign w:val="center"/>
          </w:tcPr>
          <w:p w14:paraId="6897226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202</w:t>
            </w:r>
            <w:r>
              <w:rPr>
                <w:rFonts w:hint="eastAsia" w:ascii="Times New Roman" w:hAnsi="Times New Roman" w:eastAsia="微软雅黑" w:cs="Times New Roman"/>
                <w:color w:val="000000"/>
                <w:kern w:val="0"/>
                <w:sz w:val="15"/>
                <w:szCs w:val="15"/>
                <w:lang w:val="en-US" w:eastAsia="zh-CN"/>
              </w:rPr>
              <w:t>5</w:t>
            </w:r>
            <w:r>
              <w:rPr>
                <w:rFonts w:ascii="Times New Roman" w:hAnsi="Times New Roman" w:eastAsia="微软雅黑" w:cs="Times New Roman"/>
                <w:color w:val="000000"/>
                <w:kern w:val="0"/>
                <w:sz w:val="15"/>
                <w:szCs w:val="15"/>
              </w:rPr>
              <w:t>年</w:t>
            </w:r>
            <w:r>
              <w:rPr>
                <w:rFonts w:hint="eastAsia" w:ascii="Times New Roman" w:hAnsi="Times New Roman" w:eastAsia="微软雅黑" w:cs="Times New Roman"/>
                <w:color w:val="000000"/>
                <w:kern w:val="0"/>
                <w:sz w:val="15"/>
                <w:szCs w:val="15"/>
                <w:lang w:val="en-US" w:eastAsia="zh-CN"/>
              </w:rPr>
              <w:t>2</w:t>
            </w:r>
            <w:r>
              <w:rPr>
                <w:rFonts w:ascii="Times New Roman" w:hAnsi="Times New Roman" w:eastAsia="微软雅黑" w:cs="Times New Roman"/>
                <w:color w:val="000000"/>
                <w:kern w:val="0"/>
                <w:sz w:val="15"/>
                <w:szCs w:val="15"/>
              </w:rPr>
              <w:t>月</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14:paraId="090F94A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实际生产能力</w:t>
            </w:r>
          </w:p>
        </w:tc>
        <w:tc>
          <w:tcPr>
            <w:tcW w:w="34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C665DE">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每年6万平方米（约6050m3</w:t>
            </w:r>
            <w:r>
              <w:rPr>
                <w:rFonts w:hint="default" w:ascii="Times New Roman" w:hAnsi="Times New Roman" w:eastAsia="微软雅黑" w:cs="Times New Roman"/>
                <w:color w:val="000000"/>
                <w:kern w:val="0"/>
                <w:sz w:val="15"/>
                <w:szCs w:val="15"/>
                <w:lang w:val="en-US" w:eastAsia="zh-CN"/>
              </w:rPr>
              <w:t>/a</w:t>
            </w:r>
            <w:r>
              <w:rPr>
                <w:rFonts w:hint="eastAsia" w:ascii="Times New Roman" w:hAnsi="Times New Roman" w:eastAsia="微软雅黑" w:cs="Times New Roman"/>
                <w:color w:val="000000"/>
                <w:kern w:val="0"/>
                <w:sz w:val="15"/>
                <w:szCs w:val="15"/>
                <w:lang w:val="en-US" w:eastAsia="zh-CN"/>
              </w:rPr>
              <w:t>）</w:t>
            </w:r>
          </w:p>
        </w:tc>
        <w:tc>
          <w:tcPr>
            <w:tcW w:w="1314"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173ECD0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投入试运行日期</w:t>
            </w:r>
          </w:p>
        </w:tc>
        <w:tc>
          <w:tcPr>
            <w:tcW w:w="905" w:type="dxa"/>
            <w:gridSpan w:val="2"/>
            <w:tcBorders>
              <w:top w:val="single" w:color="000000" w:sz="4" w:space="0"/>
              <w:left w:val="single" w:color="000000" w:sz="4" w:space="0"/>
              <w:bottom w:val="single" w:color="000000" w:sz="4" w:space="0"/>
              <w:right w:val="single" w:color="000000" w:sz="4" w:space="0"/>
            </w:tcBorders>
            <w:vAlign w:val="center"/>
          </w:tcPr>
          <w:p w14:paraId="5F4BE459">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202</w:t>
            </w:r>
            <w:r>
              <w:rPr>
                <w:rFonts w:hint="eastAsia" w:ascii="Times New Roman" w:hAnsi="Times New Roman" w:eastAsia="微软雅黑" w:cs="Times New Roman"/>
                <w:color w:val="000000"/>
                <w:kern w:val="0"/>
                <w:sz w:val="15"/>
                <w:szCs w:val="15"/>
                <w:lang w:val="en-US" w:eastAsia="zh-CN"/>
              </w:rPr>
              <w:t>5</w:t>
            </w:r>
            <w:r>
              <w:rPr>
                <w:rFonts w:ascii="Times New Roman" w:hAnsi="Times New Roman" w:eastAsia="微软雅黑" w:cs="Times New Roman"/>
                <w:color w:val="000000"/>
                <w:kern w:val="0"/>
                <w:sz w:val="15"/>
                <w:szCs w:val="15"/>
              </w:rPr>
              <w:t>年</w:t>
            </w:r>
            <w:r>
              <w:rPr>
                <w:rFonts w:hint="eastAsia" w:ascii="Times New Roman" w:hAnsi="Times New Roman" w:eastAsia="微软雅黑" w:cs="Times New Roman"/>
                <w:color w:val="000000"/>
                <w:kern w:val="0"/>
                <w:sz w:val="15"/>
                <w:szCs w:val="15"/>
                <w:lang w:val="en-US" w:eastAsia="zh-CN"/>
              </w:rPr>
              <w:t>4</w:t>
            </w:r>
            <w:r>
              <w:rPr>
                <w:rFonts w:ascii="Times New Roman" w:hAnsi="Times New Roman" w:eastAsia="微软雅黑" w:cs="Times New Roman"/>
                <w:color w:val="000000"/>
                <w:kern w:val="0"/>
                <w:sz w:val="15"/>
                <w:szCs w:val="15"/>
              </w:rPr>
              <w:t>月</w:t>
            </w:r>
          </w:p>
        </w:tc>
      </w:tr>
      <w:tr w14:paraId="7DDCBBE3">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4FB19A5A">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6B7B3BA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投资总概算（万元）</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1AC17AF">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300.00</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14:paraId="7215806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环保投资总概算（万元）</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EB8B38">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25.00</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1048A5CF">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所占比例（%）</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4E0DAE18">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8.3%</w:t>
            </w:r>
          </w:p>
        </w:tc>
      </w:tr>
      <w:tr w14:paraId="4ADA9D28">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1820E642">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412E2FF1">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环评审批部门</w:t>
            </w:r>
            <w:r>
              <w:rPr>
                <w:rStyle w:val="54"/>
                <w:rFonts w:hint="default" w:ascii="Times New Roman" w:hAnsi="Times New Roman" w:eastAsia="微软雅黑" w:cs="Times New Roman"/>
                <w:kern w:val="0"/>
                <w:sz w:val="15"/>
                <w:szCs w:val="15"/>
              </w:rPr>
              <w:t>*</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3F212B5">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澄迈县行政审批服务局</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14:paraId="18C481A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批准文号*</w:t>
            </w:r>
          </w:p>
        </w:tc>
        <w:tc>
          <w:tcPr>
            <w:tcW w:w="1486" w:type="dxa"/>
            <w:gridSpan w:val="2"/>
            <w:shd w:val="clear" w:color="auto" w:fill="auto"/>
            <w:vAlign w:val="center"/>
          </w:tcPr>
          <w:p w14:paraId="5088560F">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澄行审批</w:t>
            </w:r>
            <w:r>
              <w:rPr>
                <w:rFonts w:ascii="Times New Roman" w:hAnsi="Times New Roman" w:eastAsia="微软雅黑" w:cs="Times New Roman"/>
                <w:color w:val="000000"/>
                <w:kern w:val="0"/>
                <w:sz w:val="15"/>
                <w:szCs w:val="15"/>
              </w:rPr>
              <w:t>〔202</w:t>
            </w:r>
            <w:r>
              <w:rPr>
                <w:rFonts w:hint="eastAsia" w:ascii="Times New Roman" w:hAnsi="Times New Roman" w:eastAsia="微软雅黑" w:cs="Times New Roman"/>
                <w:color w:val="000000"/>
                <w:kern w:val="0"/>
                <w:sz w:val="15"/>
                <w:szCs w:val="15"/>
                <w:lang w:val="en-US" w:eastAsia="zh-CN"/>
              </w:rPr>
              <w:t>5</w:t>
            </w:r>
            <w:r>
              <w:rPr>
                <w:rFonts w:ascii="Times New Roman" w:hAnsi="Times New Roman" w:eastAsia="微软雅黑" w:cs="Times New Roman"/>
                <w:color w:val="000000"/>
                <w:kern w:val="0"/>
                <w:sz w:val="15"/>
                <w:szCs w:val="15"/>
              </w:rPr>
              <w:t>〕第</w:t>
            </w:r>
            <w:r>
              <w:rPr>
                <w:rFonts w:hint="eastAsia" w:ascii="Times New Roman" w:hAnsi="Times New Roman" w:eastAsia="微软雅黑" w:cs="Times New Roman"/>
                <w:color w:val="000000"/>
                <w:kern w:val="0"/>
                <w:sz w:val="15"/>
                <w:szCs w:val="15"/>
                <w:lang w:val="en-US" w:eastAsia="zh-CN"/>
              </w:rPr>
              <w:t>84</w:t>
            </w:r>
            <w:r>
              <w:rPr>
                <w:rFonts w:ascii="Times New Roman" w:hAnsi="Times New Roman" w:eastAsia="微软雅黑" w:cs="Times New Roman"/>
                <w:color w:val="000000"/>
                <w:kern w:val="0"/>
                <w:sz w:val="15"/>
                <w:szCs w:val="15"/>
              </w:rPr>
              <w:t>号</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195A684D">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批准时间*</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3C600633">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202</w:t>
            </w:r>
            <w:r>
              <w:rPr>
                <w:rFonts w:hint="eastAsia" w:ascii="Times New Roman" w:hAnsi="Times New Roman" w:eastAsia="微软雅黑" w:cs="Times New Roman"/>
                <w:color w:val="000000"/>
                <w:kern w:val="0"/>
                <w:sz w:val="15"/>
                <w:szCs w:val="15"/>
                <w:lang w:val="en-US" w:eastAsia="zh-CN"/>
              </w:rPr>
              <w:t>5</w:t>
            </w:r>
            <w:r>
              <w:rPr>
                <w:rFonts w:ascii="Times New Roman" w:hAnsi="Times New Roman" w:eastAsia="微软雅黑" w:cs="Times New Roman"/>
                <w:color w:val="000000"/>
                <w:kern w:val="0"/>
                <w:sz w:val="15"/>
                <w:szCs w:val="15"/>
              </w:rPr>
              <w:t>年</w:t>
            </w:r>
            <w:r>
              <w:rPr>
                <w:rFonts w:hint="eastAsia" w:ascii="Times New Roman" w:hAnsi="Times New Roman" w:eastAsia="微软雅黑" w:cs="Times New Roman"/>
                <w:color w:val="000000"/>
                <w:kern w:val="0"/>
                <w:sz w:val="15"/>
                <w:szCs w:val="15"/>
                <w:lang w:val="en-US" w:eastAsia="zh-CN"/>
              </w:rPr>
              <w:t>2</w:t>
            </w:r>
            <w:r>
              <w:rPr>
                <w:rFonts w:ascii="Times New Roman" w:hAnsi="Times New Roman" w:eastAsia="微软雅黑" w:cs="Times New Roman"/>
                <w:color w:val="000000"/>
                <w:kern w:val="0"/>
                <w:sz w:val="15"/>
                <w:szCs w:val="15"/>
              </w:rPr>
              <w:t>月</w:t>
            </w:r>
            <w:r>
              <w:rPr>
                <w:rFonts w:hint="eastAsia" w:ascii="Times New Roman" w:hAnsi="Times New Roman" w:eastAsia="微软雅黑" w:cs="Times New Roman"/>
                <w:color w:val="000000"/>
                <w:kern w:val="0"/>
                <w:sz w:val="15"/>
                <w:szCs w:val="15"/>
                <w:lang w:val="en-US" w:eastAsia="zh-CN"/>
              </w:rPr>
              <w:t>19</w:t>
            </w:r>
            <w:r>
              <w:rPr>
                <w:rFonts w:ascii="Times New Roman" w:hAnsi="Times New Roman" w:eastAsia="微软雅黑" w:cs="Times New Roman"/>
                <w:color w:val="000000"/>
                <w:kern w:val="0"/>
                <w:sz w:val="15"/>
                <w:szCs w:val="15"/>
              </w:rPr>
              <w:t>日</w:t>
            </w:r>
          </w:p>
        </w:tc>
      </w:tr>
      <w:tr w14:paraId="01BC0ECD">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3FCBDE13">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0B1350E1">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初步设计审批部门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F12704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14:paraId="016A118A">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批准文号</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2F820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029BDE13">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批准时间</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30A33F31">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r>
      <w:tr w14:paraId="066F8ACA">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26908A58">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12180A78">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环保验收审批部门</w:t>
            </w:r>
          </w:p>
        </w:tc>
        <w:tc>
          <w:tcPr>
            <w:tcW w:w="565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F56666D">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14:paraId="70A42C5A">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批准文号</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4660D8">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57FE2AE4">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批准时间</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4CC0404C">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r>
      <w:tr w14:paraId="7F3617AF">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002C1F6F">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37BE93B5">
            <w:pPr>
              <w:widowControl/>
              <w:adjustRightInd w:val="0"/>
              <w:snapToGrid w:val="0"/>
              <w:jc w:val="center"/>
              <w:textAlignment w:val="center"/>
              <w:rPr>
                <w:rFonts w:ascii="Times New Roman" w:hAnsi="Times New Roman" w:eastAsia="微软雅黑" w:cs="Times New Roman"/>
                <w:color w:val="000000"/>
                <w:kern w:val="0"/>
                <w:sz w:val="15"/>
                <w:szCs w:val="15"/>
                <w:highlight w:val="yellow"/>
              </w:rPr>
            </w:pPr>
            <w:r>
              <w:rPr>
                <w:rFonts w:ascii="Times New Roman" w:hAnsi="Times New Roman" w:eastAsia="微软雅黑" w:cs="Times New Roman"/>
                <w:color w:val="000000"/>
                <w:kern w:val="0"/>
                <w:sz w:val="15"/>
                <w:szCs w:val="15"/>
                <w:highlight w:val="none"/>
              </w:rPr>
              <w:t>环保设施设计单位</w:t>
            </w:r>
          </w:p>
        </w:tc>
        <w:tc>
          <w:tcPr>
            <w:tcW w:w="23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354AF1">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rPr>
              <w:t>海南禾汇环保科技有限公司</w:t>
            </w:r>
          </w:p>
        </w:tc>
        <w:tc>
          <w:tcPr>
            <w:tcW w:w="2400"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0888CCA8">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环保设施施工单位</w:t>
            </w:r>
          </w:p>
        </w:tc>
        <w:tc>
          <w:tcPr>
            <w:tcW w:w="3931"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31FF8FD">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rPr>
              <w:t>海南禾汇环保科技有限公司</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7C9FBEF9">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环保设施检测单位</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176E5817">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海南中成检测技术有限公司</w:t>
            </w:r>
          </w:p>
        </w:tc>
      </w:tr>
      <w:tr w14:paraId="748AA3F5">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593790A7">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43B54F14">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实际总投资（万元）</w:t>
            </w:r>
          </w:p>
        </w:tc>
        <w:tc>
          <w:tcPr>
            <w:tcW w:w="569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DA78823">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350.00</w:t>
            </w:r>
          </w:p>
        </w:tc>
        <w:tc>
          <w:tcPr>
            <w:tcW w:w="153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3F1E605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实际环保投资（万元）</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6290DF">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32.00</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5F5C7561">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所占比例（%）</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790FF72E">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9.1%</w:t>
            </w:r>
          </w:p>
        </w:tc>
      </w:tr>
      <w:tr w14:paraId="07859EC0">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05C0DEC6">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532F13A4">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废水治理（万元）</w:t>
            </w:r>
          </w:p>
        </w:tc>
        <w:tc>
          <w:tcPr>
            <w:tcW w:w="10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5FE1">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w:t>
            </w:r>
          </w:p>
        </w:tc>
        <w:tc>
          <w:tcPr>
            <w:tcW w:w="1294"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45982AC2">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废气治理（万元）</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D1D27">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27</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014468B8">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噪声治理（万元）</w:t>
            </w:r>
          </w:p>
        </w:tc>
        <w:tc>
          <w:tcPr>
            <w:tcW w:w="9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71FE96">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1.5</w:t>
            </w:r>
          </w:p>
        </w:tc>
        <w:tc>
          <w:tcPr>
            <w:tcW w:w="153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08408CA0">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固废治理（万元）</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5F83AF">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3.5</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7E4B94D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绿化及生态（万元）</w:t>
            </w:r>
          </w:p>
        </w:tc>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99B6D">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1314"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03EC7BBE">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其它（万元）</w:t>
            </w:r>
          </w:p>
        </w:tc>
        <w:tc>
          <w:tcPr>
            <w:tcW w:w="905" w:type="dxa"/>
            <w:gridSpan w:val="2"/>
            <w:tcBorders>
              <w:top w:val="single" w:color="000000" w:sz="4" w:space="0"/>
              <w:left w:val="single" w:color="000000" w:sz="4" w:space="0"/>
              <w:bottom w:val="single" w:color="000000" w:sz="4" w:space="0"/>
              <w:right w:val="single" w:color="000000" w:sz="4" w:space="0"/>
            </w:tcBorders>
            <w:vAlign w:val="center"/>
          </w:tcPr>
          <w:p w14:paraId="2253E504">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3.4</w:t>
            </w:r>
          </w:p>
        </w:tc>
      </w:tr>
      <w:tr w14:paraId="13EEF28E">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2C27EC7D">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12A84EDB">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新增废水处理设施能力（m</w:t>
            </w:r>
            <w:r>
              <w:rPr>
                <w:rStyle w:val="55"/>
                <w:rFonts w:hint="default" w:ascii="Times New Roman" w:hAnsi="Times New Roman" w:eastAsia="微软雅黑" w:cs="Times New Roman"/>
                <w:kern w:val="0"/>
                <w:sz w:val="15"/>
                <w:szCs w:val="15"/>
              </w:rPr>
              <w:t>3</w:t>
            </w:r>
            <w:r>
              <w:rPr>
                <w:rStyle w:val="56"/>
                <w:rFonts w:hint="default" w:ascii="Times New Roman" w:hAnsi="Times New Roman" w:eastAsia="微软雅黑" w:cs="Times New Roman"/>
                <w:kern w:val="0"/>
                <w:sz w:val="15"/>
                <w:szCs w:val="15"/>
              </w:rPr>
              <w:t>/d）</w:t>
            </w:r>
          </w:p>
        </w:tc>
        <w:tc>
          <w:tcPr>
            <w:tcW w:w="34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E5DA0F">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2215" w:type="dxa"/>
            <w:gridSpan w:val="6"/>
            <w:tcBorders>
              <w:top w:val="single" w:color="000000" w:sz="4" w:space="0"/>
              <w:left w:val="single" w:color="000000" w:sz="4" w:space="0"/>
              <w:bottom w:val="single" w:color="000000" w:sz="4" w:space="0"/>
              <w:right w:val="single" w:color="000000" w:sz="4" w:space="0"/>
            </w:tcBorders>
            <w:shd w:val="clear" w:color="auto" w:fill="FFCC99"/>
            <w:vAlign w:val="center"/>
          </w:tcPr>
          <w:p w14:paraId="55EB5B9F">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新增废气处理设施能力(万m3/a)</w:t>
            </w:r>
          </w:p>
        </w:tc>
        <w:tc>
          <w:tcPr>
            <w:tcW w:w="30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126CB5D">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0854782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年平均工作时(h/a)</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2B91D040">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w:t>
            </w:r>
          </w:p>
        </w:tc>
      </w:tr>
      <w:tr w14:paraId="001ECBE1">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bottom w:val="single" w:color="000000" w:sz="4" w:space="0"/>
              <w:right w:val="single" w:color="000000" w:sz="4" w:space="0"/>
            </w:tcBorders>
            <w:shd w:val="clear" w:color="auto" w:fill="FFCC99"/>
            <w:vAlign w:val="center"/>
          </w:tcPr>
          <w:p w14:paraId="50DBFA1E">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2217242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建设单位</w:t>
            </w:r>
            <w:r>
              <w:rPr>
                <w:rStyle w:val="54"/>
                <w:rFonts w:hint="default" w:ascii="Times New Roman" w:hAnsi="Times New Roman" w:eastAsia="微软雅黑" w:cs="Times New Roman"/>
                <w:kern w:val="0"/>
                <w:sz w:val="15"/>
                <w:szCs w:val="15"/>
              </w:rPr>
              <w:t>*</w:t>
            </w:r>
          </w:p>
        </w:tc>
        <w:tc>
          <w:tcPr>
            <w:tcW w:w="347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D271B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default" w:ascii="Times New Roman" w:hAnsi="Times New Roman" w:eastAsia="微软雅黑" w:cs="Times New Roman"/>
                <w:color w:val="000000"/>
                <w:kern w:val="0"/>
                <w:sz w:val="15"/>
                <w:szCs w:val="15"/>
              </w:rPr>
              <w:t>海南良雪制冷设备有限公司</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60613DE3">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邮政编码</w:t>
            </w:r>
          </w:p>
        </w:tc>
        <w:tc>
          <w:tcPr>
            <w:tcW w:w="93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D902787">
            <w:pPr>
              <w:widowControl/>
              <w:adjustRightInd w:val="0"/>
              <w:snapToGrid w:val="0"/>
              <w:jc w:val="center"/>
              <w:textAlignment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571924</w:t>
            </w:r>
          </w:p>
        </w:tc>
        <w:tc>
          <w:tcPr>
            <w:tcW w:w="1507"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6E49156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联系电话</w:t>
            </w:r>
          </w:p>
        </w:tc>
        <w:tc>
          <w:tcPr>
            <w:tcW w:w="148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C6BC1B">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13647571013</w:t>
            </w:r>
          </w:p>
        </w:tc>
        <w:tc>
          <w:tcPr>
            <w:tcW w:w="1950"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572B0763">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环评单位*</w:t>
            </w:r>
          </w:p>
        </w:tc>
        <w:tc>
          <w:tcPr>
            <w:tcW w:w="2219" w:type="dxa"/>
            <w:gridSpan w:val="3"/>
            <w:tcBorders>
              <w:top w:val="single" w:color="000000" w:sz="4" w:space="0"/>
              <w:left w:val="single" w:color="000000" w:sz="4" w:space="0"/>
              <w:bottom w:val="single" w:color="000000" w:sz="4" w:space="0"/>
              <w:right w:val="single" w:color="000000" w:sz="4" w:space="0"/>
            </w:tcBorders>
            <w:vAlign w:val="center"/>
          </w:tcPr>
          <w:p w14:paraId="28C747EB">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海南芝南</w:t>
            </w:r>
            <w:r>
              <w:rPr>
                <w:rFonts w:ascii="Times New Roman" w:hAnsi="Times New Roman" w:eastAsia="微软雅黑" w:cs="Times New Roman"/>
                <w:color w:val="000000"/>
                <w:kern w:val="0"/>
                <w:sz w:val="15"/>
                <w:szCs w:val="15"/>
              </w:rPr>
              <w:t>环保科技有限公司</w:t>
            </w:r>
          </w:p>
        </w:tc>
      </w:tr>
      <w:tr w14:paraId="494C9EED">
        <w:tblPrEx>
          <w:tblCellMar>
            <w:top w:w="15" w:type="dxa"/>
            <w:left w:w="15" w:type="dxa"/>
            <w:bottom w:w="15" w:type="dxa"/>
            <w:right w:w="15" w:type="dxa"/>
          </w:tblCellMar>
        </w:tblPrEx>
        <w:trPr>
          <w:trHeight w:val="23" w:hRule="atLeast"/>
          <w:jc w:val="center"/>
        </w:trPr>
        <w:tc>
          <w:tcPr>
            <w:tcW w:w="976" w:type="dxa"/>
            <w:vMerge w:val="restart"/>
            <w:tcBorders>
              <w:top w:val="single" w:color="000000" w:sz="4" w:space="0"/>
              <w:left w:val="single" w:color="000000" w:sz="4" w:space="0"/>
              <w:right w:val="single" w:color="000000" w:sz="4" w:space="0"/>
            </w:tcBorders>
            <w:shd w:val="clear" w:color="auto" w:fill="FFCC99"/>
            <w:vAlign w:val="center"/>
          </w:tcPr>
          <w:p w14:paraId="3880317C">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污染物排放达标与总量控制(工业建设项目详填）</w:t>
            </w: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28F7251C">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污染物</w:t>
            </w:r>
          </w:p>
        </w:tc>
        <w:tc>
          <w:tcPr>
            <w:tcW w:w="1088"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2C577AD7">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原有排放量（1）</w:t>
            </w:r>
          </w:p>
        </w:tc>
        <w:tc>
          <w:tcPr>
            <w:tcW w:w="1294"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33105183">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本期工程实际排放浓度（2）</w:t>
            </w:r>
          </w:p>
        </w:tc>
        <w:tc>
          <w:tcPr>
            <w:tcW w:w="1095"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1413EC67">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本期工程允许排放浓度（3）</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5B60EEC7">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本期工程产生量（4）</w:t>
            </w:r>
          </w:p>
        </w:tc>
        <w:tc>
          <w:tcPr>
            <w:tcW w:w="1095"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30B52D73">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本期工程自身削减量（5）</w:t>
            </w:r>
          </w:p>
        </w:tc>
        <w:tc>
          <w:tcPr>
            <w:tcW w:w="915"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14:paraId="319D507F">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本期工程实际排放量（6）</w:t>
            </w:r>
          </w:p>
        </w:tc>
        <w:tc>
          <w:tcPr>
            <w:tcW w:w="972"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14:paraId="7B25E90E">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本期工程核定排放量（7）</w:t>
            </w:r>
          </w:p>
        </w:tc>
        <w:tc>
          <w:tcPr>
            <w:tcW w:w="1264"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786AC4E1">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本期工程"以新带老"削减量（8）</w:t>
            </w:r>
          </w:p>
        </w:tc>
        <w:tc>
          <w:tcPr>
            <w:tcW w:w="1020"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330FE340">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全厂实际排放总量（9）</w:t>
            </w:r>
          </w:p>
        </w:tc>
        <w:tc>
          <w:tcPr>
            <w:tcW w:w="93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038DDD4E">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全厂核定排放总量（10）</w:t>
            </w:r>
          </w:p>
        </w:tc>
        <w:tc>
          <w:tcPr>
            <w:tcW w:w="1419"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746F9EA6">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区域平衡替代削减量（11）</w:t>
            </w:r>
          </w:p>
        </w:tc>
        <w:tc>
          <w:tcPr>
            <w:tcW w:w="800"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792631AC">
            <w:pPr>
              <w:widowControl/>
              <w:adjustRightInd w:val="0"/>
              <w:snapToGrid w:val="0"/>
              <w:jc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排放增减量（12）</w:t>
            </w:r>
          </w:p>
        </w:tc>
      </w:tr>
      <w:tr w14:paraId="36707CDB">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1B79C54A">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29925D88">
            <w:pPr>
              <w:widowControl/>
              <w:adjustRightInd w:val="0"/>
              <w:snapToGrid w:val="0"/>
              <w:jc w:val="center"/>
              <w:textAlignment w:val="center"/>
              <w:rPr>
                <w:rFonts w:ascii="Times New Roman" w:hAnsi="Times New Roman" w:eastAsia="微软雅黑" w:cs="Times New Roman"/>
                <w:b/>
                <w:color w:val="000000"/>
                <w:kern w:val="0"/>
                <w:sz w:val="15"/>
                <w:szCs w:val="15"/>
              </w:rPr>
            </w:pPr>
            <w:r>
              <w:rPr>
                <w:rFonts w:ascii="Times New Roman" w:hAnsi="Times New Roman" w:eastAsia="微软雅黑" w:cs="Times New Roman"/>
                <w:b/>
                <w:color w:val="000000"/>
                <w:kern w:val="0"/>
                <w:sz w:val="15"/>
                <w:szCs w:val="15"/>
              </w:rPr>
              <w:t>废水</w:t>
            </w:r>
          </w:p>
        </w:tc>
        <w:tc>
          <w:tcPr>
            <w:tcW w:w="1088" w:type="dxa"/>
            <w:tcBorders>
              <w:top w:val="single" w:color="000000" w:sz="4" w:space="0"/>
              <w:left w:val="single" w:color="000000" w:sz="4" w:space="0"/>
              <w:bottom w:val="single" w:color="000000" w:sz="4" w:space="0"/>
              <w:right w:val="single" w:color="000000" w:sz="4" w:space="0"/>
            </w:tcBorders>
            <w:vAlign w:val="center"/>
          </w:tcPr>
          <w:p w14:paraId="6F1B0657">
            <w:pPr>
              <w:widowControl/>
              <w:adjustRightInd w:val="0"/>
              <w:snapToGrid w:val="0"/>
              <w:jc w:val="center"/>
              <w:rPr>
                <w:rFonts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vAlign w:val="center"/>
          </w:tcPr>
          <w:p w14:paraId="7ACF32EF">
            <w:pPr>
              <w:widowControl/>
              <w:adjustRightInd w:val="0"/>
              <w:snapToGrid w:val="0"/>
              <w:jc w:val="center"/>
              <w:rPr>
                <w:rFonts w:hint="eastAsia" w:ascii="Times New Roman" w:hAnsi="Times New Roman" w:eastAsia="微软雅黑" w:cs="Times New Roman"/>
                <w:color w:val="000000"/>
                <w:kern w:val="0"/>
                <w:sz w:val="15"/>
                <w:szCs w:val="15"/>
                <w:lang w:val="en-US" w:eastAsia="zh-CN"/>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79E1FA6D">
            <w:pPr>
              <w:widowControl/>
              <w:adjustRightInd w:val="0"/>
              <w:snapToGrid w:val="0"/>
              <w:jc w:val="center"/>
              <w:rPr>
                <w:rFonts w:ascii="Times New Roman" w:hAnsi="Times New Roman" w:eastAsia="微软雅黑" w:cs="Times New Roman"/>
                <w:color w:val="000000"/>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6D510E52">
            <w:pPr>
              <w:widowControl/>
              <w:adjustRightInd w:val="0"/>
              <w:snapToGrid w:val="0"/>
              <w:jc w:val="center"/>
              <w:rPr>
                <w:rFonts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599F6130">
            <w:pPr>
              <w:widowControl/>
              <w:adjustRightInd w:val="0"/>
              <w:snapToGrid w:val="0"/>
              <w:jc w:val="center"/>
              <w:rPr>
                <w:rFonts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526062F3">
            <w:pPr>
              <w:widowControl/>
              <w:adjustRightInd w:val="0"/>
              <w:snapToGrid w:val="0"/>
              <w:jc w:val="center"/>
              <w:rPr>
                <w:rFonts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14:paraId="56C0EF6C">
            <w:pPr>
              <w:widowControl/>
              <w:adjustRightInd w:val="0"/>
              <w:snapToGrid w:val="0"/>
              <w:jc w:val="center"/>
              <w:rPr>
                <w:rFonts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42ADF8B2">
            <w:pPr>
              <w:widowControl/>
              <w:adjustRightInd w:val="0"/>
              <w:snapToGrid w:val="0"/>
              <w:jc w:val="center"/>
              <w:rPr>
                <w:rFonts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272AA52C">
            <w:pPr>
              <w:widowControl/>
              <w:adjustRightInd w:val="0"/>
              <w:snapToGrid w:val="0"/>
              <w:jc w:val="center"/>
              <w:rPr>
                <w:rFonts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2A0F6107">
            <w:pPr>
              <w:widowControl/>
              <w:adjustRightInd w:val="0"/>
              <w:snapToGrid w:val="0"/>
              <w:jc w:val="center"/>
              <w:rPr>
                <w:rFonts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2B0A0D6E">
            <w:pPr>
              <w:widowControl/>
              <w:adjustRightInd w:val="0"/>
              <w:snapToGrid w:val="0"/>
              <w:jc w:val="center"/>
              <w:rPr>
                <w:rFonts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BB1FE2B">
            <w:pPr>
              <w:widowControl/>
              <w:adjustRightInd w:val="0"/>
              <w:snapToGrid w:val="0"/>
              <w:jc w:val="center"/>
              <w:rPr>
                <w:rFonts w:ascii="Times New Roman" w:hAnsi="Times New Roman" w:eastAsia="微软雅黑" w:cs="Times New Roman"/>
                <w:color w:val="000000"/>
                <w:kern w:val="0"/>
                <w:sz w:val="15"/>
                <w:szCs w:val="15"/>
              </w:rPr>
            </w:pPr>
          </w:p>
        </w:tc>
      </w:tr>
      <w:tr w14:paraId="1C44425E">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1472B11B">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0F012098">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化学需氧量</w:t>
            </w:r>
          </w:p>
        </w:tc>
        <w:tc>
          <w:tcPr>
            <w:tcW w:w="1088" w:type="dxa"/>
            <w:tcBorders>
              <w:top w:val="single" w:color="000000" w:sz="4" w:space="0"/>
              <w:left w:val="single" w:color="000000" w:sz="4" w:space="0"/>
              <w:bottom w:val="single" w:color="000000" w:sz="4" w:space="0"/>
              <w:right w:val="single" w:color="000000" w:sz="4" w:space="0"/>
            </w:tcBorders>
            <w:vAlign w:val="center"/>
          </w:tcPr>
          <w:p w14:paraId="394C1B25">
            <w:pPr>
              <w:widowControl/>
              <w:adjustRightInd w:val="0"/>
              <w:snapToGrid w:val="0"/>
              <w:jc w:val="center"/>
              <w:rPr>
                <w:rFonts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vAlign w:val="center"/>
          </w:tcPr>
          <w:p w14:paraId="37BA2F90">
            <w:pPr>
              <w:widowControl/>
              <w:adjustRightInd w:val="0"/>
              <w:snapToGrid w:val="0"/>
              <w:jc w:val="center"/>
              <w:rPr>
                <w:rFonts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7CBF67F9">
            <w:pPr>
              <w:widowControl/>
              <w:adjustRightInd w:val="0"/>
              <w:snapToGrid w:val="0"/>
              <w:jc w:val="center"/>
              <w:rPr>
                <w:rFonts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5604B24B">
            <w:pPr>
              <w:widowControl/>
              <w:adjustRightInd w:val="0"/>
              <w:snapToGrid w:val="0"/>
              <w:jc w:val="center"/>
              <w:rPr>
                <w:rFonts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0D38C463">
            <w:pPr>
              <w:widowControl/>
              <w:adjustRightInd w:val="0"/>
              <w:snapToGrid w:val="0"/>
              <w:jc w:val="center"/>
              <w:rPr>
                <w:rFonts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55D2B4F9">
            <w:pPr>
              <w:widowControl/>
              <w:adjustRightInd w:val="0"/>
              <w:snapToGrid w:val="0"/>
              <w:jc w:val="center"/>
              <w:rPr>
                <w:rFonts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14:paraId="0F759857">
            <w:pPr>
              <w:widowControl/>
              <w:adjustRightInd w:val="0"/>
              <w:snapToGrid w:val="0"/>
              <w:jc w:val="center"/>
              <w:rPr>
                <w:rFonts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2D61F9F4">
            <w:pPr>
              <w:widowControl/>
              <w:adjustRightInd w:val="0"/>
              <w:snapToGrid w:val="0"/>
              <w:jc w:val="center"/>
              <w:rPr>
                <w:rFonts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22BECFE6">
            <w:pPr>
              <w:widowControl/>
              <w:adjustRightInd w:val="0"/>
              <w:snapToGrid w:val="0"/>
              <w:jc w:val="center"/>
              <w:rPr>
                <w:rFonts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0D3A5E42">
            <w:pPr>
              <w:widowControl/>
              <w:adjustRightInd w:val="0"/>
              <w:snapToGrid w:val="0"/>
              <w:jc w:val="center"/>
              <w:rPr>
                <w:rFonts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133ECA31">
            <w:pPr>
              <w:widowControl/>
              <w:adjustRightInd w:val="0"/>
              <w:snapToGrid w:val="0"/>
              <w:jc w:val="center"/>
              <w:rPr>
                <w:rFonts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ADF86D3">
            <w:pPr>
              <w:widowControl/>
              <w:adjustRightInd w:val="0"/>
              <w:snapToGrid w:val="0"/>
              <w:jc w:val="center"/>
              <w:rPr>
                <w:rFonts w:ascii="Times New Roman" w:hAnsi="Times New Roman" w:eastAsia="微软雅黑" w:cs="Times New Roman"/>
                <w:color w:val="000000"/>
                <w:kern w:val="0"/>
                <w:sz w:val="15"/>
                <w:szCs w:val="15"/>
              </w:rPr>
            </w:pPr>
          </w:p>
        </w:tc>
      </w:tr>
      <w:tr w14:paraId="02F6A737">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01B2D16A">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44188B00">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氨氮</w:t>
            </w:r>
          </w:p>
        </w:tc>
        <w:tc>
          <w:tcPr>
            <w:tcW w:w="1088" w:type="dxa"/>
            <w:tcBorders>
              <w:top w:val="single" w:color="000000" w:sz="4" w:space="0"/>
              <w:left w:val="single" w:color="000000" w:sz="4" w:space="0"/>
              <w:bottom w:val="single" w:color="000000" w:sz="4" w:space="0"/>
              <w:right w:val="single" w:color="000000" w:sz="4" w:space="0"/>
            </w:tcBorders>
            <w:vAlign w:val="center"/>
          </w:tcPr>
          <w:p w14:paraId="7C996161">
            <w:pPr>
              <w:widowControl/>
              <w:adjustRightInd w:val="0"/>
              <w:snapToGrid w:val="0"/>
              <w:jc w:val="center"/>
              <w:rPr>
                <w:rFonts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vAlign w:val="center"/>
          </w:tcPr>
          <w:p w14:paraId="2339CA0A">
            <w:pPr>
              <w:widowControl/>
              <w:adjustRightInd w:val="0"/>
              <w:snapToGrid w:val="0"/>
              <w:jc w:val="center"/>
              <w:rPr>
                <w:rFonts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7B08A896">
            <w:pPr>
              <w:widowControl/>
              <w:adjustRightInd w:val="0"/>
              <w:snapToGrid w:val="0"/>
              <w:jc w:val="center"/>
              <w:rPr>
                <w:rFonts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16388339">
            <w:pPr>
              <w:widowControl/>
              <w:adjustRightInd w:val="0"/>
              <w:snapToGrid w:val="0"/>
              <w:jc w:val="center"/>
              <w:rPr>
                <w:rFonts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110ED795">
            <w:pPr>
              <w:widowControl/>
              <w:adjustRightInd w:val="0"/>
              <w:snapToGrid w:val="0"/>
              <w:jc w:val="center"/>
              <w:rPr>
                <w:rFonts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0171399D">
            <w:pPr>
              <w:widowControl/>
              <w:adjustRightInd w:val="0"/>
              <w:snapToGrid w:val="0"/>
              <w:jc w:val="center"/>
              <w:rPr>
                <w:rFonts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14:paraId="6FBBDE46">
            <w:pPr>
              <w:widowControl/>
              <w:adjustRightInd w:val="0"/>
              <w:snapToGrid w:val="0"/>
              <w:jc w:val="center"/>
              <w:rPr>
                <w:rFonts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154B2403">
            <w:pPr>
              <w:widowControl/>
              <w:adjustRightInd w:val="0"/>
              <w:snapToGrid w:val="0"/>
              <w:jc w:val="center"/>
              <w:rPr>
                <w:rFonts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7EB13A6A">
            <w:pPr>
              <w:widowControl/>
              <w:adjustRightInd w:val="0"/>
              <w:snapToGrid w:val="0"/>
              <w:jc w:val="center"/>
              <w:rPr>
                <w:rFonts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701ADE9B">
            <w:pPr>
              <w:widowControl/>
              <w:adjustRightInd w:val="0"/>
              <w:snapToGrid w:val="0"/>
              <w:jc w:val="center"/>
              <w:rPr>
                <w:rFonts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51DAC1F0">
            <w:pPr>
              <w:widowControl/>
              <w:adjustRightInd w:val="0"/>
              <w:snapToGrid w:val="0"/>
              <w:jc w:val="center"/>
              <w:rPr>
                <w:rFonts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04F081A">
            <w:pPr>
              <w:widowControl/>
              <w:adjustRightInd w:val="0"/>
              <w:snapToGrid w:val="0"/>
              <w:jc w:val="center"/>
              <w:rPr>
                <w:rFonts w:ascii="Times New Roman" w:hAnsi="Times New Roman" w:eastAsia="微软雅黑" w:cs="Times New Roman"/>
                <w:color w:val="000000"/>
                <w:kern w:val="0"/>
                <w:sz w:val="15"/>
                <w:szCs w:val="15"/>
              </w:rPr>
            </w:pPr>
          </w:p>
        </w:tc>
      </w:tr>
      <w:tr w14:paraId="7AE6A199">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4B798D52">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112F604E">
            <w:pPr>
              <w:widowControl/>
              <w:adjustRightInd w:val="0"/>
              <w:snapToGrid w:val="0"/>
              <w:jc w:val="center"/>
              <w:textAlignment w:val="center"/>
              <w:rPr>
                <w:rFonts w:ascii="Times New Roman" w:hAnsi="Times New Roman" w:eastAsia="微软雅黑" w:cs="Times New Roman"/>
                <w:b/>
                <w:color w:val="000000"/>
                <w:kern w:val="0"/>
                <w:sz w:val="15"/>
                <w:szCs w:val="15"/>
              </w:rPr>
            </w:pPr>
            <w:r>
              <w:rPr>
                <w:rFonts w:ascii="Times New Roman" w:hAnsi="Times New Roman" w:eastAsia="微软雅黑" w:cs="Times New Roman"/>
                <w:b/>
                <w:color w:val="000000"/>
                <w:kern w:val="0"/>
                <w:sz w:val="15"/>
                <w:szCs w:val="15"/>
              </w:rPr>
              <w:t>废气</w:t>
            </w:r>
          </w:p>
        </w:tc>
        <w:tc>
          <w:tcPr>
            <w:tcW w:w="1088" w:type="dxa"/>
            <w:tcBorders>
              <w:top w:val="single" w:color="000000" w:sz="4" w:space="0"/>
              <w:left w:val="single" w:color="000000" w:sz="4" w:space="0"/>
              <w:bottom w:val="single" w:color="000000" w:sz="4" w:space="0"/>
              <w:right w:val="single" w:color="000000" w:sz="4" w:space="0"/>
            </w:tcBorders>
            <w:vAlign w:val="center"/>
          </w:tcPr>
          <w:p w14:paraId="618E4ED3">
            <w:pPr>
              <w:widowControl/>
              <w:adjustRightInd w:val="0"/>
              <w:snapToGrid w:val="0"/>
              <w:jc w:val="center"/>
              <w:rPr>
                <w:rFonts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vAlign w:val="center"/>
          </w:tcPr>
          <w:p w14:paraId="2B72E13A">
            <w:pPr>
              <w:widowControl/>
              <w:adjustRightInd w:val="0"/>
              <w:snapToGrid w:val="0"/>
              <w:jc w:val="center"/>
              <w:rPr>
                <w:rFonts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7137291C">
            <w:pPr>
              <w:widowControl/>
              <w:adjustRightInd w:val="0"/>
              <w:snapToGrid w:val="0"/>
              <w:jc w:val="center"/>
              <w:rPr>
                <w:rFonts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6C311C78">
            <w:pPr>
              <w:widowControl/>
              <w:adjustRightInd w:val="0"/>
              <w:snapToGrid w:val="0"/>
              <w:jc w:val="center"/>
              <w:rPr>
                <w:rFonts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331E06D4">
            <w:pPr>
              <w:widowControl/>
              <w:adjustRightInd w:val="0"/>
              <w:snapToGrid w:val="0"/>
              <w:jc w:val="center"/>
              <w:rPr>
                <w:rFonts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21F8C7C3">
            <w:pPr>
              <w:widowControl/>
              <w:adjustRightInd w:val="0"/>
              <w:snapToGrid w:val="0"/>
              <w:jc w:val="center"/>
              <w:rPr>
                <w:rFonts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14:paraId="60144806">
            <w:pPr>
              <w:widowControl/>
              <w:adjustRightInd w:val="0"/>
              <w:snapToGrid w:val="0"/>
              <w:jc w:val="center"/>
              <w:rPr>
                <w:rFonts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051BF343">
            <w:pPr>
              <w:widowControl/>
              <w:adjustRightInd w:val="0"/>
              <w:snapToGrid w:val="0"/>
              <w:jc w:val="center"/>
              <w:rPr>
                <w:rFonts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1C500618">
            <w:pPr>
              <w:widowControl/>
              <w:adjustRightInd w:val="0"/>
              <w:snapToGrid w:val="0"/>
              <w:jc w:val="center"/>
              <w:rPr>
                <w:rFonts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45067566">
            <w:pPr>
              <w:widowControl/>
              <w:adjustRightInd w:val="0"/>
              <w:snapToGrid w:val="0"/>
              <w:jc w:val="center"/>
              <w:rPr>
                <w:rFonts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23D2AA1D">
            <w:pPr>
              <w:widowControl/>
              <w:adjustRightInd w:val="0"/>
              <w:snapToGrid w:val="0"/>
              <w:jc w:val="center"/>
              <w:rPr>
                <w:rFonts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3D4EF21">
            <w:pPr>
              <w:widowControl/>
              <w:adjustRightInd w:val="0"/>
              <w:snapToGrid w:val="0"/>
              <w:jc w:val="center"/>
              <w:rPr>
                <w:rFonts w:ascii="Times New Roman" w:hAnsi="Times New Roman" w:eastAsia="微软雅黑" w:cs="Times New Roman"/>
                <w:color w:val="000000"/>
                <w:kern w:val="0"/>
                <w:sz w:val="15"/>
                <w:szCs w:val="15"/>
              </w:rPr>
            </w:pPr>
          </w:p>
        </w:tc>
      </w:tr>
      <w:tr w14:paraId="17F7EAF8">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7CD257E6">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2C83135C">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二氧化硫</w:t>
            </w:r>
          </w:p>
        </w:tc>
        <w:tc>
          <w:tcPr>
            <w:tcW w:w="1088" w:type="dxa"/>
            <w:tcBorders>
              <w:top w:val="single" w:color="000000" w:sz="4" w:space="0"/>
              <w:left w:val="single" w:color="000000" w:sz="4" w:space="0"/>
              <w:bottom w:val="single" w:color="000000" w:sz="4" w:space="0"/>
              <w:right w:val="single" w:color="000000" w:sz="4" w:space="0"/>
            </w:tcBorders>
            <w:vAlign w:val="center"/>
          </w:tcPr>
          <w:p w14:paraId="3B8A6D30">
            <w:pPr>
              <w:widowControl/>
              <w:adjustRightInd w:val="0"/>
              <w:snapToGrid w:val="0"/>
              <w:jc w:val="center"/>
              <w:rPr>
                <w:rFonts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vAlign w:val="center"/>
          </w:tcPr>
          <w:p w14:paraId="488BB031">
            <w:pPr>
              <w:widowControl/>
              <w:adjustRightInd w:val="0"/>
              <w:snapToGrid w:val="0"/>
              <w:jc w:val="center"/>
              <w:rPr>
                <w:rFonts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31F314E7">
            <w:pPr>
              <w:widowControl/>
              <w:adjustRightInd w:val="0"/>
              <w:snapToGrid w:val="0"/>
              <w:jc w:val="center"/>
              <w:rPr>
                <w:rFonts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5575B83C">
            <w:pPr>
              <w:widowControl/>
              <w:adjustRightInd w:val="0"/>
              <w:snapToGrid w:val="0"/>
              <w:jc w:val="center"/>
              <w:rPr>
                <w:rFonts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2029B93B">
            <w:pPr>
              <w:widowControl/>
              <w:adjustRightInd w:val="0"/>
              <w:snapToGrid w:val="0"/>
              <w:jc w:val="center"/>
              <w:rPr>
                <w:rFonts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7BB3C154">
            <w:pPr>
              <w:widowControl/>
              <w:adjustRightInd w:val="0"/>
              <w:snapToGrid w:val="0"/>
              <w:jc w:val="center"/>
              <w:rPr>
                <w:rFonts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14:paraId="3A0CBCDC">
            <w:pPr>
              <w:widowControl/>
              <w:adjustRightInd w:val="0"/>
              <w:snapToGrid w:val="0"/>
              <w:jc w:val="center"/>
              <w:rPr>
                <w:rFonts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15B61BD1">
            <w:pPr>
              <w:widowControl/>
              <w:adjustRightInd w:val="0"/>
              <w:snapToGrid w:val="0"/>
              <w:jc w:val="center"/>
              <w:rPr>
                <w:rFonts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0655D6E1">
            <w:pPr>
              <w:widowControl/>
              <w:adjustRightInd w:val="0"/>
              <w:snapToGrid w:val="0"/>
              <w:jc w:val="center"/>
              <w:rPr>
                <w:rFonts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262120D3">
            <w:pPr>
              <w:widowControl/>
              <w:adjustRightInd w:val="0"/>
              <w:snapToGrid w:val="0"/>
              <w:jc w:val="center"/>
              <w:rPr>
                <w:rFonts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5FF50323">
            <w:pPr>
              <w:widowControl/>
              <w:adjustRightInd w:val="0"/>
              <w:snapToGrid w:val="0"/>
              <w:jc w:val="center"/>
              <w:rPr>
                <w:rFonts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586304D">
            <w:pPr>
              <w:widowControl/>
              <w:adjustRightInd w:val="0"/>
              <w:snapToGrid w:val="0"/>
              <w:jc w:val="center"/>
              <w:rPr>
                <w:rFonts w:ascii="Times New Roman" w:hAnsi="Times New Roman" w:eastAsia="微软雅黑" w:cs="Times New Roman"/>
                <w:color w:val="000000"/>
                <w:kern w:val="0"/>
                <w:sz w:val="15"/>
                <w:szCs w:val="15"/>
              </w:rPr>
            </w:pPr>
          </w:p>
        </w:tc>
      </w:tr>
      <w:tr w14:paraId="068B5BCC">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1CFDDC46">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51F83B67">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烟尘</w:t>
            </w:r>
          </w:p>
        </w:tc>
        <w:tc>
          <w:tcPr>
            <w:tcW w:w="1088" w:type="dxa"/>
            <w:tcBorders>
              <w:top w:val="single" w:color="000000" w:sz="4" w:space="0"/>
              <w:left w:val="single" w:color="000000" w:sz="4" w:space="0"/>
              <w:bottom w:val="single" w:color="000000" w:sz="4" w:space="0"/>
              <w:right w:val="single" w:color="000000" w:sz="4" w:space="0"/>
            </w:tcBorders>
            <w:vAlign w:val="center"/>
          </w:tcPr>
          <w:p w14:paraId="3B0BAD51">
            <w:pPr>
              <w:widowControl/>
              <w:adjustRightInd w:val="0"/>
              <w:snapToGrid w:val="0"/>
              <w:jc w:val="center"/>
              <w:rPr>
                <w:rFonts w:ascii="Times New Roman" w:hAnsi="Times New Roman" w:eastAsia="微软雅黑" w:cs="Times New Roman"/>
                <w:color w:val="000000"/>
                <w:kern w:val="0"/>
                <w:sz w:val="15"/>
                <w:szCs w:val="15"/>
              </w:rPr>
            </w:pPr>
          </w:p>
        </w:tc>
        <w:tc>
          <w:tcPr>
            <w:tcW w:w="1294" w:type="dxa"/>
            <w:tcBorders>
              <w:top w:val="single" w:color="000000" w:sz="4" w:space="0"/>
              <w:left w:val="single" w:color="000000" w:sz="4" w:space="0"/>
              <w:bottom w:val="single" w:color="000000" w:sz="4" w:space="0"/>
              <w:right w:val="single" w:color="000000" w:sz="4" w:space="0"/>
            </w:tcBorders>
            <w:vAlign w:val="center"/>
          </w:tcPr>
          <w:p w14:paraId="4A04E088">
            <w:pPr>
              <w:widowControl/>
              <w:adjustRightInd w:val="0"/>
              <w:snapToGrid w:val="0"/>
              <w:jc w:val="center"/>
              <w:rPr>
                <w:rFonts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38268EA8">
            <w:pPr>
              <w:widowControl/>
              <w:adjustRightInd w:val="0"/>
              <w:snapToGrid w:val="0"/>
              <w:jc w:val="center"/>
              <w:rPr>
                <w:rFonts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3A3BA749">
            <w:pPr>
              <w:widowControl/>
              <w:adjustRightInd w:val="0"/>
              <w:snapToGrid w:val="0"/>
              <w:jc w:val="center"/>
              <w:rPr>
                <w:rFonts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1D8D76B6">
            <w:pPr>
              <w:widowControl/>
              <w:adjustRightInd w:val="0"/>
              <w:snapToGrid w:val="0"/>
              <w:jc w:val="center"/>
              <w:rPr>
                <w:rFonts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570FD9C4">
            <w:pPr>
              <w:widowControl/>
              <w:adjustRightInd w:val="0"/>
              <w:snapToGrid w:val="0"/>
              <w:jc w:val="center"/>
              <w:rPr>
                <w:rFonts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14:paraId="16221025">
            <w:pPr>
              <w:widowControl/>
              <w:adjustRightInd w:val="0"/>
              <w:snapToGrid w:val="0"/>
              <w:jc w:val="center"/>
              <w:rPr>
                <w:rFonts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33D20A0C">
            <w:pPr>
              <w:widowControl/>
              <w:adjustRightInd w:val="0"/>
              <w:snapToGrid w:val="0"/>
              <w:jc w:val="center"/>
              <w:rPr>
                <w:rFonts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1BD84774">
            <w:pPr>
              <w:widowControl/>
              <w:adjustRightInd w:val="0"/>
              <w:snapToGrid w:val="0"/>
              <w:jc w:val="center"/>
              <w:rPr>
                <w:rFonts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5339DF7E">
            <w:pPr>
              <w:widowControl/>
              <w:adjustRightInd w:val="0"/>
              <w:snapToGrid w:val="0"/>
              <w:jc w:val="center"/>
              <w:rPr>
                <w:rFonts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6E3FC102">
            <w:pPr>
              <w:widowControl/>
              <w:adjustRightInd w:val="0"/>
              <w:snapToGrid w:val="0"/>
              <w:jc w:val="center"/>
              <w:rPr>
                <w:rFonts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EDC5A92">
            <w:pPr>
              <w:widowControl/>
              <w:adjustRightInd w:val="0"/>
              <w:snapToGrid w:val="0"/>
              <w:jc w:val="center"/>
              <w:rPr>
                <w:rFonts w:ascii="Times New Roman" w:hAnsi="Times New Roman" w:eastAsia="微软雅黑" w:cs="Times New Roman"/>
                <w:color w:val="000000"/>
                <w:kern w:val="0"/>
                <w:sz w:val="15"/>
                <w:szCs w:val="15"/>
              </w:rPr>
            </w:pPr>
          </w:p>
        </w:tc>
      </w:tr>
      <w:tr w14:paraId="6E6B26DF">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2B4D62E6">
            <w:pPr>
              <w:widowControl/>
              <w:adjustRightInd w:val="0"/>
              <w:snapToGrid w:val="0"/>
              <w:jc w:val="center"/>
              <w:rPr>
                <w:rFonts w:ascii="Times New Roman" w:hAnsi="Times New Roman" w:eastAsia="微软雅黑" w:cs="Times New Roman"/>
                <w:color w:val="000000"/>
                <w:kern w:val="0"/>
                <w:sz w:val="15"/>
                <w:szCs w:val="15"/>
              </w:rPr>
            </w:pPr>
          </w:p>
        </w:tc>
        <w:tc>
          <w:tcPr>
            <w:tcW w:w="2027"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14:paraId="52D7D776">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氮氧化物</w:t>
            </w:r>
          </w:p>
        </w:tc>
        <w:tc>
          <w:tcPr>
            <w:tcW w:w="1088" w:type="dxa"/>
            <w:tcBorders>
              <w:top w:val="single" w:color="000000" w:sz="4" w:space="0"/>
              <w:left w:val="single" w:color="000000" w:sz="4" w:space="0"/>
              <w:bottom w:val="single" w:color="000000" w:sz="4" w:space="0"/>
              <w:right w:val="single" w:color="000000" w:sz="4" w:space="0"/>
            </w:tcBorders>
            <w:vAlign w:val="center"/>
          </w:tcPr>
          <w:p w14:paraId="3D71B5C4">
            <w:pPr>
              <w:widowControl/>
              <w:adjustRightInd w:val="0"/>
              <w:snapToGrid w:val="0"/>
              <w:jc w:val="center"/>
              <w:rPr>
                <w:rFonts w:ascii="Times New Roman" w:hAnsi="Times New Roman" w:eastAsia="微软雅黑" w:cs="Times New Roman"/>
                <w:color w:val="000000"/>
                <w:kern w:val="0"/>
                <w:sz w:val="15"/>
                <w:szCs w:val="15"/>
              </w:rPr>
            </w:pPr>
          </w:p>
        </w:tc>
        <w:tc>
          <w:tcPr>
            <w:tcW w:w="1294" w:type="dxa"/>
            <w:tcBorders>
              <w:left w:val="single" w:color="000000" w:sz="4" w:space="0"/>
              <w:right w:val="single" w:color="000000" w:sz="4" w:space="0"/>
            </w:tcBorders>
            <w:vAlign w:val="center"/>
          </w:tcPr>
          <w:p w14:paraId="4E56E942">
            <w:pPr>
              <w:widowControl/>
              <w:adjustRightInd w:val="0"/>
              <w:snapToGrid w:val="0"/>
              <w:jc w:val="center"/>
              <w:rPr>
                <w:rFonts w:ascii="Times New Roman" w:hAnsi="Times New Roman" w:eastAsia="微软雅黑" w:cs="Times New Roman"/>
                <w:kern w:val="0"/>
                <w:sz w:val="15"/>
                <w:szCs w:val="15"/>
              </w:rPr>
            </w:pPr>
          </w:p>
        </w:tc>
        <w:tc>
          <w:tcPr>
            <w:tcW w:w="1095" w:type="dxa"/>
            <w:tcBorders>
              <w:top w:val="single" w:color="000000" w:sz="4" w:space="0"/>
              <w:left w:val="single" w:color="000000" w:sz="4" w:space="0"/>
              <w:bottom w:val="single" w:color="000000" w:sz="4" w:space="0"/>
              <w:right w:val="single" w:color="000000" w:sz="4" w:space="0"/>
            </w:tcBorders>
            <w:vAlign w:val="center"/>
          </w:tcPr>
          <w:p w14:paraId="773F66A2">
            <w:pPr>
              <w:widowControl/>
              <w:adjustRightInd w:val="0"/>
              <w:snapToGrid w:val="0"/>
              <w:jc w:val="center"/>
              <w:rPr>
                <w:rFonts w:ascii="Times New Roman" w:hAnsi="Times New Roman" w:eastAsia="微软雅黑" w:cs="Times New Roman"/>
                <w:kern w:val="0"/>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56515700">
            <w:pPr>
              <w:widowControl/>
              <w:adjustRightInd w:val="0"/>
              <w:snapToGrid w:val="0"/>
              <w:jc w:val="center"/>
              <w:rPr>
                <w:rFonts w:ascii="Times New Roman" w:hAnsi="Times New Roman" w:eastAsia="微软雅黑" w:cs="Times New Roman"/>
                <w:color w:val="000000"/>
                <w:kern w:val="0"/>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09838879">
            <w:pPr>
              <w:widowControl/>
              <w:adjustRightInd w:val="0"/>
              <w:snapToGrid w:val="0"/>
              <w:jc w:val="center"/>
              <w:rPr>
                <w:rFonts w:ascii="Times New Roman" w:hAnsi="Times New Roman" w:eastAsia="微软雅黑" w:cs="Times New Roman"/>
                <w:color w:val="000000"/>
                <w:kern w:val="0"/>
                <w:sz w:val="15"/>
                <w:szCs w:val="15"/>
              </w:rPr>
            </w:pP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16174BE6">
            <w:pPr>
              <w:widowControl/>
              <w:adjustRightInd w:val="0"/>
              <w:snapToGrid w:val="0"/>
              <w:jc w:val="center"/>
              <w:rPr>
                <w:rFonts w:ascii="Times New Roman" w:hAnsi="Times New Roman" w:eastAsia="微软雅黑" w:cs="Times New Roman"/>
                <w:color w:val="000000"/>
                <w:kern w:val="0"/>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14:paraId="16C7640A">
            <w:pPr>
              <w:widowControl/>
              <w:adjustRightInd w:val="0"/>
              <w:snapToGrid w:val="0"/>
              <w:jc w:val="center"/>
              <w:rPr>
                <w:rFonts w:ascii="Times New Roman" w:hAnsi="Times New Roman" w:eastAsia="微软雅黑" w:cs="Times New Roman"/>
                <w:color w:val="000000"/>
                <w:kern w:val="0"/>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14:paraId="7A5590EC">
            <w:pPr>
              <w:widowControl/>
              <w:adjustRightInd w:val="0"/>
              <w:snapToGrid w:val="0"/>
              <w:jc w:val="center"/>
              <w:rPr>
                <w:rFonts w:ascii="Times New Roman" w:hAnsi="Times New Roman" w:eastAsia="微软雅黑" w:cs="Times New Roman"/>
                <w:color w:val="000000"/>
                <w:kern w:val="0"/>
                <w:sz w:val="15"/>
                <w:szCs w:val="15"/>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3FA59DE7">
            <w:pPr>
              <w:widowControl/>
              <w:adjustRightInd w:val="0"/>
              <w:snapToGrid w:val="0"/>
              <w:jc w:val="center"/>
              <w:rPr>
                <w:rFonts w:ascii="Times New Roman" w:hAnsi="Times New Roman" w:eastAsia="微软雅黑" w:cs="Times New Roman"/>
                <w:color w:val="000000"/>
                <w:kern w:val="0"/>
                <w:sz w:val="15"/>
                <w:szCs w:val="15"/>
              </w:rPr>
            </w:pP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4FA77D9C">
            <w:pPr>
              <w:widowControl/>
              <w:adjustRightInd w:val="0"/>
              <w:snapToGrid w:val="0"/>
              <w:jc w:val="center"/>
              <w:rPr>
                <w:rFonts w:ascii="Times New Roman" w:hAnsi="Times New Roman" w:eastAsia="微软雅黑" w:cs="Times New Roman"/>
                <w:color w:val="000000"/>
                <w:kern w:val="0"/>
                <w:sz w:val="15"/>
                <w:szCs w:val="15"/>
              </w:rPr>
            </w:pP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678AA994">
            <w:pPr>
              <w:widowControl/>
              <w:adjustRightInd w:val="0"/>
              <w:snapToGrid w:val="0"/>
              <w:jc w:val="center"/>
              <w:rPr>
                <w:rFonts w:ascii="Times New Roman" w:hAnsi="Times New Roman" w:eastAsia="微软雅黑" w:cs="Times New Roman"/>
                <w:color w:val="000000"/>
                <w:kern w:val="0"/>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D987FC9">
            <w:pPr>
              <w:widowControl/>
              <w:adjustRightInd w:val="0"/>
              <w:snapToGrid w:val="0"/>
              <w:jc w:val="center"/>
              <w:rPr>
                <w:rFonts w:ascii="Times New Roman" w:hAnsi="Times New Roman" w:eastAsia="微软雅黑" w:cs="Times New Roman"/>
                <w:color w:val="000000"/>
                <w:kern w:val="0"/>
                <w:sz w:val="15"/>
                <w:szCs w:val="15"/>
              </w:rPr>
            </w:pPr>
          </w:p>
        </w:tc>
      </w:tr>
      <w:tr w14:paraId="4F9B0497">
        <w:tblPrEx>
          <w:tblCellMar>
            <w:top w:w="15" w:type="dxa"/>
            <w:left w:w="15" w:type="dxa"/>
            <w:bottom w:w="15" w:type="dxa"/>
            <w:right w:w="15" w:type="dxa"/>
          </w:tblCellMar>
        </w:tblPrEx>
        <w:trPr>
          <w:trHeight w:val="23" w:hRule="atLeast"/>
          <w:jc w:val="center"/>
        </w:trPr>
        <w:tc>
          <w:tcPr>
            <w:tcW w:w="976" w:type="dxa"/>
            <w:vMerge w:val="continue"/>
            <w:tcBorders>
              <w:left w:val="single" w:color="000000" w:sz="4" w:space="0"/>
              <w:right w:val="single" w:color="000000" w:sz="4" w:space="0"/>
            </w:tcBorders>
            <w:shd w:val="clear" w:color="auto" w:fill="FFCC99"/>
            <w:vAlign w:val="center"/>
          </w:tcPr>
          <w:p w14:paraId="106908BE">
            <w:pPr>
              <w:widowControl/>
              <w:adjustRightInd w:val="0"/>
              <w:snapToGrid w:val="0"/>
              <w:jc w:val="center"/>
              <w:rPr>
                <w:rFonts w:ascii="Times New Roman" w:hAnsi="Times New Roman" w:eastAsia="微软雅黑" w:cs="Times New Roman"/>
                <w:color w:val="000000"/>
                <w:kern w:val="0"/>
                <w:sz w:val="15"/>
                <w:szCs w:val="15"/>
              </w:rPr>
            </w:pPr>
          </w:p>
        </w:tc>
        <w:tc>
          <w:tcPr>
            <w:tcW w:w="1168" w:type="dxa"/>
            <w:tcBorders>
              <w:top w:val="single" w:color="000000" w:sz="4" w:space="0"/>
              <w:left w:val="single" w:color="000000" w:sz="4" w:space="0"/>
              <w:bottom w:val="single" w:color="000000" w:sz="4" w:space="0"/>
              <w:right w:val="single" w:color="000000" w:sz="4" w:space="0"/>
            </w:tcBorders>
            <w:shd w:val="clear" w:color="auto" w:fill="FFCC99"/>
            <w:vAlign w:val="center"/>
          </w:tcPr>
          <w:p w14:paraId="28811985">
            <w:pPr>
              <w:widowControl/>
              <w:adjustRightInd w:val="0"/>
              <w:snapToGrid w:val="0"/>
              <w:jc w:val="center"/>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与项目有关的其它特征污染物</w:t>
            </w:r>
          </w:p>
        </w:tc>
        <w:tc>
          <w:tcPr>
            <w:tcW w:w="85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CDB81">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非甲烷总烃</w:t>
            </w:r>
          </w:p>
        </w:tc>
        <w:tc>
          <w:tcPr>
            <w:tcW w:w="1088" w:type="dxa"/>
            <w:tcBorders>
              <w:top w:val="single" w:color="000000" w:sz="4" w:space="0"/>
              <w:left w:val="single" w:color="000000" w:sz="4" w:space="0"/>
              <w:bottom w:val="single" w:color="000000" w:sz="4" w:space="0"/>
              <w:right w:val="single" w:color="000000" w:sz="4" w:space="0"/>
            </w:tcBorders>
            <w:vAlign w:val="center"/>
          </w:tcPr>
          <w:p w14:paraId="173DDC0D">
            <w:pPr>
              <w:widowControl/>
              <w:adjustRightInd w:val="0"/>
              <w:snapToGrid w:val="0"/>
              <w:jc w:val="center"/>
              <w:rPr>
                <w:rFonts w:hint="eastAsia"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w:t>
            </w:r>
          </w:p>
        </w:tc>
        <w:tc>
          <w:tcPr>
            <w:tcW w:w="1294" w:type="dxa"/>
            <w:tcBorders>
              <w:top w:val="single" w:color="000000" w:sz="4" w:space="0"/>
              <w:left w:val="single" w:color="000000" w:sz="4" w:space="0"/>
              <w:bottom w:val="single" w:color="000000" w:sz="4" w:space="0"/>
              <w:right w:val="single" w:color="000000" w:sz="4" w:space="0"/>
            </w:tcBorders>
            <w:vAlign w:val="center"/>
          </w:tcPr>
          <w:p w14:paraId="3B2F9FB0">
            <w:pPr>
              <w:widowControl/>
              <w:adjustRightInd w:val="0"/>
              <w:snapToGrid w:val="0"/>
              <w:jc w:val="center"/>
              <w:rPr>
                <w:rFonts w:hint="eastAsia" w:ascii="Times New Roman" w:hAnsi="Times New Roman" w:eastAsia="微软雅黑" w:cs="Times New Roman"/>
                <w:color w:val="000000" w:themeColor="text1"/>
                <w:kern w:val="0"/>
                <w:sz w:val="15"/>
                <w:szCs w:val="15"/>
                <w:lang w:val="en-US" w:eastAsia="zh-CN"/>
                <w14:textFill>
                  <w14:solidFill>
                    <w14:schemeClr w14:val="tx1"/>
                  </w14:solidFill>
                </w14:textFill>
              </w:rPr>
            </w:pPr>
            <w:r>
              <w:rPr>
                <w:rFonts w:hint="eastAsia" w:ascii="Times New Roman" w:hAnsi="Times New Roman" w:eastAsia="微软雅黑" w:cs="Times New Roman"/>
                <w:color w:val="000000" w:themeColor="text1"/>
                <w:kern w:val="0"/>
                <w:sz w:val="15"/>
                <w:szCs w:val="15"/>
                <w:lang w:val="en-US" w:eastAsia="zh-CN"/>
                <w14:textFill>
                  <w14:solidFill>
                    <w14:schemeClr w14:val="tx1"/>
                  </w14:solidFill>
                </w14:textFill>
              </w:rPr>
              <w:t>12.1mg/m</w:t>
            </w:r>
            <w:r>
              <w:rPr>
                <w:rFonts w:hint="eastAsia" w:ascii="Times New Roman" w:hAnsi="Times New Roman" w:eastAsia="微软雅黑" w:cs="Times New Roman"/>
                <w:color w:val="000000" w:themeColor="text1"/>
                <w:kern w:val="0"/>
                <w:sz w:val="15"/>
                <w:szCs w:val="15"/>
                <w:vertAlign w:val="superscript"/>
                <w:lang w:val="en-US" w:eastAsia="zh-CN"/>
                <w14:textFill>
                  <w14:solidFill>
                    <w14:schemeClr w14:val="tx1"/>
                  </w14:solidFill>
                </w14:textFill>
              </w:rPr>
              <w:t>3</w:t>
            </w:r>
          </w:p>
        </w:tc>
        <w:tc>
          <w:tcPr>
            <w:tcW w:w="1095" w:type="dxa"/>
            <w:tcBorders>
              <w:top w:val="single" w:color="000000" w:sz="4" w:space="0"/>
              <w:left w:val="single" w:color="000000" w:sz="4" w:space="0"/>
              <w:bottom w:val="single" w:color="000000" w:sz="4" w:space="0"/>
              <w:right w:val="single" w:color="000000" w:sz="4" w:space="0"/>
            </w:tcBorders>
            <w:vAlign w:val="center"/>
          </w:tcPr>
          <w:p w14:paraId="2D0DE8EC">
            <w:pPr>
              <w:widowControl/>
              <w:adjustRightInd w:val="0"/>
              <w:snapToGrid w:val="0"/>
              <w:jc w:val="center"/>
              <w:rPr>
                <w:rFonts w:hint="default" w:ascii="Times New Roman" w:hAnsi="Times New Roman" w:eastAsia="微软雅黑" w:cs="Times New Roman"/>
                <w:color w:val="000000" w:themeColor="text1"/>
                <w:kern w:val="0"/>
                <w:sz w:val="15"/>
                <w:szCs w:val="15"/>
                <w:lang w:val="en-US" w:eastAsia="zh-CN"/>
                <w14:textFill>
                  <w14:solidFill>
                    <w14:schemeClr w14:val="tx1"/>
                  </w14:solidFill>
                </w14:textFill>
              </w:rPr>
            </w:pPr>
            <w:r>
              <w:rPr>
                <w:rFonts w:hint="eastAsia" w:ascii="Times New Roman" w:hAnsi="Times New Roman" w:eastAsia="微软雅黑" w:cs="Times New Roman"/>
                <w:color w:val="000000" w:themeColor="text1"/>
                <w:kern w:val="0"/>
                <w:sz w:val="15"/>
                <w:szCs w:val="15"/>
                <w:lang w:val="en-US" w:eastAsia="zh-CN"/>
                <w14:textFill>
                  <w14:solidFill>
                    <w14:schemeClr w14:val="tx1"/>
                  </w14:solidFill>
                </w14:textFill>
              </w:rPr>
              <w:t>100mg/m</w:t>
            </w:r>
            <w:r>
              <w:rPr>
                <w:rFonts w:hint="eastAsia" w:ascii="Times New Roman" w:hAnsi="Times New Roman" w:eastAsia="微软雅黑" w:cs="Times New Roman"/>
                <w:color w:val="000000" w:themeColor="text1"/>
                <w:kern w:val="0"/>
                <w:sz w:val="15"/>
                <w:szCs w:val="15"/>
                <w:vertAlign w:val="superscript"/>
                <w:lang w:val="en-US" w:eastAsia="zh-CN"/>
                <w14:textFill>
                  <w14:solidFill>
                    <w14:schemeClr w14:val="tx1"/>
                  </w14:solidFill>
                </w14:textFill>
              </w:rPr>
              <w:t>3</w:t>
            </w: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14:paraId="09AD723D">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0.25t/a</w:t>
            </w: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14:paraId="5E045318">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0.157t/a</w:t>
            </w:r>
          </w:p>
        </w:tc>
        <w:tc>
          <w:tcPr>
            <w:tcW w:w="915" w:type="dxa"/>
            <w:gridSpan w:val="4"/>
            <w:tcBorders>
              <w:top w:val="single" w:color="000000" w:sz="4" w:space="0"/>
              <w:left w:val="single" w:color="000000" w:sz="4" w:space="0"/>
              <w:bottom w:val="single" w:color="000000" w:sz="4" w:space="0"/>
              <w:right w:val="single" w:color="000000" w:sz="4" w:space="0"/>
            </w:tcBorders>
            <w:vAlign w:val="center"/>
          </w:tcPr>
          <w:p w14:paraId="66F49DC0">
            <w:pPr>
              <w:widowControl/>
              <w:adjustRightInd w:val="0"/>
              <w:snapToGrid w:val="0"/>
              <w:jc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0.093t/a</w:t>
            </w: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14:paraId="5154CD61">
            <w:pPr>
              <w:widowControl/>
              <w:adjustRightInd w:val="0"/>
              <w:snapToGrid w:val="0"/>
              <w:jc w:val="center"/>
              <w:rPr>
                <w:rFonts w:hint="default"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0.117t/a</w:t>
            </w:r>
          </w:p>
        </w:tc>
        <w:tc>
          <w:tcPr>
            <w:tcW w:w="1264" w:type="dxa"/>
            <w:tcBorders>
              <w:top w:val="single" w:color="000000" w:sz="4" w:space="0"/>
              <w:left w:val="single" w:color="000000" w:sz="4" w:space="0"/>
              <w:bottom w:val="single" w:color="000000" w:sz="4" w:space="0"/>
              <w:right w:val="single" w:color="000000" w:sz="4" w:space="0"/>
            </w:tcBorders>
            <w:vAlign w:val="center"/>
          </w:tcPr>
          <w:p w14:paraId="3D57DB07">
            <w:pPr>
              <w:widowControl/>
              <w:adjustRightInd w:val="0"/>
              <w:snapToGrid w:val="0"/>
              <w:jc w:val="center"/>
              <w:rPr>
                <w:rFonts w:hint="eastAsia"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w:t>
            </w:r>
          </w:p>
        </w:tc>
        <w:tc>
          <w:tcPr>
            <w:tcW w:w="1020" w:type="dxa"/>
            <w:tcBorders>
              <w:top w:val="single" w:color="000000" w:sz="4" w:space="0"/>
              <w:left w:val="single" w:color="000000" w:sz="4" w:space="0"/>
              <w:bottom w:val="single" w:color="000000" w:sz="4" w:space="0"/>
              <w:right w:val="single" w:color="000000" w:sz="4" w:space="0"/>
            </w:tcBorders>
            <w:vAlign w:val="center"/>
          </w:tcPr>
          <w:p w14:paraId="6E7A7EBF">
            <w:pPr>
              <w:widowControl/>
              <w:adjustRightInd w:val="0"/>
              <w:snapToGrid w:val="0"/>
              <w:jc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0.093t/a</w:t>
            </w:r>
          </w:p>
        </w:tc>
        <w:tc>
          <w:tcPr>
            <w:tcW w:w="930" w:type="dxa"/>
            <w:gridSpan w:val="2"/>
            <w:tcBorders>
              <w:top w:val="single" w:color="000000" w:sz="4" w:space="0"/>
              <w:left w:val="single" w:color="000000" w:sz="4" w:space="0"/>
              <w:bottom w:val="single" w:color="000000" w:sz="4" w:space="0"/>
              <w:right w:val="single" w:color="000000" w:sz="4" w:space="0"/>
            </w:tcBorders>
            <w:vAlign w:val="center"/>
          </w:tcPr>
          <w:p w14:paraId="6C5D521B">
            <w:pPr>
              <w:widowControl/>
              <w:adjustRightInd w:val="0"/>
              <w:snapToGrid w:val="0"/>
              <w:jc w:val="center"/>
              <w:rPr>
                <w:rFonts w:ascii="Times New Roman" w:hAnsi="Times New Roman" w:eastAsia="微软雅黑" w:cs="Times New Roman"/>
                <w:color w:val="000000"/>
                <w:kern w:val="0"/>
                <w:sz w:val="15"/>
                <w:szCs w:val="15"/>
              </w:rPr>
            </w:pPr>
            <w:r>
              <w:rPr>
                <w:rFonts w:hint="eastAsia" w:ascii="Times New Roman" w:hAnsi="Times New Roman" w:eastAsia="微软雅黑" w:cs="Times New Roman"/>
                <w:color w:val="000000"/>
                <w:kern w:val="0"/>
                <w:sz w:val="15"/>
                <w:szCs w:val="15"/>
                <w:lang w:val="en-US" w:eastAsia="zh-CN"/>
              </w:rPr>
              <w:t>0.117t/a</w:t>
            </w:r>
          </w:p>
        </w:tc>
        <w:tc>
          <w:tcPr>
            <w:tcW w:w="1419" w:type="dxa"/>
            <w:gridSpan w:val="2"/>
            <w:tcBorders>
              <w:top w:val="single" w:color="000000" w:sz="4" w:space="0"/>
              <w:left w:val="single" w:color="000000" w:sz="4" w:space="0"/>
              <w:bottom w:val="single" w:color="000000" w:sz="4" w:space="0"/>
              <w:right w:val="single" w:color="000000" w:sz="4" w:space="0"/>
            </w:tcBorders>
            <w:vAlign w:val="center"/>
          </w:tcPr>
          <w:p w14:paraId="5323C53A">
            <w:pPr>
              <w:widowControl/>
              <w:adjustRightInd w:val="0"/>
              <w:snapToGrid w:val="0"/>
              <w:jc w:val="center"/>
              <w:rPr>
                <w:rFonts w:hint="eastAsia"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w:t>
            </w:r>
          </w:p>
        </w:tc>
        <w:tc>
          <w:tcPr>
            <w:tcW w:w="800" w:type="dxa"/>
            <w:tcBorders>
              <w:top w:val="single" w:color="000000" w:sz="4" w:space="0"/>
              <w:left w:val="single" w:color="000000" w:sz="4" w:space="0"/>
              <w:bottom w:val="single" w:color="000000" w:sz="4" w:space="0"/>
              <w:right w:val="single" w:color="000000" w:sz="4" w:space="0"/>
            </w:tcBorders>
            <w:vAlign w:val="center"/>
          </w:tcPr>
          <w:p w14:paraId="1E521FCF">
            <w:pPr>
              <w:widowControl/>
              <w:adjustRightInd w:val="0"/>
              <w:snapToGrid w:val="0"/>
              <w:jc w:val="center"/>
              <w:rPr>
                <w:rFonts w:hint="eastAsia" w:ascii="Times New Roman" w:hAnsi="Times New Roman" w:eastAsia="微软雅黑" w:cs="Times New Roman"/>
                <w:color w:val="000000"/>
                <w:kern w:val="0"/>
                <w:sz w:val="15"/>
                <w:szCs w:val="15"/>
                <w:lang w:val="en-US" w:eastAsia="zh-CN"/>
              </w:rPr>
            </w:pPr>
            <w:r>
              <w:rPr>
                <w:rFonts w:hint="eastAsia" w:ascii="Times New Roman" w:hAnsi="Times New Roman" w:eastAsia="微软雅黑" w:cs="Times New Roman"/>
                <w:color w:val="000000"/>
                <w:kern w:val="0"/>
                <w:sz w:val="15"/>
                <w:szCs w:val="15"/>
                <w:lang w:val="en-US" w:eastAsia="zh-CN"/>
              </w:rPr>
              <w:t>/</w:t>
            </w:r>
          </w:p>
        </w:tc>
      </w:tr>
      <w:tr w14:paraId="6A32FAA0">
        <w:tblPrEx>
          <w:tblCellMar>
            <w:top w:w="15" w:type="dxa"/>
            <w:left w:w="15" w:type="dxa"/>
            <w:bottom w:w="15" w:type="dxa"/>
            <w:right w:w="15" w:type="dxa"/>
          </w:tblCellMar>
        </w:tblPrEx>
        <w:trPr>
          <w:trHeight w:val="23" w:hRule="atLeast"/>
          <w:jc w:val="center"/>
        </w:trPr>
        <w:tc>
          <w:tcPr>
            <w:tcW w:w="15885" w:type="dxa"/>
            <w:gridSpan w:val="24"/>
            <w:tcBorders>
              <w:top w:val="single" w:color="000000" w:sz="4" w:space="0"/>
            </w:tcBorders>
            <w:vAlign w:val="center"/>
          </w:tcPr>
          <w:p w14:paraId="0E7CF0EA">
            <w:pPr>
              <w:widowControl/>
              <w:adjustRightInd w:val="0"/>
              <w:snapToGrid w:val="0"/>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注：   1. 排放增减量：（+）表示增加，（-）表示减少</w:t>
            </w:r>
          </w:p>
        </w:tc>
      </w:tr>
      <w:tr w14:paraId="7D67F944">
        <w:tblPrEx>
          <w:tblCellMar>
            <w:top w:w="15" w:type="dxa"/>
            <w:left w:w="15" w:type="dxa"/>
            <w:bottom w:w="15" w:type="dxa"/>
            <w:right w:w="15" w:type="dxa"/>
          </w:tblCellMar>
        </w:tblPrEx>
        <w:trPr>
          <w:trHeight w:val="23" w:hRule="atLeast"/>
          <w:jc w:val="center"/>
        </w:trPr>
        <w:tc>
          <w:tcPr>
            <w:tcW w:w="15885" w:type="dxa"/>
            <w:gridSpan w:val="24"/>
            <w:vAlign w:val="center"/>
          </w:tcPr>
          <w:p w14:paraId="40C5C01D">
            <w:pPr>
              <w:widowControl/>
              <w:adjustRightInd w:val="0"/>
              <w:snapToGrid w:val="0"/>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 xml:space="preserve">2. </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12</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6</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8</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11</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9</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4</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5</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8</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11</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w:t>
            </w:r>
            <w:r>
              <w:rPr>
                <w:rStyle w:val="58"/>
                <w:rFonts w:ascii="Times New Roman" w:hAnsi="Times New Roman" w:eastAsia="微软雅黑" w:cs="Times New Roman"/>
                <w:kern w:val="0"/>
                <w:sz w:val="15"/>
                <w:szCs w:val="15"/>
              </w:rPr>
              <w:t>1</w:t>
            </w:r>
            <w:r>
              <w:rPr>
                <w:rStyle w:val="57"/>
                <w:rFonts w:hint="default" w:ascii="Times New Roman" w:hAnsi="Times New Roman" w:eastAsia="微软雅黑" w:cs="Times New Roman"/>
                <w:kern w:val="0"/>
                <w:sz w:val="15"/>
                <w:szCs w:val="15"/>
              </w:rPr>
              <w:t>）</w:t>
            </w:r>
          </w:p>
        </w:tc>
      </w:tr>
      <w:tr w14:paraId="6150C857">
        <w:tblPrEx>
          <w:tblCellMar>
            <w:top w:w="15" w:type="dxa"/>
            <w:left w:w="15" w:type="dxa"/>
            <w:bottom w:w="15" w:type="dxa"/>
            <w:right w:w="15" w:type="dxa"/>
          </w:tblCellMar>
        </w:tblPrEx>
        <w:trPr>
          <w:trHeight w:val="23" w:hRule="atLeast"/>
          <w:jc w:val="center"/>
        </w:trPr>
        <w:tc>
          <w:tcPr>
            <w:tcW w:w="15885" w:type="dxa"/>
            <w:gridSpan w:val="24"/>
            <w:vAlign w:val="center"/>
          </w:tcPr>
          <w:p w14:paraId="18D292A7">
            <w:pPr>
              <w:widowControl/>
              <w:adjustRightInd w:val="0"/>
              <w:snapToGrid w:val="0"/>
              <w:ind w:firstLine="16" w:firstLineChars="11"/>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 xml:space="preserve">3.  </w:t>
            </w:r>
            <w:r>
              <w:rPr>
                <w:rStyle w:val="57"/>
                <w:rFonts w:hint="default" w:ascii="Times New Roman" w:hAnsi="Times New Roman" w:eastAsia="微软雅黑" w:cs="Times New Roman"/>
                <w:kern w:val="0"/>
                <w:sz w:val="15"/>
                <w:szCs w:val="15"/>
              </w:rPr>
              <w:t>计量单位：废水排放量</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万吨</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年；废气排放量</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万标立方米</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年；工业固体废物排放量</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万吨</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年；水污染物排放浓度</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毫克</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升；大气污染物排放浓度</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毫克</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立方米；水污染物排放量</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吨</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年；大气污染物排放量</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吨</w:t>
            </w:r>
            <w:r>
              <w:rPr>
                <w:rStyle w:val="58"/>
                <w:rFonts w:ascii="Times New Roman" w:hAnsi="Times New Roman" w:eastAsia="微软雅黑" w:cs="Times New Roman"/>
                <w:kern w:val="0"/>
                <w:sz w:val="15"/>
                <w:szCs w:val="15"/>
              </w:rPr>
              <w:t>/</w:t>
            </w:r>
            <w:r>
              <w:rPr>
                <w:rStyle w:val="57"/>
                <w:rFonts w:hint="default" w:ascii="Times New Roman" w:hAnsi="Times New Roman" w:eastAsia="微软雅黑" w:cs="Times New Roman"/>
                <w:kern w:val="0"/>
                <w:sz w:val="15"/>
                <w:szCs w:val="15"/>
              </w:rPr>
              <w:t>年</w:t>
            </w:r>
          </w:p>
        </w:tc>
      </w:tr>
    </w:tbl>
    <w:p w14:paraId="6EF50B78">
      <w:pPr>
        <w:sectPr>
          <w:footerReference r:id="rId7" w:type="default"/>
          <w:pgSz w:w="16838" w:h="11906" w:orient="landscape"/>
          <w:pgMar w:top="850" w:right="1440" w:bottom="850" w:left="1440" w:header="567" w:footer="992" w:gutter="0"/>
          <w:cols w:space="0" w:num="1"/>
          <w:docGrid w:type="lines" w:linePitch="319" w:charSpace="0"/>
        </w:sectPr>
      </w:pPr>
    </w:p>
    <w:p w14:paraId="51BAC1F6">
      <w:bookmarkStart w:id="33" w:name="_GoBack"/>
      <w:bookmarkEnd w:id="33"/>
      <w:r>
        <mc:AlternateContent>
          <mc:Choice Requires="wps">
            <w:drawing>
              <wp:anchor distT="0" distB="0" distL="114300" distR="114300" simplePos="0" relativeHeight="251665408" behindDoc="0" locked="0" layoutInCell="1" allowOverlap="1">
                <wp:simplePos x="0" y="0"/>
                <wp:positionH relativeFrom="column">
                  <wp:posOffset>3592195</wp:posOffset>
                </wp:positionH>
                <wp:positionV relativeFrom="paragraph">
                  <wp:posOffset>64967485</wp:posOffset>
                </wp:positionV>
                <wp:extent cx="575310" cy="541655"/>
                <wp:effectExtent l="3175" t="3175" r="12065" b="7620"/>
                <wp:wrapNone/>
                <wp:docPr id="475" name="直接连接符 160"/>
                <wp:cNvGraphicFramePr/>
                <a:graphic xmlns:a="http://schemas.openxmlformats.org/drawingml/2006/main">
                  <a:graphicData uri="http://schemas.microsoft.com/office/word/2010/wordprocessingShape">
                    <wps:wsp>
                      <wps:cNvCnPr/>
                      <wps:spPr>
                        <a:xfrm>
                          <a:off x="4506595" y="66112390"/>
                          <a:ext cx="575310" cy="54165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282.85pt;margin-top:5115.55pt;height:42.65pt;width:45.3pt;z-index:251665408;mso-width-relative:page;mso-height-relative:page;" filled="f" stroked="t" coordsize="21600,21600" o:gfxdata="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0WIfPN4AAAAPAQAADwAAAAAAAAABACAA&#10;AAAiAAAAZHJzL2Rvd25yZXYueG1sUEsBAhQAFAAAAAgAh07iQG85liAHAgAA8QMAAA4AAAAAAAAA&#10;AQAgAAAALQEAAGRycy9lMm9Eb2MueG1sUEsFBgAAAAAGAAYAWQEAAKY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3327400</wp:posOffset>
                </wp:positionH>
                <wp:positionV relativeFrom="paragraph">
                  <wp:posOffset>65074165</wp:posOffset>
                </wp:positionV>
                <wp:extent cx="635" cy="388620"/>
                <wp:effectExtent l="37465" t="0" r="38100" b="11430"/>
                <wp:wrapNone/>
                <wp:docPr id="474" name="直接连接符 160"/>
                <wp:cNvGraphicFramePr/>
                <a:graphic xmlns:a="http://schemas.openxmlformats.org/drawingml/2006/main">
                  <a:graphicData uri="http://schemas.microsoft.com/office/word/2010/wordprocessingShape">
                    <wps:wsp>
                      <wps:cNvCnPr/>
                      <wps:spPr>
                        <a:xfrm>
                          <a:off x="4241800" y="66219070"/>
                          <a:ext cx="635" cy="38862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262pt;margin-top:5123.95pt;height:30.6pt;width:0.05pt;z-index:251664384;mso-width-relative:page;mso-height-relative:page;" filled="f" stroked="t" coordsize="21600,21600" o:gfxdata="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iMCQt0AAAAPAQAADwAAAAAAAAABACAAAAAi&#10;AAAAZHJzL2Rvd25yZXYueG1sUEsBAhQAFAAAAAgAh07iQNTo+gQFAgAA7gMAAA4AAAAAAAAAAQAg&#10;AAAALAEAAGRycy9lMm9Eb2MueG1sUEsFBgAAAAAGAAYAWQEAAKM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2579370</wp:posOffset>
                </wp:positionH>
                <wp:positionV relativeFrom="paragraph">
                  <wp:posOffset>64967485</wp:posOffset>
                </wp:positionV>
                <wp:extent cx="483235" cy="551180"/>
                <wp:effectExtent l="0" t="3175" r="12065" b="17145"/>
                <wp:wrapNone/>
                <wp:docPr id="473" name="直接连接符 160"/>
                <wp:cNvGraphicFramePr/>
                <a:graphic xmlns:a="http://schemas.openxmlformats.org/drawingml/2006/main">
                  <a:graphicData uri="http://schemas.microsoft.com/office/word/2010/wordprocessingShape">
                    <wps:wsp>
                      <wps:cNvCnPr/>
                      <wps:spPr>
                        <a:xfrm flipH="1">
                          <a:off x="3493770" y="66112390"/>
                          <a:ext cx="483235" cy="55118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x;margin-left:203.1pt;margin-top:5115.55pt;height:43.4pt;width:38.05pt;z-index:251663360;mso-width-relative:page;mso-height-relative:page;" filled="f" stroked="t" coordsize="21600,21600" o:gfxdata="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pJy0D90AAAAPAQAADwAA&#10;AAAAAAABACAAAAAiAAAAZHJzL2Rvd25yZXYueG1sUEsBAhQAFAAAAAgAh07iQAIxKOgRAgAA+wMA&#10;AA4AAAAAAAAAAQAgAAAALAEAAGRycy9lMm9Eb2MueG1sUEsFBgAAAAAGAAYAWQEAAK8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4173220</wp:posOffset>
                </wp:positionH>
                <wp:positionV relativeFrom="paragraph">
                  <wp:posOffset>257242310</wp:posOffset>
                </wp:positionV>
                <wp:extent cx="635" cy="388620"/>
                <wp:effectExtent l="37465" t="0" r="38100" b="11430"/>
                <wp:wrapNone/>
                <wp:docPr id="470" name="直接连接符 160"/>
                <wp:cNvGraphicFramePr/>
                <a:graphic xmlns:a="http://schemas.openxmlformats.org/drawingml/2006/main">
                  <a:graphicData uri="http://schemas.microsoft.com/office/word/2010/wordprocessingShape">
                    <wps:wsp>
                      <wps:cNvCnPr/>
                      <wps:spPr>
                        <a:xfrm flipV="1">
                          <a:off x="5087620" y="258387215"/>
                          <a:ext cx="635" cy="38862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y;margin-left:328.6pt;margin-top:20255.3pt;height:30.6pt;width:0.05pt;z-index:251662336;mso-width-relative:page;mso-height-relative:page;" filled="f" stroked="t" coordsize="21600,21600" o:gfxdata="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YTdQ7N0AAAAPAQAADwAAAAAAAAAB&#10;ACAAAAAiAAAAZHJzL2Rvd25yZXYueG1sUEsBAhQAFAAAAAgAh07iQIYp3sILAgAA+QMAAA4AAAAA&#10;AAAAAQAgAAAALAEAAGRycy9lMm9Eb2MueG1sUEsFBgAAAAAGAAYAWQEAAKkFAAAAAA==&#10;">
                <v:fill on="f" focussize="0,0"/>
                <v:stroke color="#000000" joinstyle="round" endarrow="block"/>
                <v:imagedata o:title=""/>
                <o:lock v:ext="edit" aspectratio="f"/>
              </v:line>
            </w:pict>
          </mc:Fallback>
        </mc:AlternateConten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兰亭准黑_GBK">
    <w:altName w:val="黑体"/>
    <w:panose1 w:val="02000000000000000000"/>
    <w:charset w:val="86"/>
    <w:family w:val="auto"/>
    <w:pitch w:val="default"/>
    <w:sig w:usb0="00000000" w:usb1="00000000" w:usb2="00082016" w:usb3="00000000" w:csb0="00040000"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ingLiU">
    <w:altName w:val="Microsoft JhengHei"/>
    <w:panose1 w:val="02010609000101010101"/>
    <w:charset w:val="88"/>
    <w:family w:val="modern"/>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Impact">
    <w:panose1 w:val="020B0806030902050204"/>
    <w:charset w:val="00"/>
    <w:family w:val="swiss"/>
    <w:pitch w:val="default"/>
    <w:sig w:usb0="00000287" w:usb1="000000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Black">
    <w:panose1 w:val="020B0A04020102020204"/>
    <w:charset w:val="00"/>
    <w:family w:val="swiss"/>
    <w:pitch w:val="default"/>
    <w:sig w:usb0="A00002AF" w:usb1="400078FB" w:usb2="00000000" w:usb3="00000000" w:csb0="6000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B9172">
    <w:pPr>
      <w:widowControl/>
      <w:jc w:val="right"/>
      <w:rPr>
        <w:rFonts w:ascii="宋体" w:hAnsi="Times New Roman" w:eastAsia="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63946">
    <w:pPr>
      <w:widowControl/>
      <w:jc w:val="right"/>
      <w:rPr>
        <w:rFonts w:ascii="宋体" w:hAnsi="Times New Roman" w:eastAsia="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F7633">
    <w:pPr>
      <w:widowControl/>
      <w:jc w:val="right"/>
      <w:rPr>
        <w:rFonts w:ascii="宋体" w:hAnsi="Times New Roman" w:eastAsia="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F600C4">
                          <w:pPr>
                            <w:pStyle w:val="15"/>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gZaYtAgAAW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hH6zLGz1zvII&#10;HcXzdnUMELDVNYrSKdFrhY5rK9NPR2zpP/dt1NMfYf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KgZaYtAgAAWQQAAA4AAAAAAAAAAQAgAAAAHwEAAGRycy9lMm9Eb2MueG1sUEsFBgAAAAAG&#10;AAYAWQEAAL4FAAAAAA==&#10;">
              <v:fill on="f" focussize="0,0"/>
              <v:stroke on="f" weight="0.5pt"/>
              <v:imagedata o:title=""/>
              <o:lock v:ext="edit" aspectratio="f"/>
              <v:textbox inset="0mm,0mm,0mm,0mm" style="mso-fit-shape-to-text:t;">
                <w:txbxContent>
                  <w:p w14:paraId="23F600C4">
                    <w:pPr>
                      <w:pStyle w:val="15"/>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41593">
    <w:pPr>
      <w:widowControl/>
      <w:jc w:val="right"/>
      <w:rPr>
        <w:rFonts w:ascii="宋体" w:hAnsi="Times New Roman" w:eastAsia="Times New Roman"/>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8BC10">
    <w:pPr>
      <w:widowControl/>
      <w:tabs>
        <w:tab w:val="center" w:pos="4153"/>
        <w:tab w:val="right" w:pos="8306"/>
      </w:tabs>
      <w:snapToGrid w:val="0"/>
      <w:jc w:val="center"/>
      <w:rPr>
        <w:rFonts w:ascii="宋体" w:hAnsi="Times New Roman" w:eastAsia="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11BBF2"/>
    <w:multiLevelType w:val="singleLevel"/>
    <w:tmpl w:val="1411BBF2"/>
    <w:lvl w:ilvl="0" w:tentative="0">
      <w:start w:val="1"/>
      <w:numFmt w:val="bullet"/>
      <w:pStyle w:val="10"/>
      <w:lvlText w:val=""/>
      <w:lvlJc w:val="left"/>
      <w:pPr>
        <w:tabs>
          <w:tab w:val="left" w:pos="2040"/>
        </w:tabs>
        <w:ind w:left="2040" w:hanging="360"/>
      </w:pPr>
      <w:rPr>
        <w:rFonts w:hint="default" w:ascii="Wingdings" w:hAnsi="Wingdings"/>
      </w:rPr>
    </w:lvl>
  </w:abstractNum>
  <w:abstractNum w:abstractNumId="1">
    <w:nsid w:val="722C5A71"/>
    <w:multiLevelType w:val="multilevel"/>
    <w:tmpl w:val="722C5A71"/>
    <w:lvl w:ilvl="0" w:tentative="0">
      <w:start w:val="1"/>
      <w:numFmt w:val="japaneseCounting"/>
      <w:pStyle w:val="26"/>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mYTc1YzNmODA4ZDhmMWMzYmQ4NjE3MGE4NzRhY2MifQ=="/>
  </w:docVars>
  <w:rsids>
    <w:rsidRoot w:val="4FEF6E0F"/>
    <w:rsid w:val="002128C6"/>
    <w:rsid w:val="002B533B"/>
    <w:rsid w:val="002D71FB"/>
    <w:rsid w:val="002E54BF"/>
    <w:rsid w:val="00313258"/>
    <w:rsid w:val="00333A2A"/>
    <w:rsid w:val="003500D6"/>
    <w:rsid w:val="00393668"/>
    <w:rsid w:val="003B7EA8"/>
    <w:rsid w:val="003D4D67"/>
    <w:rsid w:val="004C4C90"/>
    <w:rsid w:val="004D299E"/>
    <w:rsid w:val="0051226F"/>
    <w:rsid w:val="005310B9"/>
    <w:rsid w:val="00537C28"/>
    <w:rsid w:val="005714C6"/>
    <w:rsid w:val="005A4186"/>
    <w:rsid w:val="005A484C"/>
    <w:rsid w:val="00661709"/>
    <w:rsid w:val="006D6E52"/>
    <w:rsid w:val="0078492A"/>
    <w:rsid w:val="0078768E"/>
    <w:rsid w:val="007935F3"/>
    <w:rsid w:val="007A27FB"/>
    <w:rsid w:val="007B4A77"/>
    <w:rsid w:val="007C46E7"/>
    <w:rsid w:val="007F393F"/>
    <w:rsid w:val="007F4C8D"/>
    <w:rsid w:val="00845FA0"/>
    <w:rsid w:val="008910CC"/>
    <w:rsid w:val="008E3405"/>
    <w:rsid w:val="00977A0E"/>
    <w:rsid w:val="0098716C"/>
    <w:rsid w:val="009C0E2A"/>
    <w:rsid w:val="009C141D"/>
    <w:rsid w:val="009D423E"/>
    <w:rsid w:val="009F4BA0"/>
    <w:rsid w:val="00C32A54"/>
    <w:rsid w:val="00C86C3D"/>
    <w:rsid w:val="00CA7EEA"/>
    <w:rsid w:val="00CC1B9B"/>
    <w:rsid w:val="00DA1D60"/>
    <w:rsid w:val="00DE5743"/>
    <w:rsid w:val="00DF14BB"/>
    <w:rsid w:val="00E32DCF"/>
    <w:rsid w:val="00E6284A"/>
    <w:rsid w:val="00EB5DE7"/>
    <w:rsid w:val="00EB7E60"/>
    <w:rsid w:val="00EE3DCD"/>
    <w:rsid w:val="0112363F"/>
    <w:rsid w:val="012D66CB"/>
    <w:rsid w:val="012F6B89"/>
    <w:rsid w:val="013712F7"/>
    <w:rsid w:val="014337F8"/>
    <w:rsid w:val="017E2A82"/>
    <w:rsid w:val="019B1886"/>
    <w:rsid w:val="01B446F6"/>
    <w:rsid w:val="01B91D0C"/>
    <w:rsid w:val="01BB3CD7"/>
    <w:rsid w:val="01C930D8"/>
    <w:rsid w:val="01E70628"/>
    <w:rsid w:val="01EC6989"/>
    <w:rsid w:val="01F01F8D"/>
    <w:rsid w:val="0200793B"/>
    <w:rsid w:val="02274EC8"/>
    <w:rsid w:val="02296E92"/>
    <w:rsid w:val="0233386D"/>
    <w:rsid w:val="02337D11"/>
    <w:rsid w:val="023A4BFB"/>
    <w:rsid w:val="02581525"/>
    <w:rsid w:val="02756BD4"/>
    <w:rsid w:val="0284056C"/>
    <w:rsid w:val="02976232"/>
    <w:rsid w:val="02B7122F"/>
    <w:rsid w:val="02D54924"/>
    <w:rsid w:val="02D77339"/>
    <w:rsid w:val="02F474A0"/>
    <w:rsid w:val="031C69F7"/>
    <w:rsid w:val="032928B6"/>
    <w:rsid w:val="033D7C67"/>
    <w:rsid w:val="03630182"/>
    <w:rsid w:val="03962305"/>
    <w:rsid w:val="039E740C"/>
    <w:rsid w:val="03E36DA8"/>
    <w:rsid w:val="03F62DA4"/>
    <w:rsid w:val="04071455"/>
    <w:rsid w:val="040E6340"/>
    <w:rsid w:val="04131BA8"/>
    <w:rsid w:val="04144B8F"/>
    <w:rsid w:val="041B11B3"/>
    <w:rsid w:val="041F089A"/>
    <w:rsid w:val="04206073"/>
    <w:rsid w:val="042711AF"/>
    <w:rsid w:val="042E0DB9"/>
    <w:rsid w:val="043438CC"/>
    <w:rsid w:val="04363779"/>
    <w:rsid w:val="04394A97"/>
    <w:rsid w:val="04512134"/>
    <w:rsid w:val="04610B65"/>
    <w:rsid w:val="0465237E"/>
    <w:rsid w:val="046A623A"/>
    <w:rsid w:val="04722D72"/>
    <w:rsid w:val="047343F5"/>
    <w:rsid w:val="04784101"/>
    <w:rsid w:val="0486237A"/>
    <w:rsid w:val="04900156"/>
    <w:rsid w:val="049251C3"/>
    <w:rsid w:val="04AB421D"/>
    <w:rsid w:val="04B944C7"/>
    <w:rsid w:val="04DA0918"/>
    <w:rsid w:val="04F574FF"/>
    <w:rsid w:val="04F76DD4"/>
    <w:rsid w:val="04FA2F2F"/>
    <w:rsid w:val="050D65F7"/>
    <w:rsid w:val="051607AD"/>
    <w:rsid w:val="052851DF"/>
    <w:rsid w:val="053C6EDC"/>
    <w:rsid w:val="054162A1"/>
    <w:rsid w:val="0548608E"/>
    <w:rsid w:val="054F4E62"/>
    <w:rsid w:val="056326BB"/>
    <w:rsid w:val="056F2E0E"/>
    <w:rsid w:val="057E5687"/>
    <w:rsid w:val="05881E34"/>
    <w:rsid w:val="05A1732C"/>
    <w:rsid w:val="05A21435"/>
    <w:rsid w:val="05A51475"/>
    <w:rsid w:val="05BB24F7"/>
    <w:rsid w:val="05DF3F20"/>
    <w:rsid w:val="05EF21A1"/>
    <w:rsid w:val="05F3338B"/>
    <w:rsid w:val="05F872A7"/>
    <w:rsid w:val="05FB0B46"/>
    <w:rsid w:val="05FD666C"/>
    <w:rsid w:val="06190FCC"/>
    <w:rsid w:val="065026A6"/>
    <w:rsid w:val="065B15E4"/>
    <w:rsid w:val="0664493D"/>
    <w:rsid w:val="066A0A73"/>
    <w:rsid w:val="066C1A43"/>
    <w:rsid w:val="06913258"/>
    <w:rsid w:val="06952D48"/>
    <w:rsid w:val="06A0349B"/>
    <w:rsid w:val="06AB60C8"/>
    <w:rsid w:val="06D05B2E"/>
    <w:rsid w:val="06D33870"/>
    <w:rsid w:val="06E426D9"/>
    <w:rsid w:val="0717375D"/>
    <w:rsid w:val="07174EC6"/>
    <w:rsid w:val="07215081"/>
    <w:rsid w:val="07481B68"/>
    <w:rsid w:val="0757624F"/>
    <w:rsid w:val="07593D76"/>
    <w:rsid w:val="075A189C"/>
    <w:rsid w:val="07601EE6"/>
    <w:rsid w:val="07677AD1"/>
    <w:rsid w:val="07702E6D"/>
    <w:rsid w:val="077E47A3"/>
    <w:rsid w:val="07852DBD"/>
    <w:rsid w:val="078608E3"/>
    <w:rsid w:val="079A613C"/>
    <w:rsid w:val="07A07BF6"/>
    <w:rsid w:val="07AA637F"/>
    <w:rsid w:val="07E4110D"/>
    <w:rsid w:val="07FF59B7"/>
    <w:rsid w:val="080B13B0"/>
    <w:rsid w:val="08123F24"/>
    <w:rsid w:val="0831760C"/>
    <w:rsid w:val="083D40FC"/>
    <w:rsid w:val="08420CAE"/>
    <w:rsid w:val="084B79DF"/>
    <w:rsid w:val="08502EAB"/>
    <w:rsid w:val="08534C69"/>
    <w:rsid w:val="08671834"/>
    <w:rsid w:val="08780BC4"/>
    <w:rsid w:val="087846CF"/>
    <w:rsid w:val="08850B9A"/>
    <w:rsid w:val="088F2326"/>
    <w:rsid w:val="08AC4379"/>
    <w:rsid w:val="08BA6A96"/>
    <w:rsid w:val="08DA0EE6"/>
    <w:rsid w:val="08ED5791"/>
    <w:rsid w:val="08F120DE"/>
    <w:rsid w:val="08FD6983"/>
    <w:rsid w:val="091E00A4"/>
    <w:rsid w:val="09246605"/>
    <w:rsid w:val="093A3733"/>
    <w:rsid w:val="09475E50"/>
    <w:rsid w:val="095952FD"/>
    <w:rsid w:val="096133B5"/>
    <w:rsid w:val="096D1D5A"/>
    <w:rsid w:val="097A1C48"/>
    <w:rsid w:val="099E1F14"/>
    <w:rsid w:val="09A60DC8"/>
    <w:rsid w:val="09E22DE2"/>
    <w:rsid w:val="09E74542"/>
    <w:rsid w:val="09F26658"/>
    <w:rsid w:val="0A0855DF"/>
    <w:rsid w:val="0A117002"/>
    <w:rsid w:val="0A1C108A"/>
    <w:rsid w:val="0A222B45"/>
    <w:rsid w:val="0A40121D"/>
    <w:rsid w:val="0A530F50"/>
    <w:rsid w:val="0A5C02E1"/>
    <w:rsid w:val="0A656ED5"/>
    <w:rsid w:val="0A670558"/>
    <w:rsid w:val="0A701D82"/>
    <w:rsid w:val="0A717628"/>
    <w:rsid w:val="0A7964DD"/>
    <w:rsid w:val="0A823A7F"/>
    <w:rsid w:val="0A825391"/>
    <w:rsid w:val="0A841FD0"/>
    <w:rsid w:val="0A876E4C"/>
    <w:rsid w:val="0A8A693C"/>
    <w:rsid w:val="0A9620F7"/>
    <w:rsid w:val="0A9E7CF1"/>
    <w:rsid w:val="0AA3355A"/>
    <w:rsid w:val="0AC0235E"/>
    <w:rsid w:val="0AC44356"/>
    <w:rsid w:val="0AC57974"/>
    <w:rsid w:val="0AD95DB9"/>
    <w:rsid w:val="0AEE6ECB"/>
    <w:rsid w:val="0B2D56D8"/>
    <w:rsid w:val="0B304DED"/>
    <w:rsid w:val="0B3F14D4"/>
    <w:rsid w:val="0B3F3282"/>
    <w:rsid w:val="0B420FC5"/>
    <w:rsid w:val="0B4E5BBB"/>
    <w:rsid w:val="0B5036E2"/>
    <w:rsid w:val="0B941820"/>
    <w:rsid w:val="0BAB4DBC"/>
    <w:rsid w:val="0BCA41CA"/>
    <w:rsid w:val="0BD452BC"/>
    <w:rsid w:val="0BE165E0"/>
    <w:rsid w:val="0BF4406D"/>
    <w:rsid w:val="0C0A3890"/>
    <w:rsid w:val="0C0A7D34"/>
    <w:rsid w:val="0C28640C"/>
    <w:rsid w:val="0C430B50"/>
    <w:rsid w:val="0C4548C9"/>
    <w:rsid w:val="0C4C0AED"/>
    <w:rsid w:val="0C5B0590"/>
    <w:rsid w:val="0C5B233E"/>
    <w:rsid w:val="0C66390C"/>
    <w:rsid w:val="0C6E02C3"/>
    <w:rsid w:val="0C796C68"/>
    <w:rsid w:val="0C86059E"/>
    <w:rsid w:val="0C8A2C23"/>
    <w:rsid w:val="0C8C5079"/>
    <w:rsid w:val="0CA5180B"/>
    <w:rsid w:val="0CB22B5C"/>
    <w:rsid w:val="0CBA461F"/>
    <w:rsid w:val="0CC872A8"/>
    <w:rsid w:val="0CCD48BE"/>
    <w:rsid w:val="0CD21ED4"/>
    <w:rsid w:val="0CE916F8"/>
    <w:rsid w:val="0D0437B7"/>
    <w:rsid w:val="0D284C4A"/>
    <w:rsid w:val="0D2C3CDA"/>
    <w:rsid w:val="0D660371"/>
    <w:rsid w:val="0D66519B"/>
    <w:rsid w:val="0D904269"/>
    <w:rsid w:val="0D905871"/>
    <w:rsid w:val="0D9378B6"/>
    <w:rsid w:val="0DA44A41"/>
    <w:rsid w:val="0DB52116"/>
    <w:rsid w:val="0DD979BE"/>
    <w:rsid w:val="0DDA3736"/>
    <w:rsid w:val="0DF67D78"/>
    <w:rsid w:val="0E015A11"/>
    <w:rsid w:val="0E0407B3"/>
    <w:rsid w:val="0E060087"/>
    <w:rsid w:val="0E1A3B33"/>
    <w:rsid w:val="0E22558C"/>
    <w:rsid w:val="0E2A01C9"/>
    <w:rsid w:val="0E3746E5"/>
    <w:rsid w:val="0E3A6BCF"/>
    <w:rsid w:val="0E417312"/>
    <w:rsid w:val="0E455054"/>
    <w:rsid w:val="0E5434E9"/>
    <w:rsid w:val="0E58106E"/>
    <w:rsid w:val="0E5A03D3"/>
    <w:rsid w:val="0E74112A"/>
    <w:rsid w:val="0E86261C"/>
    <w:rsid w:val="0E927B6D"/>
    <w:rsid w:val="0E9E6512"/>
    <w:rsid w:val="0EB52E62"/>
    <w:rsid w:val="0EE21031"/>
    <w:rsid w:val="0EF425D6"/>
    <w:rsid w:val="0F340C24"/>
    <w:rsid w:val="0F3B6940"/>
    <w:rsid w:val="0F3F3EC1"/>
    <w:rsid w:val="0F44355D"/>
    <w:rsid w:val="0F4B48EC"/>
    <w:rsid w:val="0F703316"/>
    <w:rsid w:val="0F747AA7"/>
    <w:rsid w:val="0F88065D"/>
    <w:rsid w:val="0F8932E2"/>
    <w:rsid w:val="0F96368D"/>
    <w:rsid w:val="0FAB7138"/>
    <w:rsid w:val="0FB83603"/>
    <w:rsid w:val="0FD56A65"/>
    <w:rsid w:val="10014FAA"/>
    <w:rsid w:val="100B407B"/>
    <w:rsid w:val="10282537"/>
    <w:rsid w:val="102B64CB"/>
    <w:rsid w:val="10555E1C"/>
    <w:rsid w:val="10696077"/>
    <w:rsid w:val="10771710"/>
    <w:rsid w:val="10867A0F"/>
    <w:rsid w:val="108F47C6"/>
    <w:rsid w:val="10A818CA"/>
    <w:rsid w:val="10D47D43"/>
    <w:rsid w:val="10D64689"/>
    <w:rsid w:val="10ED552F"/>
    <w:rsid w:val="10F3513F"/>
    <w:rsid w:val="10F8061E"/>
    <w:rsid w:val="11006E6D"/>
    <w:rsid w:val="1102547E"/>
    <w:rsid w:val="11027767"/>
    <w:rsid w:val="112F3D99"/>
    <w:rsid w:val="113214B3"/>
    <w:rsid w:val="113D19BA"/>
    <w:rsid w:val="114E0946"/>
    <w:rsid w:val="116577BB"/>
    <w:rsid w:val="117F087D"/>
    <w:rsid w:val="11847C41"/>
    <w:rsid w:val="11867E5D"/>
    <w:rsid w:val="118E0AC0"/>
    <w:rsid w:val="11943BFC"/>
    <w:rsid w:val="11CB5870"/>
    <w:rsid w:val="11E84674"/>
    <w:rsid w:val="11F748B7"/>
    <w:rsid w:val="1202325C"/>
    <w:rsid w:val="1209283C"/>
    <w:rsid w:val="120D5E88"/>
    <w:rsid w:val="12172B2F"/>
    <w:rsid w:val="122D2087"/>
    <w:rsid w:val="123F000C"/>
    <w:rsid w:val="126174C1"/>
    <w:rsid w:val="12695089"/>
    <w:rsid w:val="126B1070"/>
    <w:rsid w:val="127A7296"/>
    <w:rsid w:val="12895F55"/>
    <w:rsid w:val="128B3251"/>
    <w:rsid w:val="12993BC0"/>
    <w:rsid w:val="129C0FBA"/>
    <w:rsid w:val="129F36BA"/>
    <w:rsid w:val="12B502CE"/>
    <w:rsid w:val="12D90A1A"/>
    <w:rsid w:val="12EB0686"/>
    <w:rsid w:val="12F31522"/>
    <w:rsid w:val="13082AF4"/>
    <w:rsid w:val="130D1EB8"/>
    <w:rsid w:val="130F5C30"/>
    <w:rsid w:val="1323181A"/>
    <w:rsid w:val="13274D28"/>
    <w:rsid w:val="13643973"/>
    <w:rsid w:val="13650296"/>
    <w:rsid w:val="136728A7"/>
    <w:rsid w:val="136C3083"/>
    <w:rsid w:val="13716203"/>
    <w:rsid w:val="137B5074"/>
    <w:rsid w:val="13806FF7"/>
    <w:rsid w:val="139B5716"/>
    <w:rsid w:val="13B660AC"/>
    <w:rsid w:val="13D33102"/>
    <w:rsid w:val="13EC5753"/>
    <w:rsid w:val="13F07810"/>
    <w:rsid w:val="140B63F8"/>
    <w:rsid w:val="141B590C"/>
    <w:rsid w:val="141E588E"/>
    <w:rsid w:val="1441006B"/>
    <w:rsid w:val="14435965"/>
    <w:rsid w:val="14495172"/>
    <w:rsid w:val="14596C65"/>
    <w:rsid w:val="146B158C"/>
    <w:rsid w:val="146E6986"/>
    <w:rsid w:val="14787A99"/>
    <w:rsid w:val="14902BD0"/>
    <w:rsid w:val="14912D6F"/>
    <w:rsid w:val="14B03EA1"/>
    <w:rsid w:val="14B04165"/>
    <w:rsid w:val="14B95E54"/>
    <w:rsid w:val="14D86FD1"/>
    <w:rsid w:val="14DF1632"/>
    <w:rsid w:val="14E72960"/>
    <w:rsid w:val="14F25809"/>
    <w:rsid w:val="153656F6"/>
    <w:rsid w:val="154716B1"/>
    <w:rsid w:val="156F0C08"/>
    <w:rsid w:val="157955E3"/>
    <w:rsid w:val="157E0939"/>
    <w:rsid w:val="15806971"/>
    <w:rsid w:val="15981F0D"/>
    <w:rsid w:val="15AB06D4"/>
    <w:rsid w:val="15BA6327"/>
    <w:rsid w:val="15C251DC"/>
    <w:rsid w:val="15E50ECA"/>
    <w:rsid w:val="15EE5FD1"/>
    <w:rsid w:val="15F17475"/>
    <w:rsid w:val="15F5110D"/>
    <w:rsid w:val="15FF3D3A"/>
    <w:rsid w:val="160B6B83"/>
    <w:rsid w:val="160C6457"/>
    <w:rsid w:val="161C0D90"/>
    <w:rsid w:val="161D0664"/>
    <w:rsid w:val="16C60CFC"/>
    <w:rsid w:val="16F969DB"/>
    <w:rsid w:val="170830C2"/>
    <w:rsid w:val="170950B3"/>
    <w:rsid w:val="1711641B"/>
    <w:rsid w:val="17127AB3"/>
    <w:rsid w:val="171A2ACE"/>
    <w:rsid w:val="173619DD"/>
    <w:rsid w:val="173D57FF"/>
    <w:rsid w:val="17606A5A"/>
    <w:rsid w:val="17715D04"/>
    <w:rsid w:val="178A190A"/>
    <w:rsid w:val="17DB4333"/>
    <w:rsid w:val="17F17FFA"/>
    <w:rsid w:val="17F92A0B"/>
    <w:rsid w:val="181802F7"/>
    <w:rsid w:val="183323C1"/>
    <w:rsid w:val="184620F4"/>
    <w:rsid w:val="18610DCD"/>
    <w:rsid w:val="18673709"/>
    <w:rsid w:val="18866995"/>
    <w:rsid w:val="188E5849"/>
    <w:rsid w:val="18AE37F5"/>
    <w:rsid w:val="18EB3207"/>
    <w:rsid w:val="18EB4A4A"/>
    <w:rsid w:val="18F02060"/>
    <w:rsid w:val="18F356AC"/>
    <w:rsid w:val="19145D4E"/>
    <w:rsid w:val="192166BD"/>
    <w:rsid w:val="19256BE4"/>
    <w:rsid w:val="19397563"/>
    <w:rsid w:val="193A152D"/>
    <w:rsid w:val="193F08F1"/>
    <w:rsid w:val="193F60AF"/>
    <w:rsid w:val="19434185"/>
    <w:rsid w:val="195A011F"/>
    <w:rsid w:val="195F6D66"/>
    <w:rsid w:val="19653469"/>
    <w:rsid w:val="197526AE"/>
    <w:rsid w:val="19D72D8D"/>
    <w:rsid w:val="19D90D46"/>
    <w:rsid w:val="19DB061A"/>
    <w:rsid w:val="19EF40C6"/>
    <w:rsid w:val="19FE07AD"/>
    <w:rsid w:val="1A1D50D7"/>
    <w:rsid w:val="1A1E7E5C"/>
    <w:rsid w:val="1A383CBF"/>
    <w:rsid w:val="1A404921"/>
    <w:rsid w:val="1A6A7BF0"/>
    <w:rsid w:val="1A6E76E0"/>
    <w:rsid w:val="1A872550"/>
    <w:rsid w:val="1AA11436"/>
    <w:rsid w:val="1AAE3F81"/>
    <w:rsid w:val="1AB1581F"/>
    <w:rsid w:val="1AB53561"/>
    <w:rsid w:val="1AB94A4F"/>
    <w:rsid w:val="1ABE6D18"/>
    <w:rsid w:val="1AD11A1D"/>
    <w:rsid w:val="1ADF413A"/>
    <w:rsid w:val="1AE17EB2"/>
    <w:rsid w:val="1AFC2499"/>
    <w:rsid w:val="1B027E29"/>
    <w:rsid w:val="1B0D5C77"/>
    <w:rsid w:val="1B222279"/>
    <w:rsid w:val="1B305C40"/>
    <w:rsid w:val="1B32701D"/>
    <w:rsid w:val="1B481CDF"/>
    <w:rsid w:val="1B4B19E3"/>
    <w:rsid w:val="1B79633D"/>
    <w:rsid w:val="1B7B0307"/>
    <w:rsid w:val="1B7E7DF7"/>
    <w:rsid w:val="1B8847D2"/>
    <w:rsid w:val="1B9B4505"/>
    <w:rsid w:val="1BA93E7C"/>
    <w:rsid w:val="1BB76E65"/>
    <w:rsid w:val="1BBA3A2F"/>
    <w:rsid w:val="1BC33A5C"/>
    <w:rsid w:val="1BCD6688"/>
    <w:rsid w:val="1BD27623"/>
    <w:rsid w:val="1BD96DDB"/>
    <w:rsid w:val="1BDC68CC"/>
    <w:rsid w:val="1BE0460E"/>
    <w:rsid w:val="1BE13EE2"/>
    <w:rsid w:val="1BF956CF"/>
    <w:rsid w:val="1BFD51C0"/>
    <w:rsid w:val="1BFE4A94"/>
    <w:rsid w:val="1C19367C"/>
    <w:rsid w:val="1C2C1601"/>
    <w:rsid w:val="1C38055F"/>
    <w:rsid w:val="1C3B5CE8"/>
    <w:rsid w:val="1C4757FA"/>
    <w:rsid w:val="1C480467"/>
    <w:rsid w:val="1C6B037B"/>
    <w:rsid w:val="1C7B7E93"/>
    <w:rsid w:val="1C9A7153"/>
    <w:rsid w:val="1C9B0535"/>
    <w:rsid w:val="1C9B5833"/>
    <w:rsid w:val="1C9C5FAC"/>
    <w:rsid w:val="1CAC46BC"/>
    <w:rsid w:val="1CB3587E"/>
    <w:rsid w:val="1CC17F9B"/>
    <w:rsid w:val="1CC23D13"/>
    <w:rsid w:val="1CDB3837"/>
    <w:rsid w:val="1CDE392F"/>
    <w:rsid w:val="1D0205B4"/>
    <w:rsid w:val="1D085BCA"/>
    <w:rsid w:val="1D1502E7"/>
    <w:rsid w:val="1D2871CA"/>
    <w:rsid w:val="1D2F75FB"/>
    <w:rsid w:val="1D300C7D"/>
    <w:rsid w:val="1D48115F"/>
    <w:rsid w:val="1D4B20A2"/>
    <w:rsid w:val="1D4B5AB7"/>
    <w:rsid w:val="1D6F5C49"/>
    <w:rsid w:val="1D853253"/>
    <w:rsid w:val="1D8D4321"/>
    <w:rsid w:val="1D922580"/>
    <w:rsid w:val="1D927837"/>
    <w:rsid w:val="1D992CC6"/>
    <w:rsid w:val="1DA42059"/>
    <w:rsid w:val="1DA84CB7"/>
    <w:rsid w:val="1DBA49EB"/>
    <w:rsid w:val="1DFF3BBE"/>
    <w:rsid w:val="1E122A78"/>
    <w:rsid w:val="1E166AAF"/>
    <w:rsid w:val="1E321569"/>
    <w:rsid w:val="1E3E73CA"/>
    <w:rsid w:val="1E5D029A"/>
    <w:rsid w:val="1E731769"/>
    <w:rsid w:val="1E7E3307"/>
    <w:rsid w:val="1E8A260F"/>
    <w:rsid w:val="1E960FB4"/>
    <w:rsid w:val="1EA03825"/>
    <w:rsid w:val="1EC2624D"/>
    <w:rsid w:val="1ECC2C27"/>
    <w:rsid w:val="1ECE0304"/>
    <w:rsid w:val="1ED25155"/>
    <w:rsid w:val="1EEB7F05"/>
    <w:rsid w:val="1F095C2A"/>
    <w:rsid w:val="1F1B770B"/>
    <w:rsid w:val="1F354C71"/>
    <w:rsid w:val="1F417171"/>
    <w:rsid w:val="1F552C1D"/>
    <w:rsid w:val="1F6B2440"/>
    <w:rsid w:val="1F8452B0"/>
    <w:rsid w:val="1F8654CC"/>
    <w:rsid w:val="1F882FF2"/>
    <w:rsid w:val="1F945F39"/>
    <w:rsid w:val="1F997AEC"/>
    <w:rsid w:val="1FA15E62"/>
    <w:rsid w:val="1FAA11BB"/>
    <w:rsid w:val="1FBD2E83"/>
    <w:rsid w:val="1FCB2EDF"/>
    <w:rsid w:val="1FE346CD"/>
    <w:rsid w:val="1FE434D2"/>
    <w:rsid w:val="1FF71F26"/>
    <w:rsid w:val="200B0468"/>
    <w:rsid w:val="20196340"/>
    <w:rsid w:val="20457135"/>
    <w:rsid w:val="20656632"/>
    <w:rsid w:val="20765541"/>
    <w:rsid w:val="20D364EF"/>
    <w:rsid w:val="20D652BD"/>
    <w:rsid w:val="20E029BA"/>
    <w:rsid w:val="20E50ED7"/>
    <w:rsid w:val="20E65917"/>
    <w:rsid w:val="20EF64C3"/>
    <w:rsid w:val="20F841A8"/>
    <w:rsid w:val="21210490"/>
    <w:rsid w:val="212C4F38"/>
    <w:rsid w:val="213056EF"/>
    <w:rsid w:val="21323123"/>
    <w:rsid w:val="21676C37"/>
    <w:rsid w:val="216C6E3A"/>
    <w:rsid w:val="21716558"/>
    <w:rsid w:val="217575A6"/>
    <w:rsid w:val="217E28FF"/>
    <w:rsid w:val="218912A4"/>
    <w:rsid w:val="2190727A"/>
    <w:rsid w:val="219169F3"/>
    <w:rsid w:val="2192607F"/>
    <w:rsid w:val="219263AA"/>
    <w:rsid w:val="21BC1E65"/>
    <w:rsid w:val="21DF2C72"/>
    <w:rsid w:val="21E36C06"/>
    <w:rsid w:val="2217065D"/>
    <w:rsid w:val="221C2118"/>
    <w:rsid w:val="222A0391"/>
    <w:rsid w:val="22366F97"/>
    <w:rsid w:val="226118D9"/>
    <w:rsid w:val="22665141"/>
    <w:rsid w:val="227C6712"/>
    <w:rsid w:val="22984A62"/>
    <w:rsid w:val="22A234E6"/>
    <w:rsid w:val="22AB36A3"/>
    <w:rsid w:val="22D11994"/>
    <w:rsid w:val="22E449E3"/>
    <w:rsid w:val="230706D2"/>
    <w:rsid w:val="232A5B9F"/>
    <w:rsid w:val="23362D65"/>
    <w:rsid w:val="2343221E"/>
    <w:rsid w:val="235C1B66"/>
    <w:rsid w:val="236A5061"/>
    <w:rsid w:val="2378512C"/>
    <w:rsid w:val="23810484"/>
    <w:rsid w:val="23871813"/>
    <w:rsid w:val="238E2BA1"/>
    <w:rsid w:val="23974089"/>
    <w:rsid w:val="239B4899"/>
    <w:rsid w:val="23AD1279"/>
    <w:rsid w:val="23E629DD"/>
    <w:rsid w:val="23F7269F"/>
    <w:rsid w:val="23FA78FD"/>
    <w:rsid w:val="24062738"/>
    <w:rsid w:val="24194630"/>
    <w:rsid w:val="24373239"/>
    <w:rsid w:val="24392B0D"/>
    <w:rsid w:val="246833F2"/>
    <w:rsid w:val="24727DCD"/>
    <w:rsid w:val="248429D0"/>
    <w:rsid w:val="24885842"/>
    <w:rsid w:val="249266C1"/>
    <w:rsid w:val="249A39D9"/>
    <w:rsid w:val="24D42836"/>
    <w:rsid w:val="24D942F0"/>
    <w:rsid w:val="24E92C91"/>
    <w:rsid w:val="24FF2D31"/>
    <w:rsid w:val="251315B0"/>
    <w:rsid w:val="25257535"/>
    <w:rsid w:val="25352772"/>
    <w:rsid w:val="254C2D14"/>
    <w:rsid w:val="255D0A7D"/>
    <w:rsid w:val="25674331"/>
    <w:rsid w:val="2567559A"/>
    <w:rsid w:val="256F49BE"/>
    <w:rsid w:val="258778A8"/>
    <w:rsid w:val="25A74DDB"/>
    <w:rsid w:val="25B6018D"/>
    <w:rsid w:val="25C02512"/>
    <w:rsid w:val="25CB1E8B"/>
    <w:rsid w:val="25DA482C"/>
    <w:rsid w:val="25E60A73"/>
    <w:rsid w:val="260D5FFF"/>
    <w:rsid w:val="260F2E60"/>
    <w:rsid w:val="26461511"/>
    <w:rsid w:val="26591245"/>
    <w:rsid w:val="266B21A9"/>
    <w:rsid w:val="26747E2C"/>
    <w:rsid w:val="267977D6"/>
    <w:rsid w:val="267A619D"/>
    <w:rsid w:val="267C12D1"/>
    <w:rsid w:val="268816D1"/>
    <w:rsid w:val="268C786C"/>
    <w:rsid w:val="26A91DD0"/>
    <w:rsid w:val="26BF693F"/>
    <w:rsid w:val="26C75410"/>
    <w:rsid w:val="26FC4863"/>
    <w:rsid w:val="271E248E"/>
    <w:rsid w:val="274A2350"/>
    <w:rsid w:val="275531ED"/>
    <w:rsid w:val="27822A1D"/>
    <w:rsid w:val="27894419"/>
    <w:rsid w:val="279012A6"/>
    <w:rsid w:val="27B70919"/>
    <w:rsid w:val="27D843EB"/>
    <w:rsid w:val="27DA4607"/>
    <w:rsid w:val="27ED3AEE"/>
    <w:rsid w:val="27EE00B2"/>
    <w:rsid w:val="28094EEC"/>
    <w:rsid w:val="280B47C0"/>
    <w:rsid w:val="2829100C"/>
    <w:rsid w:val="282B6C11"/>
    <w:rsid w:val="28380A53"/>
    <w:rsid w:val="28381E1D"/>
    <w:rsid w:val="28593BBE"/>
    <w:rsid w:val="285C613B"/>
    <w:rsid w:val="288051AE"/>
    <w:rsid w:val="28812B87"/>
    <w:rsid w:val="28A013AD"/>
    <w:rsid w:val="28BB61E6"/>
    <w:rsid w:val="28BB7992"/>
    <w:rsid w:val="28E83572"/>
    <w:rsid w:val="28F416F8"/>
    <w:rsid w:val="29045DEC"/>
    <w:rsid w:val="290C07F0"/>
    <w:rsid w:val="2920256A"/>
    <w:rsid w:val="2927387C"/>
    <w:rsid w:val="29310257"/>
    <w:rsid w:val="293B2E83"/>
    <w:rsid w:val="293D4E4D"/>
    <w:rsid w:val="293F2C22"/>
    <w:rsid w:val="29634188"/>
    <w:rsid w:val="29864171"/>
    <w:rsid w:val="29890093"/>
    <w:rsid w:val="298C36DF"/>
    <w:rsid w:val="299B402C"/>
    <w:rsid w:val="29AE7AF9"/>
    <w:rsid w:val="29B84E69"/>
    <w:rsid w:val="29BA46F0"/>
    <w:rsid w:val="29BE3623"/>
    <w:rsid w:val="29D46E34"/>
    <w:rsid w:val="29E654E5"/>
    <w:rsid w:val="2A027E45"/>
    <w:rsid w:val="2A0B4F4C"/>
    <w:rsid w:val="2A135BAE"/>
    <w:rsid w:val="2A39263B"/>
    <w:rsid w:val="2A522B7B"/>
    <w:rsid w:val="2A677CA8"/>
    <w:rsid w:val="2A8D3BB3"/>
    <w:rsid w:val="2A992557"/>
    <w:rsid w:val="2AB25D34"/>
    <w:rsid w:val="2ACB46DB"/>
    <w:rsid w:val="2AD732CC"/>
    <w:rsid w:val="2AE83393"/>
    <w:rsid w:val="2B2636BF"/>
    <w:rsid w:val="2B3E0B77"/>
    <w:rsid w:val="2B4F4C2E"/>
    <w:rsid w:val="2B62264C"/>
    <w:rsid w:val="2B6E13F3"/>
    <w:rsid w:val="2B714350"/>
    <w:rsid w:val="2BA07258"/>
    <w:rsid w:val="2BAD214C"/>
    <w:rsid w:val="2BB05DAB"/>
    <w:rsid w:val="2BB9575A"/>
    <w:rsid w:val="2BBE1B4A"/>
    <w:rsid w:val="2BDB26FC"/>
    <w:rsid w:val="2BDF7522"/>
    <w:rsid w:val="2BEE68D3"/>
    <w:rsid w:val="2C0734F1"/>
    <w:rsid w:val="2C233894"/>
    <w:rsid w:val="2C2F40AC"/>
    <w:rsid w:val="2C3342E6"/>
    <w:rsid w:val="2C363DD6"/>
    <w:rsid w:val="2C3B319A"/>
    <w:rsid w:val="2CAC2710"/>
    <w:rsid w:val="2CCF3A21"/>
    <w:rsid w:val="2CD75277"/>
    <w:rsid w:val="2CD77367"/>
    <w:rsid w:val="2CDE06F5"/>
    <w:rsid w:val="2CEF2903"/>
    <w:rsid w:val="2CF04337"/>
    <w:rsid w:val="2CF241A1"/>
    <w:rsid w:val="2CFB12A7"/>
    <w:rsid w:val="2CFE59E6"/>
    <w:rsid w:val="2D0438F4"/>
    <w:rsid w:val="2D0A2B09"/>
    <w:rsid w:val="2D1660E1"/>
    <w:rsid w:val="2D173C07"/>
    <w:rsid w:val="2D200D0E"/>
    <w:rsid w:val="2D287BC3"/>
    <w:rsid w:val="2D360531"/>
    <w:rsid w:val="2D4F6EFD"/>
    <w:rsid w:val="2D564730"/>
    <w:rsid w:val="2D574004"/>
    <w:rsid w:val="2D5C7D86"/>
    <w:rsid w:val="2D6D7CCB"/>
    <w:rsid w:val="2D7050C6"/>
    <w:rsid w:val="2D776454"/>
    <w:rsid w:val="2D820877"/>
    <w:rsid w:val="2DAF5BEE"/>
    <w:rsid w:val="2DD57862"/>
    <w:rsid w:val="2DE55AB4"/>
    <w:rsid w:val="2DF126AA"/>
    <w:rsid w:val="2DF16206"/>
    <w:rsid w:val="2DF40D54"/>
    <w:rsid w:val="2DF857E7"/>
    <w:rsid w:val="2DF90FEB"/>
    <w:rsid w:val="2DFF63E5"/>
    <w:rsid w:val="2E0A551A"/>
    <w:rsid w:val="2E0C3040"/>
    <w:rsid w:val="2E0E6DB8"/>
    <w:rsid w:val="2E1C77C8"/>
    <w:rsid w:val="2E2760CC"/>
    <w:rsid w:val="2E46156D"/>
    <w:rsid w:val="2E7D09DE"/>
    <w:rsid w:val="2E954DE4"/>
    <w:rsid w:val="2E980D78"/>
    <w:rsid w:val="2EBD433B"/>
    <w:rsid w:val="2EC35C05"/>
    <w:rsid w:val="2EC86F62"/>
    <w:rsid w:val="2ED0406E"/>
    <w:rsid w:val="2ED95618"/>
    <w:rsid w:val="2EDC6EB7"/>
    <w:rsid w:val="2EE93382"/>
    <w:rsid w:val="2EF51D26"/>
    <w:rsid w:val="2EF75A9F"/>
    <w:rsid w:val="2F00344F"/>
    <w:rsid w:val="2F081A5A"/>
    <w:rsid w:val="2F171C9D"/>
    <w:rsid w:val="2F2B74F6"/>
    <w:rsid w:val="2F2D6267"/>
    <w:rsid w:val="2F4D020F"/>
    <w:rsid w:val="2F527790"/>
    <w:rsid w:val="2F5B427F"/>
    <w:rsid w:val="2F5E167A"/>
    <w:rsid w:val="2F5E78CC"/>
    <w:rsid w:val="2F6828EB"/>
    <w:rsid w:val="2F6F579A"/>
    <w:rsid w:val="2F702813"/>
    <w:rsid w:val="2F74507C"/>
    <w:rsid w:val="2FB120F1"/>
    <w:rsid w:val="2FBD2538"/>
    <w:rsid w:val="2FC16DE4"/>
    <w:rsid w:val="2FC8743B"/>
    <w:rsid w:val="2FE57FED"/>
    <w:rsid w:val="2FE9188B"/>
    <w:rsid w:val="2FF87D20"/>
    <w:rsid w:val="30073ABF"/>
    <w:rsid w:val="30077F63"/>
    <w:rsid w:val="300A7A53"/>
    <w:rsid w:val="301A5EE8"/>
    <w:rsid w:val="302C1778"/>
    <w:rsid w:val="304F36B8"/>
    <w:rsid w:val="30526D1E"/>
    <w:rsid w:val="305331A8"/>
    <w:rsid w:val="30564A47"/>
    <w:rsid w:val="307B50BE"/>
    <w:rsid w:val="30896BCA"/>
    <w:rsid w:val="308E7498"/>
    <w:rsid w:val="309072E9"/>
    <w:rsid w:val="3095556F"/>
    <w:rsid w:val="309E5534"/>
    <w:rsid w:val="30A6152A"/>
    <w:rsid w:val="30A71AE3"/>
    <w:rsid w:val="30D15C37"/>
    <w:rsid w:val="310B75DF"/>
    <w:rsid w:val="31155EBA"/>
    <w:rsid w:val="311C58EB"/>
    <w:rsid w:val="3126266B"/>
    <w:rsid w:val="312950A9"/>
    <w:rsid w:val="312E1520"/>
    <w:rsid w:val="313F54DB"/>
    <w:rsid w:val="3149110C"/>
    <w:rsid w:val="315076E8"/>
    <w:rsid w:val="315E0057"/>
    <w:rsid w:val="31AB491E"/>
    <w:rsid w:val="31B859B9"/>
    <w:rsid w:val="31C205E6"/>
    <w:rsid w:val="31C23E38"/>
    <w:rsid w:val="31E83DC4"/>
    <w:rsid w:val="31F462C5"/>
    <w:rsid w:val="31F91B2E"/>
    <w:rsid w:val="320048DA"/>
    <w:rsid w:val="32081C16"/>
    <w:rsid w:val="320C3CC2"/>
    <w:rsid w:val="3216448E"/>
    <w:rsid w:val="321D3A6E"/>
    <w:rsid w:val="32222E32"/>
    <w:rsid w:val="32230959"/>
    <w:rsid w:val="322E4B33"/>
    <w:rsid w:val="3234700A"/>
    <w:rsid w:val="323D1A1A"/>
    <w:rsid w:val="323E5F09"/>
    <w:rsid w:val="32432DA9"/>
    <w:rsid w:val="32456B21"/>
    <w:rsid w:val="324B5AAC"/>
    <w:rsid w:val="32537490"/>
    <w:rsid w:val="32584AA6"/>
    <w:rsid w:val="32655415"/>
    <w:rsid w:val="326F1DF0"/>
    <w:rsid w:val="32807B59"/>
    <w:rsid w:val="328E671A"/>
    <w:rsid w:val="32B24F97"/>
    <w:rsid w:val="32B819E9"/>
    <w:rsid w:val="32BF0681"/>
    <w:rsid w:val="32C1089D"/>
    <w:rsid w:val="32C91500"/>
    <w:rsid w:val="32D3237F"/>
    <w:rsid w:val="32D81743"/>
    <w:rsid w:val="32DA54BB"/>
    <w:rsid w:val="32DF6F75"/>
    <w:rsid w:val="32E97DF4"/>
    <w:rsid w:val="32FC18D5"/>
    <w:rsid w:val="32FF13C6"/>
    <w:rsid w:val="33016D1B"/>
    <w:rsid w:val="331210F9"/>
    <w:rsid w:val="33370B5F"/>
    <w:rsid w:val="33423660"/>
    <w:rsid w:val="33445809"/>
    <w:rsid w:val="33574D5E"/>
    <w:rsid w:val="33713745"/>
    <w:rsid w:val="33802506"/>
    <w:rsid w:val="33824D9F"/>
    <w:rsid w:val="33857583"/>
    <w:rsid w:val="338D69D1"/>
    <w:rsid w:val="3390201E"/>
    <w:rsid w:val="33945FB2"/>
    <w:rsid w:val="33976FC4"/>
    <w:rsid w:val="33A04957"/>
    <w:rsid w:val="33CD5020"/>
    <w:rsid w:val="33CE61C9"/>
    <w:rsid w:val="33D731CE"/>
    <w:rsid w:val="33DB1F35"/>
    <w:rsid w:val="33E60635"/>
    <w:rsid w:val="34044105"/>
    <w:rsid w:val="3414212A"/>
    <w:rsid w:val="343B0C9B"/>
    <w:rsid w:val="343C285B"/>
    <w:rsid w:val="344D4EAE"/>
    <w:rsid w:val="34796F56"/>
    <w:rsid w:val="348C606E"/>
    <w:rsid w:val="3491604D"/>
    <w:rsid w:val="34985384"/>
    <w:rsid w:val="34A00986"/>
    <w:rsid w:val="34C3047F"/>
    <w:rsid w:val="34D66156"/>
    <w:rsid w:val="34F2240D"/>
    <w:rsid w:val="3502519D"/>
    <w:rsid w:val="35046E2F"/>
    <w:rsid w:val="35145469"/>
    <w:rsid w:val="351F5D4F"/>
    <w:rsid w:val="352B0250"/>
    <w:rsid w:val="352E688A"/>
    <w:rsid w:val="35450647"/>
    <w:rsid w:val="35491A57"/>
    <w:rsid w:val="3549376D"/>
    <w:rsid w:val="356419B4"/>
    <w:rsid w:val="35847960"/>
    <w:rsid w:val="35B244CD"/>
    <w:rsid w:val="35BF4E3C"/>
    <w:rsid w:val="35DA7BBA"/>
    <w:rsid w:val="35F25212"/>
    <w:rsid w:val="35F928C1"/>
    <w:rsid w:val="35F9642A"/>
    <w:rsid w:val="3608233F"/>
    <w:rsid w:val="36160F00"/>
    <w:rsid w:val="36201D7F"/>
    <w:rsid w:val="36211653"/>
    <w:rsid w:val="362E0C50"/>
    <w:rsid w:val="36791BEA"/>
    <w:rsid w:val="36804B84"/>
    <w:rsid w:val="368C11C2"/>
    <w:rsid w:val="36963DEF"/>
    <w:rsid w:val="36C24BE4"/>
    <w:rsid w:val="36CC5A63"/>
    <w:rsid w:val="36E82953"/>
    <w:rsid w:val="36F05B92"/>
    <w:rsid w:val="36F22BE4"/>
    <w:rsid w:val="36FB3780"/>
    <w:rsid w:val="37023232"/>
    <w:rsid w:val="3715740A"/>
    <w:rsid w:val="371C0915"/>
    <w:rsid w:val="37276FF1"/>
    <w:rsid w:val="37461371"/>
    <w:rsid w:val="37503F9E"/>
    <w:rsid w:val="37557806"/>
    <w:rsid w:val="375F0685"/>
    <w:rsid w:val="375F2433"/>
    <w:rsid w:val="37747AD7"/>
    <w:rsid w:val="37935F2C"/>
    <w:rsid w:val="379C3687"/>
    <w:rsid w:val="37A03206"/>
    <w:rsid w:val="37A820BC"/>
    <w:rsid w:val="37AD13F0"/>
    <w:rsid w:val="37D2065B"/>
    <w:rsid w:val="37DF17C6"/>
    <w:rsid w:val="37E22DB7"/>
    <w:rsid w:val="37E40B8A"/>
    <w:rsid w:val="38082ACA"/>
    <w:rsid w:val="382471A5"/>
    <w:rsid w:val="384A6C3F"/>
    <w:rsid w:val="384C3881"/>
    <w:rsid w:val="384F24A7"/>
    <w:rsid w:val="38575800"/>
    <w:rsid w:val="38591909"/>
    <w:rsid w:val="386F2B4A"/>
    <w:rsid w:val="389B393F"/>
    <w:rsid w:val="389E6F8B"/>
    <w:rsid w:val="38BE1288"/>
    <w:rsid w:val="38D64977"/>
    <w:rsid w:val="38E1611D"/>
    <w:rsid w:val="38F65019"/>
    <w:rsid w:val="391F59D3"/>
    <w:rsid w:val="392F353B"/>
    <w:rsid w:val="3930052B"/>
    <w:rsid w:val="39375E0C"/>
    <w:rsid w:val="394613DC"/>
    <w:rsid w:val="394A2C6F"/>
    <w:rsid w:val="394B7113"/>
    <w:rsid w:val="3950718B"/>
    <w:rsid w:val="395B2946"/>
    <w:rsid w:val="39B01848"/>
    <w:rsid w:val="39B32F0A"/>
    <w:rsid w:val="39CB0253"/>
    <w:rsid w:val="39E8727C"/>
    <w:rsid w:val="39F71143"/>
    <w:rsid w:val="39FC21BB"/>
    <w:rsid w:val="3A0177D1"/>
    <w:rsid w:val="3A0C5DD8"/>
    <w:rsid w:val="3A10210A"/>
    <w:rsid w:val="3A1843F2"/>
    <w:rsid w:val="3A287454"/>
    <w:rsid w:val="3A322081"/>
    <w:rsid w:val="3A325BDD"/>
    <w:rsid w:val="3A40479E"/>
    <w:rsid w:val="3A4678DA"/>
    <w:rsid w:val="3A5D2D2E"/>
    <w:rsid w:val="3A6A05B7"/>
    <w:rsid w:val="3A704957"/>
    <w:rsid w:val="3A725FED"/>
    <w:rsid w:val="3A824DB6"/>
    <w:rsid w:val="3A847886"/>
    <w:rsid w:val="3AA33E39"/>
    <w:rsid w:val="3AC60BDB"/>
    <w:rsid w:val="3ACA050B"/>
    <w:rsid w:val="3B19343C"/>
    <w:rsid w:val="3B2841A1"/>
    <w:rsid w:val="3B302256"/>
    <w:rsid w:val="3B424545"/>
    <w:rsid w:val="3B497682"/>
    <w:rsid w:val="3B5536B7"/>
    <w:rsid w:val="3B5E481D"/>
    <w:rsid w:val="3B627792"/>
    <w:rsid w:val="3B892174"/>
    <w:rsid w:val="3B910D9B"/>
    <w:rsid w:val="3B9B5755"/>
    <w:rsid w:val="3B9C6DBC"/>
    <w:rsid w:val="3BC37EFA"/>
    <w:rsid w:val="3BCB0097"/>
    <w:rsid w:val="3BDA29D0"/>
    <w:rsid w:val="3BF21AC7"/>
    <w:rsid w:val="3BF35840"/>
    <w:rsid w:val="3BF5359A"/>
    <w:rsid w:val="3BFA6BCE"/>
    <w:rsid w:val="3BFC2946"/>
    <w:rsid w:val="3C094D67"/>
    <w:rsid w:val="3C120002"/>
    <w:rsid w:val="3C177780"/>
    <w:rsid w:val="3C300842"/>
    <w:rsid w:val="3C3B613A"/>
    <w:rsid w:val="3C402634"/>
    <w:rsid w:val="3C5938F5"/>
    <w:rsid w:val="3C771FCD"/>
    <w:rsid w:val="3C797AF3"/>
    <w:rsid w:val="3C7B4566"/>
    <w:rsid w:val="3C7E77FF"/>
    <w:rsid w:val="3C8666B4"/>
    <w:rsid w:val="3CA56B3A"/>
    <w:rsid w:val="3CA60B04"/>
    <w:rsid w:val="3CAF6A07"/>
    <w:rsid w:val="3CB65AFB"/>
    <w:rsid w:val="3CBB45AF"/>
    <w:rsid w:val="3CCF2E08"/>
    <w:rsid w:val="3CDC4F82"/>
    <w:rsid w:val="3CE07B72"/>
    <w:rsid w:val="3CF74EBC"/>
    <w:rsid w:val="3CFC1D8C"/>
    <w:rsid w:val="3D090E19"/>
    <w:rsid w:val="3D0A1093"/>
    <w:rsid w:val="3D1E4B3E"/>
    <w:rsid w:val="3D3C3A57"/>
    <w:rsid w:val="3D475E43"/>
    <w:rsid w:val="3D5440BC"/>
    <w:rsid w:val="3D5F13DF"/>
    <w:rsid w:val="3D6267D9"/>
    <w:rsid w:val="3D6B79B7"/>
    <w:rsid w:val="3D73588D"/>
    <w:rsid w:val="3D98669F"/>
    <w:rsid w:val="3D9D50EA"/>
    <w:rsid w:val="3DA07748"/>
    <w:rsid w:val="3DC30526"/>
    <w:rsid w:val="3DC76F84"/>
    <w:rsid w:val="3DD63CC0"/>
    <w:rsid w:val="3DF15DAF"/>
    <w:rsid w:val="3DF17B5D"/>
    <w:rsid w:val="3DF27A5D"/>
    <w:rsid w:val="3E1F46CA"/>
    <w:rsid w:val="3E271B2F"/>
    <w:rsid w:val="3E304B29"/>
    <w:rsid w:val="3E4203B8"/>
    <w:rsid w:val="3E4405D4"/>
    <w:rsid w:val="3E491747"/>
    <w:rsid w:val="3E526DD4"/>
    <w:rsid w:val="3E5A1D6B"/>
    <w:rsid w:val="3E624E14"/>
    <w:rsid w:val="3E6B3DB3"/>
    <w:rsid w:val="3E6F38A3"/>
    <w:rsid w:val="3E815385"/>
    <w:rsid w:val="3EA64DEB"/>
    <w:rsid w:val="3EAD41C2"/>
    <w:rsid w:val="3EB219E2"/>
    <w:rsid w:val="3EC15781"/>
    <w:rsid w:val="3ECD4456"/>
    <w:rsid w:val="3ED95AC0"/>
    <w:rsid w:val="3EEA4CD8"/>
    <w:rsid w:val="3EF5124C"/>
    <w:rsid w:val="3EF94F1B"/>
    <w:rsid w:val="3F125FDD"/>
    <w:rsid w:val="3F1E364E"/>
    <w:rsid w:val="3F261A88"/>
    <w:rsid w:val="3F311195"/>
    <w:rsid w:val="3F3A22F4"/>
    <w:rsid w:val="3F4343E8"/>
    <w:rsid w:val="3F6526BB"/>
    <w:rsid w:val="3F6762F6"/>
    <w:rsid w:val="3F8769CB"/>
    <w:rsid w:val="3F882A5A"/>
    <w:rsid w:val="3F890995"/>
    <w:rsid w:val="3F8A0269"/>
    <w:rsid w:val="3F93536F"/>
    <w:rsid w:val="3F963A56"/>
    <w:rsid w:val="3FA13519"/>
    <w:rsid w:val="3FAA4467"/>
    <w:rsid w:val="3FB5178A"/>
    <w:rsid w:val="3FBF45AE"/>
    <w:rsid w:val="3FCF2120"/>
    <w:rsid w:val="3FE40B01"/>
    <w:rsid w:val="3FEC2CD2"/>
    <w:rsid w:val="3FED15ED"/>
    <w:rsid w:val="3FEE25A6"/>
    <w:rsid w:val="401B7113"/>
    <w:rsid w:val="402E78BE"/>
    <w:rsid w:val="40534AFF"/>
    <w:rsid w:val="406960D0"/>
    <w:rsid w:val="40AB66E9"/>
    <w:rsid w:val="40B732E0"/>
    <w:rsid w:val="40DA6FCE"/>
    <w:rsid w:val="40E1210B"/>
    <w:rsid w:val="40E85247"/>
    <w:rsid w:val="40FE3436"/>
    <w:rsid w:val="41160006"/>
    <w:rsid w:val="41405083"/>
    <w:rsid w:val="4142704D"/>
    <w:rsid w:val="4148218A"/>
    <w:rsid w:val="41676AA7"/>
    <w:rsid w:val="419370C1"/>
    <w:rsid w:val="41AC44C7"/>
    <w:rsid w:val="41AE6491"/>
    <w:rsid w:val="41C3005B"/>
    <w:rsid w:val="41E41EB2"/>
    <w:rsid w:val="41EC0D67"/>
    <w:rsid w:val="421F113C"/>
    <w:rsid w:val="42263A84"/>
    <w:rsid w:val="42265807"/>
    <w:rsid w:val="42366486"/>
    <w:rsid w:val="42380C82"/>
    <w:rsid w:val="42546BC5"/>
    <w:rsid w:val="426E3E72"/>
    <w:rsid w:val="428216CB"/>
    <w:rsid w:val="42A15FF5"/>
    <w:rsid w:val="42BD2703"/>
    <w:rsid w:val="42C910A8"/>
    <w:rsid w:val="42CD0B98"/>
    <w:rsid w:val="42DC532B"/>
    <w:rsid w:val="42EB39C5"/>
    <w:rsid w:val="430049A5"/>
    <w:rsid w:val="43056584"/>
    <w:rsid w:val="43234C5C"/>
    <w:rsid w:val="43284021"/>
    <w:rsid w:val="432A0708"/>
    <w:rsid w:val="432A1E91"/>
    <w:rsid w:val="43373684"/>
    <w:rsid w:val="435412BA"/>
    <w:rsid w:val="43721740"/>
    <w:rsid w:val="43741014"/>
    <w:rsid w:val="437B2469"/>
    <w:rsid w:val="43813855"/>
    <w:rsid w:val="43A06F42"/>
    <w:rsid w:val="43AD4526"/>
    <w:rsid w:val="43BB30E7"/>
    <w:rsid w:val="43BC223E"/>
    <w:rsid w:val="43D804C6"/>
    <w:rsid w:val="43E22422"/>
    <w:rsid w:val="43E22EAF"/>
    <w:rsid w:val="43F263DD"/>
    <w:rsid w:val="43F42FE4"/>
    <w:rsid w:val="44000AFA"/>
    <w:rsid w:val="44014D2A"/>
    <w:rsid w:val="444906F3"/>
    <w:rsid w:val="44641089"/>
    <w:rsid w:val="447514E8"/>
    <w:rsid w:val="448C208A"/>
    <w:rsid w:val="44A1408B"/>
    <w:rsid w:val="44A45929"/>
    <w:rsid w:val="44AA50DF"/>
    <w:rsid w:val="44C0426D"/>
    <w:rsid w:val="44CE4DBF"/>
    <w:rsid w:val="44CE6E4A"/>
    <w:rsid w:val="44D3620E"/>
    <w:rsid w:val="44F73515"/>
    <w:rsid w:val="452B0458"/>
    <w:rsid w:val="45322F35"/>
    <w:rsid w:val="45401AF6"/>
    <w:rsid w:val="455C26A8"/>
    <w:rsid w:val="456B4699"/>
    <w:rsid w:val="456F23DB"/>
    <w:rsid w:val="457646E4"/>
    <w:rsid w:val="45921C25"/>
    <w:rsid w:val="45997458"/>
    <w:rsid w:val="459E05CA"/>
    <w:rsid w:val="45A11786"/>
    <w:rsid w:val="45AB08EE"/>
    <w:rsid w:val="45B015F7"/>
    <w:rsid w:val="45C76823"/>
    <w:rsid w:val="45C81AEB"/>
    <w:rsid w:val="45CA5863"/>
    <w:rsid w:val="45CC02F9"/>
    <w:rsid w:val="45D05F18"/>
    <w:rsid w:val="45D71D2E"/>
    <w:rsid w:val="45F621B4"/>
    <w:rsid w:val="460102A4"/>
    <w:rsid w:val="461E7703"/>
    <w:rsid w:val="462211FB"/>
    <w:rsid w:val="462E5DF2"/>
    <w:rsid w:val="46305FC2"/>
    <w:rsid w:val="463D6035"/>
    <w:rsid w:val="46472CE1"/>
    <w:rsid w:val="464E679F"/>
    <w:rsid w:val="46517D32"/>
    <w:rsid w:val="467001B9"/>
    <w:rsid w:val="469320F9"/>
    <w:rsid w:val="46C16C66"/>
    <w:rsid w:val="46C937A9"/>
    <w:rsid w:val="46CE4EDF"/>
    <w:rsid w:val="46D316D7"/>
    <w:rsid w:val="46E2098A"/>
    <w:rsid w:val="46E27F8B"/>
    <w:rsid w:val="46E6047B"/>
    <w:rsid w:val="46F200D0"/>
    <w:rsid w:val="46F42D7C"/>
    <w:rsid w:val="475075CC"/>
    <w:rsid w:val="476615BC"/>
    <w:rsid w:val="47663ADF"/>
    <w:rsid w:val="4774130B"/>
    <w:rsid w:val="47775577"/>
    <w:rsid w:val="477E2DF6"/>
    <w:rsid w:val="479C4FDD"/>
    <w:rsid w:val="47D14C87"/>
    <w:rsid w:val="48013092"/>
    <w:rsid w:val="48110E20"/>
    <w:rsid w:val="48152D7D"/>
    <w:rsid w:val="482254E2"/>
    <w:rsid w:val="483039B0"/>
    <w:rsid w:val="483376F0"/>
    <w:rsid w:val="483B65A4"/>
    <w:rsid w:val="484A67E7"/>
    <w:rsid w:val="484C07B1"/>
    <w:rsid w:val="4851098A"/>
    <w:rsid w:val="485D3EA7"/>
    <w:rsid w:val="48623B31"/>
    <w:rsid w:val="48627FD5"/>
    <w:rsid w:val="486A50DB"/>
    <w:rsid w:val="48875464"/>
    <w:rsid w:val="488C5052"/>
    <w:rsid w:val="488E0DCA"/>
    <w:rsid w:val="48A04659"/>
    <w:rsid w:val="48A51040"/>
    <w:rsid w:val="48AF3B27"/>
    <w:rsid w:val="48B84248"/>
    <w:rsid w:val="48C12F4D"/>
    <w:rsid w:val="48DD3AFF"/>
    <w:rsid w:val="48E912BC"/>
    <w:rsid w:val="4907292A"/>
    <w:rsid w:val="491A265E"/>
    <w:rsid w:val="4929464F"/>
    <w:rsid w:val="493F58E4"/>
    <w:rsid w:val="495C2902"/>
    <w:rsid w:val="49615366"/>
    <w:rsid w:val="496C1CA4"/>
    <w:rsid w:val="49731D6E"/>
    <w:rsid w:val="49804BB7"/>
    <w:rsid w:val="49877ECC"/>
    <w:rsid w:val="49885819"/>
    <w:rsid w:val="49900B72"/>
    <w:rsid w:val="499441BE"/>
    <w:rsid w:val="49950F48"/>
    <w:rsid w:val="49AB1508"/>
    <w:rsid w:val="49B900C8"/>
    <w:rsid w:val="49C03205"/>
    <w:rsid w:val="49E82B30"/>
    <w:rsid w:val="49E8450A"/>
    <w:rsid w:val="4A086E2D"/>
    <w:rsid w:val="4A0A0924"/>
    <w:rsid w:val="4A1C1C07"/>
    <w:rsid w:val="4A1C2405"/>
    <w:rsid w:val="4A225C6E"/>
    <w:rsid w:val="4A273284"/>
    <w:rsid w:val="4A2C089A"/>
    <w:rsid w:val="4A506004"/>
    <w:rsid w:val="4A5C2802"/>
    <w:rsid w:val="4A7D10F6"/>
    <w:rsid w:val="4A82495E"/>
    <w:rsid w:val="4A871F75"/>
    <w:rsid w:val="4A8B4E8A"/>
    <w:rsid w:val="4A9B5A20"/>
    <w:rsid w:val="4AA743C5"/>
    <w:rsid w:val="4AAB03F3"/>
    <w:rsid w:val="4AAE12AF"/>
    <w:rsid w:val="4ABD14F2"/>
    <w:rsid w:val="4AD30D16"/>
    <w:rsid w:val="4AD351BA"/>
    <w:rsid w:val="4AE744B9"/>
    <w:rsid w:val="4AF10490"/>
    <w:rsid w:val="4AF408CB"/>
    <w:rsid w:val="4AF56EDE"/>
    <w:rsid w:val="4AF869CF"/>
    <w:rsid w:val="4AFF483A"/>
    <w:rsid w:val="4B047121"/>
    <w:rsid w:val="4B0B5621"/>
    <w:rsid w:val="4B271062"/>
    <w:rsid w:val="4B2E23F0"/>
    <w:rsid w:val="4B337A07"/>
    <w:rsid w:val="4B355DB2"/>
    <w:rsid w:val="4B3F0159"/>
    <w:rsid w:val="4B4B6AFE"/>
    <w:rsid w:val="4B553E21"/>
    <w:rsid w:val="4B685902"/>
    <w:rsid w:val="4B8C0431"/>
    <w:rsid w:val="4B995E29"/>
    <w:rsid w:val="4B9F046A"/>
    <w:rsid w:val="4B9F263E"/>
    <w:rsid w:val="4BA6467C"/>
    <w:rsid w:val="4BBA1ED6"/>
    <w:rsid w:val="4BCD29DF"/>
    <w:rsid w:val="4BEC07D6"/>
    <w:rsid w:val="4BED4059"/>
    <w:rsid w:val="4BF21670"/>
    <w:rsid w:val="4BFE39EA"/>
    <w:rsid w:val="4C046181"/>
    <w:rsid w:val="4C0641B8"/>
    <w:rsid w:val="4C0B44E0"/>
    <w:rsid w:val="4C0F5D7E"/>
    <w:rsid w:val="4C12586E"/>
    <w:rsid w:val="4C1930A0"/>
    <w:rsid w:val="4C324162"/>
    <w:rsid w:val="4C382BA1"/>
    <w:rsid w:val="4C534957"/>
    <w:rsid w:val="4C57264F"/>
    <w:rsid w:val="4C6836E0"/>
    <w:rsid w:val="4CA11805"/>
    <w:rsid w:val="4CA33511"/>
    <w:rsid w:val="4CB021E0"/>
    <w:rsid w:val="4CB6693D"/>
    <w:rsid w:val="4CBD57DA"/>
    <w:rsid w:val="4CC72D68"/>
    <w:rsid w:val="4CD86AB8"/>
    <w:rsid w:val="4CF3569F"/>
    <w:rsid w:val="4CF60CEC"/>
    <w:rsid w:val="4D2B308B"/>
    <w:rsid w:val="4D2E492A"/>
    <w:rsid w:val="4D5A74CD"/>
    <w:rsid w:val="4D6E4AF2"/>
    <w:rsid w:val="4D826A23"/>
    <w:rsid w:val="4DAB41CC"/>
    <w:rsid w:val="4DBA61BD"/>
    <w:rsid w:val="4DDC5B53"/>
    <w:rsid w:val="4DDC6134"/>
    <w:rsid w:val="4DE60579"/>
    <w:rsid w:val="4E013DEC"/>
    <w:rsid w:val="4E16754C"/>
    <w:rsid w:val="4E2A3343"/>
    <w:rsid w:val="4E3046D1"/>
    <w:rsid w:val="4E347D1E"/>
    <w:rsid w:val="4E401BD4"/>
    <w:rsid w:val="4E616639"/>
    <w:rsid w:val="4E72119B"/>
    <w:rsid w:val="4E740A62"/>
    <w:rsid w:val="4E797E26"/>
    <w:rsid w:val="4E7E368F"/>
    <w:rsid w:val="4E834801"/>
    <w:rsid w:val="4E9746F2"/>
    <w:rsid w:val="4EC15808"/>
    <w:rsid w:val="4ED77331"/>
    <w:rsid w:val="4EDD6607"/>
    <w:rsid w:val="4EF120B3"/>
    <w:rsid w:val="4EF31A80"/>
    <w:rsid w:val="4EF70D4B"/>
    <w:rsid w:val="4EFE20DA"/>
    <w:rsid w:val="4F0B7DD0"/>
    <w:rsid w:val="4F15640A"/>
    <w:rsid w:val="4F2E6E63"/>
    <w:rsid w:val="4F440434"/>
    <w:rsid w:val="4F455A0A"/>
    <w:rsid w:val="4F524F63"/>
    <w:rsid w:val="4F5C74AF"/>
    <w:rsid w:val="4F81179C"/>
    <w:rsid w:val="4F8C5937"/>
    <w:rsid w:val="4F9273F2"/>
    <w:rsid w:val="4F93316A"/>
    <w:rsid w:val="4FA17635"/>
    <w:rsid w:val="4FAD5FDA"/>
    <w:rsid w:val="4FC11A85"/>
    <w:rsid w:val="4FDA2B47"/>
    <w:rsid w:val="4FE44895"/>
    <w:rsid w:val="4FE47521"/>
    <w:rsid w:val="4FEF6E0F"/>
    <w:rsid w:val="4FFA0AF3"/>
    <w:rsid w:val="50034F25"/>
    <w:rsid w:val="50045CAB"/>
    <w:rsid w:val="500E459E"/>
    <w:rsid w:val="50101608"/>
    <w:rsid w:val="501C6CBB"/>
    <w:rsid w:val="503E5415"/>
    <w:rsid w:val="50463D38"/>
    <w:rsid w:val="504E54BB"/>
    <w:rsid w:val="504F1F9E"/>
    <w:rsid w:val="504F52E3"/>
    <w:rsid w:val="505869A7"/>
    <w:rsid w:val="506A211C"/>
    <w:rsid w:val="5076286F"/>
    <w:rsid w:val="507C31F9"/>
    <w:rsid w:val="508C0F80"/>
    <w:rsid w:val="50A64631"/>
    <w:rsid w:val="50D26CD5"/>
    <w:rsid w:val="50FE2865"/>
    <w:rsid w:val="511F2F07"/>
    <w:rsid w:val="51360C8E"/>
    <w:rsid w:val="5139564B"/>
    <w:rsid w:val="514A7858"/>
    <w:rsid w:val="514E7348"/>
    <w:rsid w:val="515359E7"/>
    <w:rsid w:val="51556929"/>
    <w:rsid w:val="515626A1"/>
    <w:rsid w:val="517D5E7F"/>
    <w:rsid w:val="519F2EF0"/>
    <w:rsid w:val="51A056CA"/>
    <w:rsid w:val="51A90A23"/>
    <w:rsid w:val="51C8534D"/>
    <w:rsid w:val="51CF271B"/>
    <w:rsid w:val="5217598C"/>
    <w:rsid w:val="522307D5"/>
    <w:rsid w:val="52287B99"/>
    <w:rsid w:val="523A22F6"/>
    <w:rsid w:val="52670CDB"/>
    <w:rsid w:val="526F2713"/>
    <w:rsid w:val="528F56D0"/>
    <w:rsid w:val="52950FA7"/>
    <w:rsid w:val="52B11702"/>
    <w:rsid w:val="52B168B5"/>
    <w:rsid w:val="52B96A43"/>
    <w:rsid w:val="52C43465"/>
    <w:rsid w:val="52D01DD2"/>
    <w:rsid w:val="52E77A54"/>
    <w:rsid w:val="52EF6909"/>
    <w:rsid w:val="52FF26C4"/>
    <w:rsid w:val="532221D4"/>
    <w:rsid w:val="534722A1"/>
    <w:rsid w:val="534960D3"/>
    <w:rsid w:val="535D7D17"/>
    <w:rsid w:val="53603363"/>
    <w:rsid w:val="53672943"/>
    <w:rsid w:val="537F6A71"/>
    <w:rsid w:val="5391500C"/>
    <w:rsid w:val="5394300C"/>
    <w:rsid w:val="53964FD7"/>
    <w:rsid w:val="53994B4A"/>
    <w:rsid w:val="539A6875"/>
    <w:rsid w:val="53A47309"/>
    <w:rsid w:val="53C51418"/>
    <w:rsid w:val="53CD5D57"/>
    <w:rsid w:val="53E977FC"/>
    <w:rsid w:val="53F1220D"/>
    <w:rsid w:val="53F87A3F"/>
    <w:rsid w:val="53FD6E04"/>
    <w:rsid w:val="540939FA"/>
    <w:rsid w:val="542919A7"/>
    <w:rsid w:val="54322F51"/>
    <w:rsid w:val="54392AA7"/>
    <w:rsid w:val="543E2AAC"/>
    <w:rsid w:val="54776BB6"/>
    <w:rsid w:val="54B27BEE"/>
    <w:rsid w:val="54C811C0"/>
    <w:rsid w:val="54C86D74"/>
    <w:rsid w:val="54E12281"/>
    <w:rsid w:val="54F9581D"/>
    <w:rsid w:val="550F5041"/>
    <w:rsid w:val="551A698B"/>
    <w:rsid w:val="552A3C28"/>
    <w:rsid w:val="553056FF"/>
    <w:rsid w:val="553B5E36"/>
    <w:rsid w:val="553E5926"/>
    <w:rsid w:val="555313D1"/>
    <w:rsid w:val="5560589C"/>
    <w:rsid w:val="55711857"/>
    <w:rsid w:val="55AD7F5E"/>
    <w:rsid w:val="55C76D9E"/>
    <w:rsid w:val="55D818D6"/>
    <w:rsid w:val="55DD0C9B"/>
    <w:rsid w:val="55F04E72"/>
    <w:rsid w:val="55F67450"/>
    <w:rsid w:val="56010E2D"/>
    <w:rsid w:val="5627460C"/>
    <w:rsid w:val="563A7E9B"/>
    <w:rsid w:val="56794E67"/>
    <w:rsid w:val="567E2150"/>
    <w:rsid w:val="56903396"/>
    <w:rsid w:val="5697353F"/>
    <w:rsid w:val="56A63783"/>
    <w:rsid w:val="56B17AF5"/>
    <w:rsid w:val="56C34335"/>
    <w:rsid w:val="56D95906"/>
    <w:rsid w:val="56E83D9B"/>
    <w:rsid w:val="57156B42"/>
    <w:rsid w:val="57222D48"/>
    <w:rsid w:val="573568B4"/>
    <w:rsid w:val="574216FD"/>
    <w:rsid w:val="57541FAE"/>
    <w:rsid w:val="576C0528"/>
    <w:rsid w:val="579F7686"/>
    <w:rsid w:val="57BB7C77"/>
    <w:rsid w:val="57C46C30"/>
    <w:rsid w:val="57D1482F"/>
    <w:rsid w:val="57DC6DC5"/>
    <w:rsid w:val="57F32174"/>
    <w:rsid w:val="57F624E8"/>
    <w:rsid w:val="580C1D0B"/>
    <w:rsid w:val="582B2191"/>
    <w:rsid w:val="58304C51"/>
    <w:rsid w:val="5851771E"/>
    <w:rsid w:val="58550FBC"/>
    <w:rsid w:val="58586720"/>
    <w:rsid w:val="587873A1"/>
    <w:rsid w:val="587C0C3F"/>
    <w:rsid w:val="587D0513"/>
    <w:rsid w:val="587D49B7"/>
    <w:rsid w:val="588418A2"/>
    <w:rsid w:val="58906498"/>
    <w:rsid w:val="58931AE5"/>
    <w:rsid w:val="58935F89"/>
    <w:rsid w:val="58B32187"/>
    <w:rsid w:val="58BF6D7E"/>
    <w:rsid w:val="58C44394"/>
    <w:rsid w:val="58D04AE7"/>
    <w:rsid w:val="58D345D7"/>
    <w:rsid w:val="58E14F46"/>
    <w:rsid w:val="58E95BA9"/>
    <w:rsid w:val="58EB2799"/>
    <w:rsid w:val="58FD4AA4"/>
    <w:rsid w:val="59047483"/>
    <w:rsid w:val="591056C3"/>
    <w:rsid w:val="591272B2"/>
    <w:rsid w:val="59180F37"/>
    <w:rsid w:val="5919648E"/>
    <w:rsid w:val="59333DF2"/>
    <w:rsid w:val="59341731"/>
    <w:rsid w:val="593B3B26"/>
    <w:rsid w:val="593D49E8"/>
    <w:rsid w:val="5996085D"/>
    <w:rsid w:val="59972598"/>
    <w:rsid w:val="599A2804"/>
    <w:rsid w:val="599D7038"/>
    <w:rsid w:val="599E6993"/>
    <w:rsid w:val="59A37619"/>
    <w:rsid w:val="59AC10B0"/>
    <w:rsid w:val="59AD6BD6"/>
    <w:rsid w:val="59CC52AE"/>
    <w:rsid w:val="5A0C5FF2"/>
    <w:rsid w:val="5A2D7158"/>
    <w:rsid w:val="5A421A14"/>
    <w:rsid w:val="5A4B6B1B"/>
    <w:rsid w:val="5A630B4A"/>
    <w:rsid w:val="5A6711B8"/>
    <w:rsid w:val="5A673229"/>
    <w:rsid w:val="5A820063"/>
    <w:rsid w:val="5A8913F1"/>
    <w:rsid w:val="5A900AA5"/>
    <w:rsid w:val="5A9F6E67"/>
    <w:rsid w:val="5AAC1B82"/>
    <w:rsid w:val="5AB741B0"/>
    <w:rsid w:val="5ADA39FB"/>
    <w:rsid w:val="5AF0321E"/>
    <w:rsid w:val="5AF50835"/>
    <w:rsid w:val="5B2C7E15"/>
    <w:rsid w:val="5B316F3A"/>
    <w:rsid w:val="5B6531F3"/>
    <w:rsid w:val="5B7200D7"/>
    <w:rsid w:val="5B9718EC"/>
    <w:rsid w:val="5B9C33A6"/>
    <w:rsid w:val="5BC16969"/>
    <w:rsid w:val="5BCC54E9"/>
    <w:rsid w:val="5BDD7A7D"/>
    <w:rsid w:val="5BDE1544"/>
    <w:rsid w:val="5BDF7781"/>
    <w:rsid w:val="5BF258FE"/>
    <w:rsid w:val="5C05719D"/>
    <w:rsid w:val="5C0978F3"/>
    <w:rsid w:val="5C0A47B4"/>
    <w:rsid w:val="5C1473E0"/>
    <w:rsid w:val="5C1F025F"/>
    <w:rsid w:val="5C2B7F8E"/>
    <w:rsid w:val="5C3B496D"/>
    <w:rsid w:val="5C471564"/>
    <w:rsid w:val="5C4F21C6"/>
    <w:rsid w:val="5C540183"/>
    <w:rsid w:val="5C5617A7"/>
    <w:rsid w:val="5C8F1D6F"/>
    <w:rsid w:val="5C935987"/>
    <w:rsid w:val="5C942889"/>
    <w:rsid w:val="5CA13D9E"/>
    <w:rsid w:val="5CC96DFB"/>
    <w:rsid w:val="5CCE758F"/>
    <w:rsid w:val="5CD32DF8"/>
    <w:rsid w:val="5CE86A6E"/>
    <w:rsid w:val="5CE9261B"/>
    <w:rsid w:val="5CF05758"/>
    <w:rsid w:val="5D192F00"/>
    <w:rsid w:val="5D1A4A34"/>
    <w:rsid w:val="5D1F3B83"/>
    <w:rsid w:val="5D261179"/>
    <w:rsid w:val="5D2D4A64"/>
    <w:rsid w:val="5D375134"/>
    <w:rsid w:val="5D3F048D"/>
    <w:rsid w:val="5D5C2DED"/>
    <w:rsid w:val="5D683540"/>
    <w:rsid w:val="5D6879E4"/>
    <w:rsid w:val="5D746389"/>
    <w:rsid w:val="5D942587"/>
    <w:rsid w:val="5D9562FF"/>
    <w:rsid w:val="5D9B1B67"/>
    <w:rsid w:val="5DB22A0D"/>
    <w:rsid w:val="5DCA5944"/>
    <w:rsid w:val="5DCC5CB3"/>
    <w:rsid w:val="5DF35D52"/>
    <w:rsid w:val="5DF41277"/>
    <w:rsid w:val="5E023994"/>
    <w:rsid w:val="5E190CDE"/>
    <w:rsid w:val="5E3279E2"/>
    <w:rsid w:val="5E343D6A"/>
    <w:rsid w:val="5E3E0745"/>
    <w:rsid w:val="5E453881"/>
    <w:rsid w:val="5E4D5B68"/>
    <w:rsid w:val="5E5166CA"/>
    <w:rsid w:val="5E5B12F6"/>
    <w:rsid w:val="5E602469"/>
    <w:rsid w:val="5E624433"/>
    <w:rsid w:val="5E696A47"/>
    <w:rsid w:val="5E710B1A"/>
    <w:rsid w:val="5E81694D"/>
    <w:rsid w:val="5E93283E"/>
    <w:rsid w:val="5E9B5B97"/>
    <w:rsid w:val="5E9B7945"/>
    <w:rsid w:val="5EA54320"/>
    <w:rsid w:val="5EAC3F77"/>
    <w:rsid w:val="5EAE5999"/>
    <w:rsid w:val="5ED9035A"/>
    <w:rsid w:val="5EE945D1"/>
    <w:rsid w:val="5EFC0686"/>
    <w:rsid w:val="5F36141C"/>
    <w:rsid w:val="5F3874EC"/>
    <w:rsid w:val="5F4E0840"/>
    <w:rsid w:val="5F5A7800"/>
    <w:rsid w:val="5F7F7267"/>
    <w:rsid w:val="5F9C5723"/>
    <w:rsid w:val="5FBB029F"/>
    <w:rsid w:val="5FBD4DB7"/>
    <w:rsid w:val="5FCA6734"/>
    <w:rsid w:val="5FD255E8"/>
    <w:rsid w:val="5FD41360"/>
    <w:rsid w:val="5FDA449D"/>
    <w:rsid w:val="5FF71572"/>
    <w:rsid w:val="5FFC2665"/>
    <w:rsid w:val="60140F41"/>
    <w:rsid w:val="603B13E0"/>
    <w:rsid w:val="60457B68"/>
    <w:rsid w:val="60597AB8"/>
    <w:rsid w:val="6065645C"/>
    <w:rsid w:val="607E4DC9"/>
    <w:rsid w:val="60805044"/>
    <w:rsid w:val="609B59DA"/>
    <w:rsid w:val="609E54CA"/>
    <w:rsid w:val="60A56859"/>
    <w:rsid w:val="60AE7E03"/>
    <w:rsid w:val="60D31618"/>
    <w:rsid w:val="60E750C3"/>
    <w:rsid w:val="60E92BEA"/>
    <w:rsid w:val="60F344DB"/>
    <w:rsid w:val="6106379C"/>
    <w:rsid w:val="61241E74"/>
    <w:rsid w:val="61461DEA"/>
    <w:rsid w:val="6170330B"/>
    <w:rsid w:val="619A3EE4"/>
    <w:rsid w:val="619C371C"/>
    <w:rsid w:val="61A84853"/>
    <w:rsid w:val="61B01959"/>
    <w:rsid w:val="61BC68BE"/>
    <w:rsid w:val="61C40F61"/>
    <w:rsid w:val="61D92C5E"/>
    <w:rsid w:val="620E0B76"/>
    <w:rsid w:val="621912AD"/>
    <w:rsid w:val="622552E5"/>
    <w:rsid w:val="622F6D22"/>
    <w:rsid w:val="62373879"/>
    <w:rsid w:val="625F01AE"/>
    <w:rsid w:val="628250A4"/>
    <w:rsid w:val="62856942"/>
    <w:rsid w:val="628C5F22"/>
    <w:rsid w:val="62917095"/>
    <w:rsid w:val="629B5716"/>
    <w:rsid w:val="62AC3ECF"/>
    <w:rsid w:val="62BF731E"/>
    <w:rsid w:val="62CA25A7"/>
    <w:rsid w:val="62DD677E"/>
    <w:rsid w:val="62EB49E5"/>
    <w:rsid w:val="62ED41CF"/>
    <w:rsid w:val="63155F18"/>
    <w:rsid w:val="6320666B"/>
    <w:rsid w:val="63224191"/>
    <w:rsid w:val="632B573B"/>
    <w:rsid w:val="633F11E7"/>
    <w:rsid w:val="636514DC"/>
    <w:rsid w:val="63674A93"/>
    <w:rsid w:val="636B1FDC"/>
    <w:rsid w:val="637846F9"/>
    <w:rsid w:val="637D1D0F"/>
    <w:rsid w:val="639F3A33"/>
    <w:rsid w:val="63D062E3"/>
    <w:rsid w:val="63D17EA6"/>
    <w:rsid w:val="63E31B72"/>
    <w:rsid w:val="63E853DA"/>
    <w:rsid w:val="63F55D49"/>
    <w:rsid w:val="63FE4BFE"/>
    <w:rsid w:val="641066DF"/>
    <w:rsid w:val="641461CF"/>
    <w:rsid w:val="64236413"/>
    <w:rsid w:val="64314196"/>
    <w:rsid w:val="643248A8"/>
    <w:rsid w:val="64446389"/>
    <w:rsid w:val="64540CC2"/>
    <w:rsid w:val="64573015"/>
    <w:rsid w:val="64586A14"/>
    <w:rsid w:val="645A4775"/>
    <w:rsid w:val="646D3B32"/>
    <w:rsid w:val="6474044C"/>
    <w:rsid w:val="648570CD"/>
    <w:rsid w:val="64A15589"/>
    <w:rsid w:val="64A710E1"/>
    <w:rsid w:val="64B11C70"/>
    <w:rsid w:val="64B22050"/>
    <w:rsid w:val="64B928D3"/>
    <w:rsid w:val="65042353"/>
    <w:rsid w:val="65047877"/>
    <w:rsid w:val="651022C8"/>
    <w:rsid w:val="653F54CE"/>
    <w:rsid w:val="654523B9"/>
    <w:rsid w:val="654C7BEB"/>
    <w:rsid w:val="657113A7"/>
    <w:rsid w:val="6581134A"/>
    <w:rsid w:val="65815AE7"/>
    <w:rsid w:val="658253BB"/>
    <w:rsid w:val="65842EE1"/>
    <w:rsid w:val="65953340"/>
    <w:rsid w:val="65956E9C"/>
    <w:rsid w:val="65A944F3"/>
    <w:rsid w:val="65AB66C0"/>
    <w:rsid w:val="65AD4A5B"/>
    <w:rsid w:val="65B03B2C"/>
    <w:rsid w:val="65B17A4E"/>
    <w:rsid w:val="65B85280"/>
    <w:rsid w:val="65C634F9"/>
    <w:rsid w:val="65D45C1E"/>
    <w:rsid w:val="65E120E1"/>
    <w:rsid w:val="65E86CEA"/>
    <w:rsid w:val="65ED6CD8"/>
    <w:rsid w:val="65F21726"/>
    <w:rsid w:val="660814AF"/>
    <w:rsid w:val="660D737A"/>
    <w:rsid w:val="660E6C4E"/>
    <w:rsid w:val="661A24CB"/>
    <w:rsid w:val="662D5327"/>
    <w:rsid w:val="663366B5"/>
    <w:rsid w:val="66631B4F"/>
    <w:rsid w:val="666377F6"/>
    <w:rsid w:val="66855163"/>
    <w:rsid w:val="66AD63BC"/>
    <w:rsid w:val="66C739CD"/>
    <w:rsid w:val="66CD5543"/>
    <w:rsid w:val="66E0683D"/>
    <w:rsid w:val="67220C03"/>
    <w:rsid w:val="675132DC"/>
    <w:rsid w:val="675B4B9C"/>
    <w:rsid w:val="676034DA"/>
    <w:rsid w:val="6760797E"/>
    <w:rsid w:val="6762762C"/>
    <w:rsid w:val="676A4358"/>
    <w:rsid w:val="67874F0A"/>
    <w:rsid w:val="67A61834"/>
    <w:rsid w:val="67BD26DA"/>
    <w:rsid w:val="67CD5684"/>
    <w:rsid w:val="67D363A2"/>
    <w:rsid w:val="67EE209D"/>
    <w:rsid w:val="67FA56DC"/>
    <w:rsid w:val="67FF407E"/>
    <w:rsid w:val="68263F7D"/>
    <w:rsid w:val="682E5386"/>
    <w:rsid w:val="683E7CBF"/>
    <w:rsid w:val="68405992"/>
    <w:rsid w:val="6861575B"/>
    <w:rsid w:val="688A7398"/>
    <w:rsid w:val="688B0A2A"/>
    <w:rsid w:val="68A1024E"/>
    <w:rsid w:val="68AA0EB0"/>
    <w:rsid w:val="68C31F72"/>
    <w:rsid w:val="68E52AE2"/>
    <w:rsid w:val="68E5638C"/>
    <w:rsid w:val="68FC711A"/>
    <w:rsid w:val="6904205E"/>
    <w:rsid w:val="691C78D4"/>
    <w:rsid w:val="69561038"/>
    <w:rsid w:val="69566A51"/>
    <w:rsid w:val="69677A83"/>
    <w:rsid w:val="69765236"/>
    <w:rsid w:val="69847953"/>
    <w:rsid w:val="699D0A15"/>
    <w:rsid w:val="69A2602B"/>
    <w:rsid w:val="69AE7D90"/>
    <w:rsid w:val="69BD2E65"/>
    <w:rsid w:val="69BE2739"/>
    <w:rsid w:val="69C3043D"/>
    <w:rsid w:val="69D01F17"/>
    <w:rsid w:val="69D65CD5"/>
    <w:rsid w:val="69DD3507"/>
    <w:rsid w:val="69DF2DDC"/>
    <w:rsid w:val="69E22206"/>
    <w:rsid w:val="69FA3D78"/>
    <w:rsid w:val="69FF21DE"/>
    <w:rsid w:val="6A3A79B6"/>
    <w:rsid w:val="6A3C1FDC"/>
    <w:rsid w:val="6A3D3FA6"/>
    <w:rsid w:val="6A415844"/>
    <w:rsid w:val="6A633A0D"/>
    <w:rsid w:val="6A7C062B"/>
    <w:rsid w:val="6A856939"/>
    <w:rsid w:val="6AC326FD"/>
    <w:rsid w:val="6AC344AB"/>
    <w:rsid w:val="6ACD0E86"/>
    <w:rsid w:val="6AD246EE"/>
    <w:rsid w:val="6AEA5EDC"/>
    <w:rsid w:val="6AF40B09"/>
    <w:rsid w:val="6AF9611F"/>
    <w:rsid w:val="6AFC5C0F"/>
    <w:rsid w:val="6B586790"/>
    <w:rsid w:val="6B5E37B8"/>
    <w:rsid w:val="6B607255"/>
    <w:rsid w:val="6B92206E"/>
    <w:rsid w:val="6BA51E03"/>
    <w:rsid w:val="6BB472B6"/>
    <w:rsid w:val="6BC85EF8"/>
    <w:rsid w:val="6BD10E4A"/>
    <w:rsid w:val="6C00528B"/>
    <w:rsid w:val="6C066D46"/>
    <w:rsid w:val="6C15502B"/>
    <w:rsid w:val="6C225202"/>
    <w:rsid w:val="6C295737"/>
    <w:rsid w:val="6C492AC1"/>
    <w:rsid w:val="6C6E48EB"/>
    <w:rsid w:val="6C7071C8"/>
    <w:rsid w:val="6C72322A"/>
    <w:rsid w:val="6C7A6DEC"/>
    <w:rsid w:val="6C7D4B2E"/>
    <w:rsid w:val="6C861C34"/>
    <w:rsid w:val="6CA4030D"/>
    <w:rsid w:val="6CC22CAF"/>
    <w:rsid w:val="6CD40BF2"/>
    <w:rsid w:val="6CDA1F0A"/>
    <w:rsid w:val="6CED3A62"/>
    <w:rsid w:val="6D0668D1"/>
    <w:rsid w:val="6D1F22C8"/>
    <w:rsid w:val="6D301BA0"/>
    <w:rsid w:val="6D5175C4"/>
    <w:rsid w:val="6D713E6A"/>
    <w:rsid w:val="6D7944C1"/>
    <w:rsid w:val="6D7A277D"/>
    <w:rsid w:val="6D7E46BA"/>
    <w:rsid w:val="6D7E6895"/>
    <w:rsid w:val="6D85443E"/>
    <w:rsid w:val="6D9914F3"/>
    <w:rsid w:val="6DA32372"/>
    <w:rsid w:val="6DA7777B"/>
    <w:rsid w:val="6DA9759F"/>
    <w:rsid w:val="6DAB2AD4"/>
    <w:rsid w:val="6DAE1443"/>
    <w:rsid w:val="6DBD3434"/>
    <w:rsid w:val="6DC04CD2"/>
    <w:rsid w:val="6DE47C82"/>
    <w:rsid w:val="6DE5298B"/>
    <w:rsid w:val="6DEA1D4F"/>
    <w:rsid w:val="6DEF7365"/>
    <w:rsid w:val="6DF332FA"/>
    <w:rsid w:val="6DFE57FA"/>
    <w:rsid w:val="6E0C43BB"/>
    <w:rsid w:val="6E1374F8"/>
    <w:rsid w:val="6E1B44FC"/>
    <w:rsid w:val="6E423939"/>
    <w:rsid w:val="6E4B2CBE"/>
    <w:rsid w:val="6E4E0530"/>
    <w:rsid w:val="6E5378F4"/>
    <w:rsid w:val="6E7715B6"/>
    <w:rsid w:val="6E781A51"/>
    <w:rsid w:val="6EB72579"/>
    <w:rsid w:val="6EB83BFB"/>
    <w:rsid w:val="6ED529FF"/>
    <w:rsid w:val="6EF30AC3"/>
    <w:rsid w:val="6F1E479D"/>
    <w:rsid w:val="6F224990"/>
    <w:rsid w:val="6F2B6AC3"/>
    <w:rsid w:val="6F2E1756"/>
    <w:rsid w:val="6F416E22"/>
    <w:rsid w:val="6F5A13A1"/>
    <w:rsid w:val="6F616041"/>
    <w:rsid w:val="6F8B1310"/>
    <w:rsid w:val="6F8F2BAE"/>
    <w:rsid w:val="6FAC2E77"/>
    <w:rsid w:val="6FAF4FFE"/>
    <w:rsid w:val="6FD66A2F"/>
    <w:rsid w:val="6FEB2D87"/>
    <w:rsid w:val="6FF4154B"/>
    <w:rsid w:val="70025A76"/>
    <w:rsid w:val="70115CB9"/>
    <w:rsid w:val="70180FCA"/>
    <w:rsid w:val="701A0CD9"/>
    <w:rsid w:val="70233F52"/>
    <w:rsid w:val="70247288"/>
    <w:rsid w:val="70293003"/>
    <w:rsid w:val="702D62CA"/>
    <w:rsid w:val="70422316"/>
    <w:rsid w:val="70425E72"/>
    <w:rsid w:val="70485E9C"/>
    <w:rsid w:val="70706E37"/>
    <w:rsid w:val="709E1A33"/>
    <w:rsid w:val="70A64653"/>
    <w:rsid w:val="70C20D61"/>
    <w:rsid w:val="70C96594"/>
    <w:rsid w:val="70D50A94"/>
    <w:rsid w:val="70D56CE6"/>
    <w:rsid w:val="70F03B20"/>
    <w:rsid w:val="70F17AB4"/>
    <w:rsid w:val="70F514DC"/>
    <w:rsid w:val="70F96E79"/>
    <w:rsid w:val="710870BC"/>
    <w:rsid w:val="71145A61"/>
    <w:rsid w:val="713F23B2"/>
    <w:rsid w:val="714329FD"/>
    <w:rsid w:val="71571495"/>
    <w:rsid w:val="715C2F64"/>
    <w:rsid w:val="716B13F9"/>
    <w:rsid w:val="717E112C"/>
    <w:rsid w:val="718274E2"/>
    <w:rsid w:val="71A010A2"/>
    <w:rsid w:val="71A05546"/>
    <w:rsid w:val="71CF7BDA"/>
    <w:rsid w:val="71F238C8"/>
    <w:rsid w:val="71F907B3"/>
    <w:rsid w:val="72133772"/>
    <w:rsid w:val="7214383E"/>
    <w:rsid w:val="721E4EBE"/>
    <w:rsid w:val="721F6423"/>
    <w:rsid w:val="722241AD"/>
    <w:rsid w:val="722F68CA"/>
    <w:rsid w:val="72313BFB"/>
    <w:rsid w:val="72366BCE"/>
    <w:rsid w:val="723F6B0D"/>
    <w:rsid w:val="724539F8"/>
    <w:rsid w:val="726931BB"/>
    <w:rsid w:val="727B1B10"/>
    <w:rsid w:val="727B38BE"/>
    <w:rsid w:val="727B417F"/>
    <w:rsid w:val="728F1117"/>
    <w:rsid w:val="7292327F"/>
    <w:rsid w:val="72966949"/>
    <w:rsid w:val="72A921D9"/>
    <w:rsid w:val="72BD3ED6"/>
    <w:rsid w:val="72CB03A1"/>
    <w:rsid w:val="72CD242F"/>
    <w:rsid w:val="72E25622"/>
    <w:rsid w:val="72F1592E"/>
    <w:rsid w:val="72FB60AA"/>
    <w:rsid w:val="73090EC9"/>
    <w:rsid w:val="7312211B"/>
    <w:rsid w:val="731F22B3"/>
    <w:rsid w:val="735A7977"/>
    <w:rsid w:val="735F030D"/>
    <w:rsid w:val="73683E42"/>
    <w:rsid w:val="73832A2A"/>
    <w:rsid w:val="7386076C"/>
    <w:rsid w:val="73946CBB"/>
    <w:rsid w:val="739C1D3D"/>
    <w:rsid w:val="73C00B06"/>
    <w:rsid w:val="73CF3181"/>
    <w:rsid w:val="73DB0AB8"/>
    <w:rsid w:val="740D076E"/>
    <w:rsid w:val="741C4C2C"/>
    <w:rsid w:val="742F2BB2"/>
    <w:rsid w:val="742F3DB3"/>
    <w:rsid w:val="743D7D20"/>
    <w:rsid w:val="74561EEC"/>
    <w:rsid w:val="746A1E3C"/>
    <w:rsid w:val="74750BE2"/>
    <w:rsid w:val="749869A9"/>
    <w:rsid w:val="74A42250"/>
    <w:rsid w:val="74C27582"/>
    <w:rsid w:val="74C652D0"/>
    <w:rsid w:val="74C755EA"/>
    <w:rsid w:val="74CC0400"/>
    <w:rsid w:val="75161DBA"/>
    <w:rsid w:val="7524023C"/>
    <w:rsid w:val="753F5C5B"/>
    <w:rsid w:val="755A1EB0"/>
    <w:rsid w:val="75785E1C"/>
    <w:rsid w:val="75812F99"/>
    <w:rsid w:val="758B3E18"/>
    <w:rsid w:val="75AB270C"/>
    <w:rsid w:val="75B03AB5"/>
    <w:rsid w:val="75DA55C9"/>
    <w:rsid w:val="75E30DB9"/>
    <w:rsid w:val="75EB48B6"/>
    <w:rsid w:val="760E1CC3"/>
    <w:rsid w:val="762070B4"/>
    <w:rsid w:val="76277FE4"/>
    <w:rsid w:val="76335C9A"/>
    <w:rsid w:val="76361FD5"/>
    <w:rsid w:val="76373F9F"/>
    <w:rsid w:val="7638027C"/>
    <w:rsid w:val="763F0DC1"/>
    <w:rsid w:val="764467DA"/>
    <w:rsid w:val="764741E2"/>
    <w:rsid w:val="76565FBE"/>
    <w:rsid w:val="765E777E"/>
    <w:rsid w:val="766C59F7"/>
    <w:rsid w:val="768A2321"/>
    <w:rsid w:val="76966F18"/>
    <w:rsid w:val="76CF41D8"/>
    <w:rsid w:val="77100A78"/>
    <w:rsid w:val="77475580"/>
    <w:rsid w:val="779276DF"/>
    <w:rsid w:val="779B7DB1"/>
    <w:rsid w:val="77AE4BAE"/>
    <w:rsid w:val="77B54005"/>
    <w:rsid w:val="77DC0EBF"/>
    <w:rsid w:val="78027865"/>
    <w:rsid w:val="780B56E4"/>
    <w:rsid w:val="78202F3D"/>
    <w:rsid w:val="782E7232"/>
    <w:rsid w:val="783764D9"/>
    <w:rsid w:val="78395DAD"/>
    <w:rsid w:val="78453F3D"/>
    <w:rsid w:val="78544995"/>
    <w:rsid w:val="785B21C7"/>
    <w:rsid w:val="78615304"/>
    <w:rsid w:val="78680440"/>
    <w:rsid w:val="78A376CA"/>
    <w:rsid w:val="78BE4BF4"/>
    <w:rsid w:val="78C51361"/>
    <w:rsid w:val="78D13BAA"/>
    <w:rsid w:val="78D15A25"/>
    <w:rsid w:val="78DD3DE6"/>
    <w:rsid w:val="78DF4BA6"/>
    <w:rsid w:val="78E0091E"/>
    <w:rsid w:val="78E8332F"/>
    <w:rsid w:val="78EA354B"/>
    <w:rsid w:val="78EF46BD"/>
    <w:rsid w:val="793538F1"/>
    <w:rsid w:val="79440EAD"/>
    <w:rsid w:val="794877CE"/>
    <w:rsid w:val="794C1B10"/>
    <w:rsid w:val="795135CA"/>
    <w:rsid w:val="795D3D1D"/>
    <w:rsid w:val="79815C5D"/>
    <w:rsid w:val="7984610C"/>
    <w:rsid w:val="799139C7"/>
    <w:rsid w:val="79AC0800"/>
    <w:rsid w:val="79D833A4"/>
    <w:rsid w:val="79FE105C"/>
    <w:rsid w:val="7A0C74F9"/>
    <w:rsid w:val="7A2F56B9"/>
    <w:rsid w:val="7A3C1334"/>
    <w:rsid w:val="7A3C3932"/>
    <w:rsid w:val="7A41363F"/>
    <w:rsid w:val="7A431165"/>
    <w:rsid w:val="7A574C10"/>
    <w:rsid w:val="7A5A200A"/>
    <w:rsid w:val="7A5E5F9F"/>
    <w:rsid w:val="7A776AED"/>
    <w:rsid w:val="7A9814B1"/>
    <w:rsid w:val="7AD03584"/>
    <w:rsid w:val="7AE9619A"/>
    <w:rsid w:val="7B113E0F"/>
    <w:rsid w:val="7B160E6B"/>
    <w:rsid w:val="7B18439F"/>
    <w:rsid w:val="7B197943"/>
    <w:rsid w:val="7B1F1E73"/>
    <w:rsid w:val="7B2C39A7"/>
    <w:rsid w:val="7B303CC7"/>
    <w:rsid w:val="7B38234C"/>
    <w:rsid w:val="7B446F42"/>
    <w:rsid w:val="7B7605EC"/>
    <w:rsid w:val="7B7D4202"/>
    <w:rsid w:val="7B833945"/>
    <w:rsid w:val="7B871525"/>
    <w:rsid w:val="7B871B97"/>
    <w:rsid w:val="7BAE4E6F"/>
    <w:rsid w:val="7BBC11CF"/>
    <w:rsid w:val="7BBC49BA"/>
    <w:rsid w:val="7BDD0655"/>
    <w:rsid w:val="7BE129E3"/>
    <w:rsid w:val="7BE95D3C"/>
    <w:rsid w:val="7BEB3862"/>
    <w:rsid w:val="7BF84C42"/>
    <w:rsid w:val="7C130F60"/>
    <w:rsid w:val="7C1773FE"/>
    <w:rsid w:val="7C2B0361"/>
    <w:rsid w:val="7C350F81"/>
    <w:rsid w:val="7C374CF9"/>
    <w:rsid w:val="7C570EF7"/>
    <w:rsid w:val="7C591491"/>
    <w:rsid w:val="7C5E2286"/>
    <w:rsid w:val="7C6000DE"/>
    <w:rsid w:val="7C6D4277"/>
    <w:rsid w:val="7C9061B7"/>
    <w:rsid w:val="7C9E1BC2"/>
    <w:rsid w:val="7CB87469"/>
    <w:rsid w:val="7CDB38D7"/>
    <w:rsid w:val="7CF343DF"/>
    <w:rsid w:val="7CF404F4"/>
    <w:rsid w:val="7CF95B0B"/>
    <w:rsid w:val="7D0F3580"/>
    <w:rsid w:val="7D1C6666"/>
    <w:rsid w:val="7D250FF6"/>
    <w:rsid w:val="7D2A660C"/>
    <w:rsid w:val="7D2E3796"/>
    <w:rsid w:val="7D2E7EAA"/>
    <w:rsid w:val="7D311748"/>
    <w:rsid w:val="7D3354C1"/>
    <w:rsid w:val="7D3F74A9"/>
    <w:rsid w:val="7D466BDF"/>
    <w:rsid w:val="7D474AC8"/>
    <w:rsid w:val="7D637428"/>
    <w:rsid w:val="7D8A1472"/>
    <w:rsid w:val="7D8B6EC0"/>
    <w:rsid w:val="7DA20E9C"/>
    <w:rsid w:val="7DAA2AE0"/>
    <w:rsid w:val="7DB66715"/>
    <w:rsid w:val="7DBD4D8A"/>
    <w:rsid w:val="7DC16442"/>
    <w:rsid w:val="7DC51E91"/>
    <w:rsid w:val="7DCD5F7C"/>
    <w:rsid w:val="7DDA1DE0"/>
    <w:rsid w:val="7DEF726A"/>
    <w:rsid w:val="7DFC3B04"/>
    <w:rsid w:val="7E4236B4"/>
    <w:rsid w:val="7E470AF8"/>
    <w:rsid w:val="7E4B05E8"/>
    <w:rsid w:val="7E4F5C8E"/>
    <w:rsid w:val="7E5C0A47"/>
    <w:rsid w:val="7E5C3668"/>
    <w:rsid w:val="7E6E42D6"/>
    <w:rsid w:val="7E70299A"/>
    <w:rsid w:val="7E7E6C0F"/>
    <w:rsid w:val="7E7F0292"/>
    <w:rsid w:val="7E924469"/>
    <w:rsid w:val="7E926217"/>
    <w:rsid w:val="7ECA3D68"/>
    <w:rsid w:val="7ED95BF4"/>
    <w:rsid w:val="7EDB4A66"/>
    <w:rsid w:val="7EE747B5"/>
    <w:rsid w:val="7EF23159"/>
    <w:rsid w:val="7EF96681"/>
    <w:rsid w:val="7F224467"/>
    <w:rsid w:val="7F363046"/>
    <w:rsid w:val="7F3B065C"/>
    <w:rsid w:val="7F3B240A"/>
    <w:rsid w:val="7F4145BF"/>
    <w:rsid w:val="7F420F53"/>
    <w:rsid w:val="7F4F235A"/>
    <w:rsid w:val="7F7122D0"/>
    <w:rsid w:val="7F721BA4"/>
    <w:rsid w:val="7F73429A"/>
    <w:rsid w:val="7F947D6D"/>
    <w:rsid w:val="7FAB301E"/>
    <w:rsid w:val="7FAE52D2"/>
    <w:rsid w:val="7FB126CD"/>
    <w:rsid w:val="7FBB179D"/>
    <w:rsid w:val="7FC81377"/>
    <w:rsid w:val="7FCE7723"/>
    <w:rsid w:val="7FE64A6C"/>
    <w:rsid w:val="7FFE11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qFormat="1" w:uiPriority="99" w:semiHidden="0" w:name="header"/>
    <w:lsdException w:qFormat="1" w:uiPriority="99" w:semiHidden="0" w:name="footer"/>
    <w:lsdException w:qFormat="1" w:unhideWhenUsed="0" w:uiPriority="0" w:name="index heading"/>
    <w:lsdException w:qFormat="1" w:unhideWhenUsed="0" w:uiPriority="99" w:semiHidden="0" w:name="caption"/>
    <w:lsdException w:qFormat="1" w:uiPriority="99"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9"/>
    <w:pPr>
      <w:keepNext/>
      <w:keepLines/>
      <w:jc w:val="left"/>
      <w:outlineLvl w:val="0"/>
    </w:pPr>
    <w:rPr>
      <w:rFonts w:ascii="Tahoma" w:hAnsi="Tahoma"/>
      <w:b/>
      <w:bCs/>
      <w:kern w:val="44"/>
      <w:szCs w:val="44"/>
    </w:rPr>
  </w:style>
  <w:style w:type="paragraph" w:styleId="3">
    <w:name w:val="heading 2"/>
    <w:basedOn w:val="1"/>
    <w:next w:val="1"/>
    <w:autoRedefine/>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autoRedefine/>
    <w:qFormat/>
    <w:uiPriority w:val="9"/>
    <w:pPr>
      <w:keepNext/>
      <w:keepLines/>
      <w:jc w:val="left"/>
      <w:outlineLvl w:val="2"/>
    </w:pPr>
    <w:rPr>
      <w:rFonts w:ascii="Tahoma" w:hAnsi="Tahoma"/>
      <w:b/>
      <w:bCs/>
      <w:szCs w:val="32"/>
    </w:rPr>
  </w:style>
  <w:style w:type="paragraph" w:styleId="5">
    <w:name w:val="heading 4"/>
    <w:basedOn w:val="1"/>
    <w:next w:val="1"/>
    <w:autoRedefine/>
    <w:qFormat/>
    <w:uiPriority w:val="1"/>
    <w:pPr>
      <w:spacing w:before="1"/>
      <w:ind w:left="224"/>
      <w:outlineLvl w:val="3"/>
    </w:pPr>
    <w:rPr>
      <w:b/>
      <w:bCs/>
      <w:sz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autoRedefine/>
    <w:qFormat/>
    <w:uiPriority w:val="0"/>
    <w:pPr>
      <w:ind w:firstLine="420" w:firstLineChars="200"/>
    </w:pPr>
    <w:rPr>
      <w:rFonts w:eastAsia="宋体"/>
    </w:rPr>
  </w:style>
  <w:style w:type="paragraph" w:styleId="7">
    <w:name w:val="caption"/>
    <w:basedOn w:val="1"/>
    <w:next w:val="1"/>
    <w:autoRedefine/>
    <w:qFormat/>
    <w:uiPriority w:val="99"/>
    <w:rPr>
      <w:rFonts w:ascii="Arial" w:hAnsi="Arial" w:eastAsia="黑体"/>
      <w:sz w:val="20"/>
      <w:szCs w:val="20"/>
    </w:rPr>
  </w:style>
  <w:style w:type="paragraph" w:styleId="8">
    <w:name w:val="annotation text"/>
    <w:basedOn w:val="1"/>
    <w:link w:val="81"/>
    <w:autoRedefine/>
    <w:semiHidden/>
    <w:unhideWhenUsed/>
    <w:qFormat/>
    <w:uiPriority w:val="99"/>
    <w:pPr>
      <w:jc w:val="left"/>
    </w:pPr>
  </w:style>
  <w:style w:type="paragraph" w:styleId="9">
    <w:name w:val="Body Text"/>
    <w:basedOn w:val="1"/>
    <w:next w:val="10"/>
    <w:autoRedefine/>
    <w:qFormat/>
    <w:uiPriority w:val="0"/>
    <w:pPr>
      <w:spacing w:line="220" w:lineRule="exact"/>
      <w:jc w:val="center"/>
    </w:pPr>
  </w:style>
  <w:style w:type="paragraph" w:styleId="10">
    <w:name w:val="List Bullet 5"/>
    <w:basedOn w:val="1"/>
    <w:qFormat/>
    <w:uiPriority w:val="0"/>
    <w:pPr>
      <w:numPr>
        <w:ilvl w:val="0"/>
        <w:numId w:val="1"/>
      </w:numPr>
    </w:pPr>
  </w:style>
  <w:style w:type="paragraph" w:styleId="11">
    <w:name w:val="Body Text Indent"/>
    <w:basedOn w:val="1"/>
    <w:next w:val="1"/>
    <w:autoRedefine/>
    <w:qFormat/>
    <w:uiPriority w:val="0"/>
    <w:pPr>
      <w:spacing w:line="360" w:lineRule="auto"/>
      <w:ind w:firstLine="480"/>
    </w:pPr>
    <w:rPr>
      <w:rFonts w:ascii="宋体" w:hAnsi="宋体"/>
      <w:color w:val="FF6600"/>
      <w:sz w:val="24"/>
    </w:rPr>
  </w:style>
  <w:style w:type="paragraph" w:styleId="12">
    <w:name w:val="Plain Text"/>
    <w:basedOn w:val="1"/>
    <w:autoRedefine/>
    <w:qFormat/>
    <w:uiPriority w:val="0"/>
    <w:rPr>
      <w:rFonts w:ascii="宋体" w:hAnsi="Courier New"/>
    </w:rPr>
  </w:style>
  <w:style w:type="paragraph" w:styleId="13">
    <w:name w:val="Date"/>
    <w:basedOn w:val="1"/>
    <w:next w:val="1"/>
    <w:autoRedefine/>
    <w:qFormat/>
    <w:uiPriority w:val="0"/>
    <w:rPr>
      <w:b/>
      <w:sz w:val="36"/>
      <w:szCs w:val="36"/>
    </w:rPr>
  </w:style>
  <w:style w:type="paragraph" w:styleId="14">
    <w:name w:val="Balloon Text"/>
    <w:basedOn w:val="1"/>
    <w:link w:val="83"/>
    <w:qFormat/>
    <w:uiPriority w:val="0"/>
    <w:rPr>
      <w:sz w:val="18"/>
      <w:szCs w:val="18"/>
    </w:rPr>
  </w:style>
  <w:style w:type="paragraph" w:styleId="15">
    <w:name w:val="footer"/>
    <w:basedOn w:val="1"/>
    <w:autoRedefine/>
    <w:unhideWhenUsed/>
    <w:qFormat/>
    <w:uiPriority w:val="99"/>
    <w:pPr>
      <w:tabs>
        <w:tab w:val="center" w:pos="4153"/>
        <w:tab w:val="right" w:pos="8306"/>
      </w:tabs>
      <w:snapToGrid w:val="0"/>
      <w:jc w:val="left"/>
    </w:pPr>
    <w:rPr>
      <w:rFonts w:ascii="Calibri" w:hAnsi="Calibri"/>
      <w:sz w:val="18"/>
      <w:szCs w:val="18"/>
    </w:rPr>
  </w:style>
  <w:style w:type="paragraph" w:styleId="16">
    <w:name w:val="header"/>
    <w:basedOn w:val="1"/>
    <w:autoRedefine/>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17">
    <w:name w:val="toc 1"/>
    <w:basedOn w:val="1"/>
    <w:next w:val="1"/>
    <w:autoRedefine/>
    <w:unhideWhenUsed/>
    <w:qFormat/>
    <w:uiPriority w:val="39"/>
  </w:style>
  <w:style w:type="paragraph" w:styleId="18">
    <w:name w:val="index heading"/>
    <w:basedOn w:val="1"/>
    <w:next w:val="19"/>
    <w:autoRedefine/>
    <w:semiHidden/>
    <w:qFormat/>
    <w:uiPriority w:val="0"/>
    <w:rPr>
      <w:rFonts w:ascii="Arial" w:hAnsi="Arial" w:cs="Arial"/>
      <w:b/>
      <w:bCs/>
    </w:rPr>
  </w:style>
  <w:style w:type="paragraph" w:styleId="19">
    <w:name w:val="index 1"/>
    <w:basedOn w:val="1"/>
    <w:next w:val="1"/>
    <w:autoRedefine/>
    <w:semiHidden/>
    <w:qFormat/>
    <w:uiPriority w:val="0"/>
  </w:style>
  <w:style w:type="paragraph" w:styleId="20">
    <w:name w:val="List"/>
    <w:basedOn w:val="1"/>
    <w:next w:val="1"/>
    <w:autoRedefine/>
    <w:unhideWhenUsed/>
    <w:qFormat/>
    <w:uiPriority w:val="99"/>
    <w:pPr>
      <w:ind w:left="200" w:hanging="200" w:hangingChars="200"/>
      <w:contextualSpacing/>
    </w:pPr>
  </w:style>
  <w:style w:type="paragraph" w:styleId="21">
    <w:name w:val="Body Text Indent 3"/>
    <w:basedOn w:val="1"/>
    <w:autoRedefine/>
    <w:qFormat/>
    <w:uiPriority w:val="0"/>
    <w:pPr>
      <w:spacing w:line="320" w:lineRule="exact"/>
      <w:ind w:firstLine="420" w:firstLineChars="200"/>
    </w:pPr>
    <w:rPr>
      <w:rFonts w:ascii="楷体_GB2312" w:hAnsi="宋体" w:eastAsia="楷体_GB2312"/>
    </w:rPr>
  </w:style>
  <w:style w:type="paragraph" w:styleId="22">
    <w:name w:val="table of figures"/>
    <w:basedOn w:val="1"/>
    <w:next w:val="1"/>
    <w:autoRedefine/>
    <w:semiHidden/>
    <w:unhideWhenUsed/>
    <w:qFormat/>
    <w:uiPriority w:val="99"/>
    <w:pPr>
      <w:ind w:left="200" w:leftChars="200" w:hanging="200" w:hangingChars="200"/>
    </w:pPr>
    <w:rPr>
      <w:rFonts w:ascii="Calibri" w:hAnsi="Calibri"/>
    </w:rPr>
  </w:style>
  <w:style w:type="paragraph" w:styleId="23">
    <w:name w:val="Normal (Web)"/>
    <w:basedOn w:val="1"/>
    <w:autoRedefine/>
    <w:qFormat/>
    <w:uiPriority w:val="99"/>
    <w:pPr>
      <w:spacing w:beforeAutospacing="1" w:afterAutospacing="1"/>
      <w:jc w:val="left"/>
    </w:pPr>
    <w:rPr>
      <w:rFonts w:cs="Times New Roman"/>
      <w:kern w:val="0"/>
      <w:sz w:val="24"/>
      <w:szCs w:val="20"/>
    </w:rPr>
  </w:style>
  <w:style w:type="paragraph" w:styleId="24">
    <w:name w:val="annotation subject"/>
    <w:basedOn w:val="8"/>
    <w:next w:val="8"/>
    <w:link w:val="82"/>
    <w:qFormat/>
    <w:uiPriority w:val="0"/>
    <w:rPr>
      <w:b/>
      <w:bCs/>
    </w:rPr>
  </w:style>
  <w:style w:type="paragraph" w:styleId="25">
    <w:name w:val="Body Text First Indent"/>
    <w:basedOn w:val="1"/>
    <w:next w:val="26"/>
    <w:autoRedefine/>
    <w:qFormat/>
    <w:uiPriority w:val="0"/>
    <w:pPr>
      <w:spacing w:after="120"/>
      <w:ind w:firstLine="420" w:firstLineChars="100"/>
    </w:pPr>
    <w:rPr>
      <w:rFonts w:ascii="Times New Roman"/>
      <w:szCs w:val="21"/>
    </w:rPr>
  </w:style>
  <w:style w:type="paragraph" w:customStyle="1" w:styleId="26">
    <w:name w:val="章标题"/>
    <w:next w:val="27"/>
    <w:autoRedefine/>
    <w:qFormat/>
    <w:uiPriority w:val="0"/>
    <w:pPr>
      <w:numPr>
        <w:ilvl w:val="0"/>
        <w:numId w:val="2"/>
      </w:numPr>
      <w:spacing w:before="312" w:beforeLines="100" w:after="312" w:afterLines="100"/>
      <w:jc w:val="both"/>
      <w:outlineLvl w:val="1"/>
    </w:pPr>
    <w:rPr>
      <w:rFonts w:ascii="黑体" w:hAnsi="Calibri" w:eastAsia="黑体" w:cs="Times New Roman"/>
      <w:kern w:val="2"/>
      <w:sz w:val="21"/>
      <w:szCs w:val="28"/>
      <w:lang w:val="en-US" w:eastAsia="zh-CN" w:bidi="ar-SA"/>
    </w:rPr>
  </w:style>
  <w:style w:type="paragraph" w:customStyle="1" w:styleId="27">
    <w:name w:val="段"/>
    <w:autoRedefine/>
    <w:qFormat/>
    <w:uiPriority w:val="0"/>
    <w:pPr>
      <w:autoSpaceDE w:val="0"/>
      <w:autoSpaceDN w:val="0"/>
      <w:ind w:firstLine="200" w:firstLineChars="200"/>
      <w:jc w:val="both"/>
    </w:pPr>
    <w:rPr>
      <w:rFonts w:ascii="宋体" w:hAnsi="Calibri" w:eastAsia="宋体" w:cs="Times New Roman"/>
      <w:sz w:val="21"/>
      <w:szCs w:val="22"/>
      <w:lang w:val="zh-CN" w:eastAsia="zh-CN" w:bidi="ar-SA"/>
    </w:rPr>
  </w:style>
  <w:style w:type="paragraph" w:styleId="28">
    <w:name w:val="Body Text First Indent 2"/>
    <w:basedOn w:val="11"/>
    <w:autoRedefine/>
    <w:qFormat/>
    <w:uiPriority w:val="0"/>
    <w:pPr>
      <w:spacing w:after="120" w:line="240" w:lineRule="auto"/>
      <w:ind w:left="420" w:leftChars="200" w:firstLine="420"/>
    </w:pPr>
    <w:rPr>
      <w:rFonts w:ascii="Times New Roman" w:eastAsia="宋体"/>
      <w:sz w:val="21"/>
    </w:rPr>
  </w:style>
  <w:style w:type="table" w:styleId="30">
    <w:name w:val="Table Grid"/>
    <w:basedOn w:val="2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autoRedefine/>
    <w:qFormat/>
    <w:uiPriority w:val="0"/>
  </w:style>
  <w:style w:type="character" w:styleId="33">
    <w:name w:val="Emphasis"/>
    <w:basedOn w:val="31"/>
    <w:autoRedefine/>
    <w:unhideWhenUsed/>
    <w:qFormat/>
    <w:uiPriority w:val="20"/>
    <w:rPr>
      <w:rFonts w:hint="default" w:cs="Times New Roman"/>
      <w:i/>
      <w:sz w:val="24"/>
      <w:szCs w:val="24"/>
    </w:rPr>
  </w:style>
  <w:style w:type="character" w:styleId="34">
    <w:name w:val="Hyperlink"/>
    <w:autoRedefine/>
    <w:unhideWhenUsed/>
    <w:qFormat/>
    <w:uiPriority w:val="99"/>
    <w:rPr>
      <w:color w:val="0000FF"/>
      <w:u w:val="single"/>
    </w:rPr>
  </w:style>
  <w:style w:type="character" w:styleId="35">
    <w:name w:val="annotation reference"/>
    <w:basedOn w:val="31"/>
    <w:qFormat/>
    <w:uiPriority w:val="0"/>
    <w:rPr>
      <w:sz w:val="21"/>
      <w:szCs w:val="21"/>
    </w:rPr>
  </w:style>
  <w:style w:type="paragraph" w:customStyle="1" w:styleId="36">
    <w:name w:val="Default"/>
    <w:basedOn w:val="37"/>
    <w:next w:val="38"/>
    <w:autoRedefine/>
    <w:qFormat/>
    <w:uiPriority w:val="0"/>
    <w:pPr>
      <w:autoSpaceDE w:val="0"/>
      <w:autoSpaceDN w:val="0"/>
    </w:pPr>
    <w:rPr>
      <w:rFonts w:ascii="黑体" w:hAnsi="Times New Roman" w:eastAsia="宋体" w:cs="Times New Roman"/>
      <w:color w:val="000000"/>
      <w:sz w:val="24"/>
      <w:szCs w:val="22"/>
    </w:rPr>
  </w:style>
  <w:style w:type="paragraph" w:customStyle="1" w:styleId="37">
    <w:name w:val="纯文本1"/>
    <w:basedOn w:val="1"/>
    <w:autoRedefine/>
    <w:qFormat/>
    <w:uiPriority w:val="0"/>
    <w:pPr>
      <w:adjustRightInd w:val="0"/>
    </w:pPr>
    <w:rPr>
      <w:rFonts w:ascii="宋体" w:hAnsi="Courier New"/>
      <w:szCs w:val="20"/>
    </w:rPr>
  </w:style>
  <w:style w:type="paragraph" w:customStyle="1" w:styleId="38">
    <w:name w:val="样式1"/>
    <w:basedOn w:val="18"/>
    <w:next w:val="1"/>
    <w:autoRedefine/>
    <w:qFormat/>
    <w:uiPriority w:val="0"/>
    <w:rPr>
      <w:sz w:val="28"/>
      <w:szCs w:val="28"/>
    </w:rPr>
  </w:style>
  <w:style w:type="paragraph" w:customStyle="1" w:styleId="39">
    <w:name w:val="目录 21"/>
    <w:next w:val="1"/>
    <w:autoRedefine/>
    <w:qFormat/>
    <w:uiPriority w:val="0"/>
    <w:pPr>
      <w:jc w:val="both"/>
    </w:pPr>
    <w:rPr>
      <w:rFonts w:ascii="宋体" w:hAnsi="宋体" w:eastAsia="宋体" w:cs="Times New Roman"/>
      <w:sz w:val="21"/>
      <w:szCs w:val="21"/>
      <w:lang w:val="en-US" w:eastAsia="zh-CN" w:bidi="ar-SA"/>
    </w:rPr>
  </w:style>
  <w:style w:type="paragraph" w:customStyle="1" w:styleId="40">
    <w:name w:val="_Style 2"/>
    <w:basedOn w:val="2"/>
    <w:next w:val="1"/>
    <w:autoRedefine/>
    <w:qFormat/>
    <w:uiPriority w:val="39"/>
    <w:pPr>
      <w:spacing w:before="480" w:line="276" w:lineRule="auto"/>
      <w:outlineLvl w:val="9"/>
    </w:pPr>
    <w:rPr>
      <w:rFonts w:ascii="Cambria" w:hAnsi="Cambria" w:eastAsia="宋体" w:cs="Times New Roman"/>
      <w:color w:val="365F91"/>
      <w:kern w:val="0"/>
      <w:sz w:val="28"/>
      <w:szCs w:val="28"/>
    </w:rPr>
  </w:style>
  <w:style w:type="paragraph" w:customStyle="1" w:styleId="41">
    <w:name w:val="正文文本 (2)1"/>
    <w:basedOn w:val="1"/>
    <w:autoRedefine/>
    <w:qFormat/>
    <w:uiPriority w:val="99"/>
    <w:pPr>
      <w:shd w:val="clear" w:color="auto" w:fill="FFFFFF"/>
      <w:spacing w:before="360" w:line="466" w:lineRule="exact"/>
      <w:ind w:hanging="1020"/>
      <w:jc w:val="distribute"/>
    </w:pPr>
    <w:rPr>
      <w:rFonts w:ascii="MingLiU" w:hAnsi="Times New Roman" w:eastAsia="MingLiU" w:cs="MingLiU"/>
    </w:rPr>
  </w:style>
  <w:style w:type="paragraph" w:customStyle="1" w:styleId="42">
    <w:name w:val="正文文本 (24)7"/>
    <w:basedOn w:val="1"/>
    <w:autoRedefine/>
    <w:qFormat/>
    <w:uiPriority w:val="0"/>
    <w:pPr>
      <w:shd w:val="clear" w:color="auto" w:fill="FFFFFF"/>
      <w:spacing w:line="278" w:lineRule="exact"/>
    </w:pPr>
    <w:rPr>
      <w:rFonts w:ascii="MingLiU" w:hAnsi="MingLiU" w:eastAsia="MingLiU" w:cs="MingLiU"/>
      <w:spacing w:val="30"/>
      <w:sz w:val="19"/>
      <w:szCs w:val="19"/>
    </w:rPr>
  </w:style>
  <w:style w:type="paragraph" w:customStyle="1" w:styleId="43">
    <w:name w:val="表格"/>
    <w:basedOn w:val="22"/>
    <w:next w:val="1"/>
    <w:autoRedefine/>
    <w:qFormat/>
    <w:uiPriority w:val="0"/>
    <w:rPr>
      <w:szCs w:val="21"/>
    </w:rPr>
  </w:style>
  <w:style w:type="paragraph" w:customStyle="1" w:styleId="44">
    <w:name w:val="表格 32"/>
    <w:basedOn w:val="1"/>
    <w:autoRedefine/>
    <w:qFormat/>
    <w:uiPriority w:val="0"/>
    <w:pPr>
      <w:autoSpaceDE w:val="0"/>
      <w:autoSpaceDN w:val="0"/>
      <w:adjustRightInd w:val="0"/>
      <w:jc w:val="center"/>
      <w:textAlignment w:val="baseline"/>
    </w:pPr>
    <w:rPr>
      <w:rFonts w:ascii="宋体" w:hAnsi="Impact"/>
      <w:kern w:val="24"/>
      <w:sz w:val="24"/>
      <w:szCs w:val="20"/>
    </w:rPr>
  </w:style>
  <w:style w:type="paragraph" w:customStyle="1" w:styleId="45">
    <w:name w:val="xl39"/>
    <w:basedOn w:val="1"/>
    <w:autoRedefine/>
    <w:qFormat/>
    <w:uiPriority w:val="0"/>
    <w:pPr>
      <w:widowControl/>
      <w:spacing w:before="100" w:after="100"/>
      <w:jc w:val="center"/>
    </w:pPr>
    <w:rPr>
      <w:rFonts w:ascii="Arial Unicode MS" w:hAnsi="Arial Unicode MS" w:eastAsia="Arial Unicode MS"/>
      <w:kern w:val="0"/>
      <w:sz w:val="24"/>
      <w:szCs w:val="20"/>
    </w:rPr>
  </w:style>
  <w:style w:type="character" w:customStyle="1" w:styleId="46">
    <w:name w:val="正文文本 (2)_"/>
    <w:basedOn w:val="31"/>
    <w:link w:val="47"/>
    <w:autoRedefine/>
    <w:qFormat/>
    <w:uiPriority w:val="0"/>
    <w:rPr>
      <w:rFonts w:ascii="MingLiU" w:hAnsi="MingLiU" w:eastAsia="MingLiU" w:cs="MingLiU"/>
      <w:sz w:val="22"/>
      <w:szCs w:val="22"/>
      <w:u w:val="none"/>
    </w:rPr>
  </w:style>
  <w:style w:type="paragraph" w:customStyle="1" w:styleId="47">
    <w:name w:val="正文文本 (2)9"/>
    <w:basedOn w:val="1"/>
    <w:link w:val="46"/>
    <w:autoRedefine/>
    <w:qFormat/>
    <w:uiPriority w:val="0"/>
    <w:pPr>
      <w:shd w:val="clear" w:color="auto" w:fill="FFFFFF"/>
      <w:spacing w:line="499" w:lineRule="exact"/>
      <w:ind w:hanging="120"/>
      <w:jc w:val="distribute"/>
    </w:pPr>
    <w:rPr>
      <w:rFonts w:ascii="MingLiU" w:hAnsi="MingLiU" w:eastAsia="MingLiU" w:cs="MingLiU"/>
      <w:sz w:val="22"/>
      <w:szCs w:val="22"/>
    </w:rPr>
  </w:style>
  <w:style w:type="paragraph" w:customStyle="1" w:styleId="48">
    <w:name w:val="正文23"/>
    <w:autoRedefine/>
    <w:qFormat/>
    <w:uiPriority w:val="0"/>
    <w:pPr>
      <w:spacing w:line="360" w:lineRule="auto"/>
      <w:ind w:firstLine="200"/>
    </w:pPr>
    <w:rPr>
      <w:rFonts w:ascii="宋体" w:hAnsi="宋体" w:eastAsia="宋体" w:cs="Times New Roman"/>
      <w:sz w:val="24"/>
      <w:lang w:val="en-US" w:eastAsia="zh-CN" w:bidi="ar-SA"/>
    </w:rPr>
  </w:style>
  <w:style w:type="paragraph" w:customStyle="1" w:styleId="49">
    <w:name w:val="Char"/>
    <w:basedOn w:val="1"/>
    <w:autoRedefine/>
    <w:qFormat/>
    <w:uiPriority w:val="0"/>
    <w:pPr>
      <w:snapToGrid w:val="0"/>
      <w:spacing w:line="560" w:lineRule="exact"/>
      <w:ind w:firstLine="200" w:firstLineChars="200"/>
      <w:jc w:val="left"/>
    </w:pPr>
    <w:rPr>
      <w:rFonts w:eastAsia="宋体"/>
      <w:sz w:val="24"/>
    </w:rPr>
  </w:style>
  <w:style w:type="paragraph" w:customStyle="1" w:styleId="50">
    <w:name w:val="正文文本 (2)"/>
    <w:basedOn w:val="1"/>
    <w:autoRedefine/>
    <w:qFormat/>
    <w:uiPriority w:val="0"/>
    <w:pPr>
      <w:shd w:val="clear" w:color="auto" w:fill="FFFFFF"/>
      <w:spacing w:before="1260" w:line="690" w:lineRule="exact"/>
      <w:jc w:val="distribute"/>
    </w:pPr>
    <w:rPr>
      <w:rFonts w:ascii="MingLiU" w:hAnsi="MingLiU" w:eastAsia="MingLiU" w:cs="MingLiU"/>
      <w:color w:val="000000"/>
      <w:sz w:val="34"/>
      <w:szCs w:val="34"/>
      <w:lang w:eastAsia="en-US" w:bidi="en-US"/>
    </w:rPr>
  </w:style>
  <w:style w:type="paragraph" w:customStyle="1" w:styleId="51">
    <w:name w:val="陈光的正文"/>
    <w:basedOn w:val="1"/>
    <w:autoRedefine/>
    <w:qFormat/>
    <w:uiPriority w:val="0"/>
    <w:pPr>
      <w:spacing w:line="360" w:lineRule="auto"/>
      <w:ind w:firstLine="567"/>
    </w:pPr>
    <w:rPr>
      <w:sz w:val="28"/>
    </w:rPr>
  </w:style>
  <w:style w:type="paragraph" w:customStyle="1" w:styleId="52">
    <w:name w:val="Normal Indent1"/>
    <w:basedOn w:val="1"/>
    <w:autoRedefine/>
    <w:qFormat/>
    <w:uiPriority w:val="0"/>
    <w:pPr>
      <w:ind w:firstLine="420" w:firstLineChars="200"/>
    </w:pPr>
    <w:rPr>
      <w:rFonts w:ascii="Calibri" w:hAnsi="Calibri" w:eastAsia="宋体" w:cs="Times New Roman"/>
    </w:rPr>
  </w:style>
  <w:style w:type="paragraph" w:customStyle="1" w:styleId="53">
    <w:name w:val="报告表"/>
    <w:basedOn w:val="1"/>
    <w:autoRedefine/>
    <w:qFormat/>
    <w:uiPriority w:val="0"/>
    <w:pPr>
      <w:adjustRightInd w:val="0"/>
      <w:snapToGrid w:val="0"/>
      <w:spacing w:line="520" w:lineRule="atLeast"/>
      <w:ind w:firstLine="560" w:firstLineChars="200"/>
    </w:pPr>
    <w:rPr>
      <w:rFonts w:eastAsia="仿宋_GB2312"/>
      <w:sz w:val="28"/>
    </w:rPr>
  </w:style>
  <w:style w:type="character" w:customStyle="1" w:styleId="54">
    <w:name w:val="font81"/>
    <w:autoRedefine/>
    <w:qFormat/>
    <w:uiPriority w:val="0"/>
    <w:rPr>
      <w:rFonts w:hint="eastAsia" w:ascii="宋体" w:hAnsi="宋体" w:eastAsia="宋体" w:cs="宋体"/>
      <w:color w:val="FF0000"/>
      <w:sz w:val="20"/>
      <w:szCs w:val="20"/>
      <w:u w:val="none"/>
    </w:rPr>
  </w:style>
  <w:style w:type="character" w:customStyle="1" w:styleId="55">
    <w:name w:val="font11"/>
    <w:basedOn w:val="31"/>
    <w:autoRedefine/>
    <w:qFormat/>
    <w:uiPriority w:val="0"/>
    <w:rPr>
      <w:rFonts w:hint="eastAsia" w:ascii="宋体" w:hAnsi="宋体" w:eastAsia="宋体" w:cs="宋体"/>
      <w:color w:val="000000"/>
      <w:sz w:val="20"/>
      <w:szCs w:val="20"/>
      <w:u w:val="none"/>
      <w:vertAlign w:val="superscript"/>
    </w:rPr>
  </w:style>
  <w:style w:type="character" w:customStyle="1" w:styleId="56">
    <w:name w:val="font51"/>
    <w:autoRedefine/>
    <w:qFormat/>
    <w:uiPriority w:val="0"/>
    <w:rPr>
      <w:rFonts w:hint="eastAsia" w:ascii="宋体" w:hAnsi="宋体" w:eastAsia="宋体" w:cs="宋体"/>
      <w:color w:val="000000"/>
      <w:sz w:val="20"/>
      <w:szCs w:val="20"/>
      <w:u w:val="none"/>
    </w:rPr>
  </w:style>
  <w:style w:type="character" w:customStyle="1" w:styleId="57">
    <w:name w:val="font61"/>
    <w:autoRedefine/>
    <w:qFormat/>
    <w:uiPriority w:val="0"/>
    <w:rPr>
      <w:rFonts w:hint="eastAsia" w:ascii="宋体" w:hAnsi="宋体" w:eastAsia="宋体" w:cs="宋体"/>
      <w:color w:val="000000"/>
      <w:sz w:val="18"/>
      <w:szCs w:val="18"/>
      <w:u w:val="none"/>
    </w:rPr>
  </w:style>
  <w:style w:type="character" w:customStyle="1" w:styleId="58">
    <w:name w:val="font71"/>
    <w:autoRedefine/>
    <w:qFormat/>
    <w:uiPriority w:val="0"/>
    <w:rPr>
      <w:rFonts w:ascii="Arial" w:hAnsi="Arial" w:cs="Arial"/>
      <w:color w:val="000000"/>
      <w:sz w:val="18"/>
      <w:szCs w:val="18"/>
      <w:u w:val="none"/>
    </w:rPr>
  </w:style>
  <w:style w:type="paragraph" w:customStyle="1" w:styleId="59">
    <w:name w:val="表格标题"/>
    <w:basedOn w:val="43"/>
    <w:autoRedefine/>
    <w:qFormat/>
    <w:uiPriority w:val="0"/>
    <w:pPr>
      <w:ind w:firstLine="361" w:firstLineChars="150"/>
      <w:jc w:val="center"/>
    </w:pPr>
    <w:rPr>
      <w:b/>
      <w:color w:val="000000"/>
      <w:sz w:val="24"/>
    </w:rPr>
  </w:style>
  <w:style w:type="paragraph" w:customStyle="1" w:styleId="60">
    <w:name w:val="样式 标题 1 + 加粗"/>
    <w:basedOn w:val="2"/>
    <w:autoRedefine/>
    <w:qFormat/>
    <w:uiPriority w:val="0"/>
    <w:pPr>
      <w:keepLines w:val="0"/>
      <w:jc w:val="both"/>
    </w:pPr>
    <w:rPr>
      <w:rFonts w:ascii="仿宋_GB2312" w:hAnsi="宋体"/>
      <w:kern w:val="2"/>
      <w:sz w:val="30"/>
      <w:szCs w:val="24"/>
    </w:rPr>
  </w:style>
  <w:style w:type="paragraph" w:customStyle="1" w:styleId="61">
    <w:name w:val="Table Paragraph"/>
    <w:basedOn w:val="1"/>
    <w:autoRedefine/>
    <w:unhideWhenUsed/>
    <w:qFormat/>
    <w:uiPriority w:val="1"/>
    <w:rPr>
      <w:rFonts w:ascii="Times New Roman"/>
      <w:sz w:val="24"/>
    </w:rPr>
  </w:style>
  <w:style w:type="paragraph" w:customStyle="1" w:styleId="62">
    <w:name w:val="项目编号"/>
    <w:basedOn w:val="1"/>
    <w:next w:val="1"/>
    <w:autoRedefine/>
    <w:qFormat/>
    <w:uiPriority w:val="0"/>
    <w:pPr>
      <w:spacing w:before="120" w:after="120" w:line="360" w:lineRule="auto"/>
    </w:pPr>
    <w:rPr>
      <w:rFonts w:ascii="Times New Roman"/>
      <w:sz w:val="24"/>
      <w:szCs w:val="20"/>
    </w:rPr>
  </w:style>
  <w:style w:type="paragraph" w:customStyle="1" w:styleId="63">
    <w:name w:val="表内容@"/>
    <w:basedOn w:val="1"/>
    <w:autoRedefine/>
    <w:qFormat/>
    <w:uiPriority w:val="0"/>
    <w:pPr>
      <w:adjustRightInd w:val="0"/>
      <w:jc w:val="center"/>
    </w:pPr>
    <w:rPr>
      <w:rFonts w:ascii="宋体" w:hAnsi="宋体" w:cs="Arial"/>
      <w:szCs w:val="21"/>
    </w:rPr>
  </w:style>
  <w:style w:type="paragraph" w:customStyle="1" w:styleId="64">
    <w:name w:val="标题 3+"/>
    <w:basedOn w:val="4"/>
    <w:autoRedefine/>
    <w:qFormat/>
    <w:uiPriority w:val="0"/>
    <w:pPr>
      <w:keepNext w:val="0"/>
      <w:snapToGrid w:val="0"/>
      <w:spacing w:line="360" w:lineRule="auto"/>
      <w:ind w:firstLine="540" w:firstLineChars="192"/>
    </w:pPr>
    <w:rPr>
      <w:rFonts w:ascii="宋体" w:hAnsi="宋体"/>
      <w:szCs w:val="24"/>
    </w:rPr>
  </w:style>
  <w:style w:type="character" w:customStyle="1" w:styleId="65">
    <w:name w:val="Body text + 11 pt"/>
    <w:autoRedefine/>
    <w:qFormat/>
    <w:uiPriority w:val="0"/>
    <w:rPr>
      <w:rFonts w:ascii="MingLiU" w:hAnsi="MingLiU" w:eastAsia="MingLiU" w:cs="MingLiU"/>
      <w:color w:val="000000"/>
      <w:spacing w:val="0"/>
      <w:w w:val="100"/>
      <w:position w:val="0"/>
      <w:sz w:val="22"/>
      <w:szCs w:val="22"/>
      <w:u w:val="none"/>
      <w:lang w:val="zh-TW"/>
    </w:rPr>
  </w:style>
  <w:style w:type="paragraph" w:customStyle="1" w:styleId="66">
    <w:name w:val="表格内容"/>
    <w:basedOn w:val="43"/>
    <w:autoRedefine/>
    <w:qFormat/>
    <w:uiPriority w:val="0"/>
    <w:pPr>
      <w:ind w:left="0" w:leftChars="0" w:firstLine="0" w:firstLineChars="0"/>
    </w:pPr>
    <w:rPr>
      <w:rFonts w:ascii="Times New Roman"/>
    </w:rPr>
  </w:style>
  <w:style w:type="paragraph" w:customStyle="1" w:styleId="67">
    <w:name w:val="正文修改"/>
    <w:basedOn w:val="1"/>
    <w:autoRedefine/>
    <w:qFormat/>
    <w:uiPriority w:val="0"/>
    <w:pPr>
      <w:ind w:firstLine="480"/>
    </w:pPr>
    <w:rPr>
      <w:rFonts w:cs="宋体"/>
      <w:szCs w:val="20"/>
    </w:rPr>
  </w:style>
  <w:style w:type="paragraph" w:styleId="68">
    <w:name w:val="List Paragraph"/>
    <w:basedOn w:val="1"/>
    <w:autoRedefine/>
    <w:qFormat/>
    <w:uiPriority w:val="34"/>
    <w:pPr>
      <w:ind w:firstLine="420"/>
    </w:pPr>
  </w:style>
  <w:style w:type="paragraph" w:customStyle="1" w:styleId="69">
    <w:name w:val="表"/>
    <w:basedOn w:val="1"/>
    <w:next w:val="20"/>
    <w:autoRedefine/>
    <w:qFormat/>
    <w:uiPriority w:val="99"/>
    <w:pPr>
      <w:jc w:val="center"/>
    </w:pPr>
    <w:rPr>
      <w:rFonts w:ascii="宋体" w:hAnsi="Arial Black" w:eastAsia="仿宋_GB2312"/>
      <w:spacing w:val="-20"/>
      <w:kern w:val="21"/>
      <w:szCs w:val="20"/>
    </w:rPr>
  </w:style>
  <w:style w:type="paragraph" w:customStyle="1" w:styleId="70">
    <w:name w:val="正文文本缩进 21"/>
    <w:basedOn w:val="1"/>
    <w:autoRedefine/>
    <w:qFormat/>
    <w:uiPriority w:val="0"/>
    <w:pPr>
      <w:spacing w:line="480" w:lineRule="auto"/>
      <w:ind w:left="420" w:leftChars="200"/>
    </w:pPr>
    <w:rPr>
      <w:rFonts w:ascii="Calibri" w:hAnsi="Calibri" w:eastAsia="宋体" w:cs="Times New Roman"/>
      <w:szCs w:val="21"/>
    </w:rPr>
  </w:style>
  <w:style w:type="paragraph" w:customStyle="1" w:styleId="71">
    <w:name w:val="p0"/>
    <w:basedOn w:val="1"/>
    <w:autoRedefine/>
    <w:qFormat/>
    <w:uiPriority w:val="0"/>
    <w:pPr>
      <w:widowControl/>
      <w:jc w:val="left"/>
    </w:pPr>
    <w:rPr>
      <w:kern w:val="0"/>
      <w:szCs w:val="21"/>
    </w:rPr>
  </w:style>
  <w:style w:type="paragraph" w:customStyle="1" w:styleId="72">
    <w:name w:val="样式 正文文本缩进 + 行距: 1.5 倍行距"/>
    <w:basedOn w:val="1"/>
    <w:autoRedefine/>
    <w:qFormat/>
    <w:uiPriority w:val="0"/>
    <w:pPr>
      <w:spacing w:after="120" w:line="360" w:lineRule="auto"/>
      <w:ind w:left="90" w:leftChars="32" w:firstLine="560" w:firstLineChars="200"/>
    </w:pPr>
    <w:rPr>
      <w:rFonts w:cs="宋体"/>
      <w:sz w:val="24"/>
    </w:rPr>
  </w:style>
  <w:style w:type="paragraph" w:customStyle="1" w:styleId="73">
    <w:name w:val="正文（首行缩进）"/>
    <w:basedOn w:val="1"/>
    <w:autoRedefine/>
    <w:qFormat/>
    <w:uiPriority w:val="0"/>
    <w:pPr>
      <w:ind w:firstLine="883" w:firstLineChars="200"/>
    </w:pPr>
    <w:rPr>
      <w:rFonts w:ascii="Times New Roman" w:hAnsi="Times New Roman" w:eastAsia="宋体" w:cs="宋体"/>
      <w:sz w:val="24"/>
    </w:rPr>
  </w:style>
  <w:style w:type="paragraph" w:customStyle="1" w:styleId="74">
    <w:name w:val="表格表头"/>
    <w:basedOn w:val="1"/>
    <w:autoRedefine/>
    <w:qFormat/>
    <w:uiPriority w:val="0"/>
    <w:pPr>
      <w:jc w:val="center"/>
    </w:pPr>
    <w:rPr>
      <w:rFonts w:ascii="Times New Roman" w:hAnsi="Times New Roman" w:eastAsia="黑体" w:cs="宋体"/>
      <w:b/>
      <w:szCs w:val="21"/>
    </w:rPr>
  </w:style>
  <w:style w:type="paragraph" w:customStyle="1" w:styleId="75">
    <w:name w:val="表格文字"/>
    <w:basedOn w:val="12"/>
    <w:next w:val="1"/>
    <w:autoRedefine/>
    <w:qFormat/>
    <w:uiPriority w:val="0"/>
    <w:pPr>
      <w:adjustRightInd w:val="0"/>
      <w:spacing w:line="360" w:lineRule="auto"/>
      <w:textAlignment w:val="baseline"/>
    </w:pPr>
    <w:rPr>
      <w:sz w:val="24"/>
      <w:szCs w:val="20"/>
    </w:rPr>
  </w:style>
  <w:style w:type="paragraph" w:customStyle="1" w:styleId="76">
    <w:name w:val="表头图头"/>
    <w:basedOn w:val="1"/>
    <w:autoRedefine/>
    <w:qFormat/>
    <w:uiPriority w:val="0"/>
    <w:pPr>
      <w:jc w:val="center"/>
    </w:pPr>
    <w:rPr>
      <w:b/>
      <w:szCs w:val="22"/>
    </w:rPr>
  </w:style>
  <w:style w:type="paragraph" w:customStyle="1" w:styleId="77">
    <w:name w:val="样式3"/>
    <w:basedOn w:val="74"/>
    <w:autoRedefine/>
    <w:qFormat/>
    <w:uiPriority w:val="0"/>
  </w:style>
  <w:style w:type="character" w:customStyle="1" w:styleId="78">
    <w:name w:val="font31"/>
    <w:basedOn w:val="31"/>
    <w:autoRedefine/>
    <w:qFormat/>
    <w:uiPriority w:val="0"/>
    <w:rPr>
      <w:rFonts w:hint="default" w:ascii="Times New Roman" w:hAnsi="Times New Roman" w:cs="Times New Roman"/>
      <w:color w:val="000000"/>
      <w:sz w:val="21"/>
      <w:szCs w:val="21"/>
      <w:u w:val="none"/>
    </w:rPr>
  </w:style>
  <w:style w:type="paragraph" w:customStyle="1" w:styleId="79">
    <w:name w:val="环科院正文 Char"/>
    <w:basedOn w:val="1"/>
    <w:autoRedefine/>
    <w:qFormat/>
    <w:uiPriority w:val="0"/>
    <w:pPr>
      <w:tabs>
        <w:tab w:val="left" w:pos="4416"/>
      </w:tabs>
      <w:adjustRightInd w:val="0"/>
      <w:spacing w:line="300" w:lineRule="auto"/>
      <w:ind w:firstLine="454"/>
      <w:jc w:val="left"/>
    </w:pPr>
    <w:rPr>
      <w:bCs/>
      <w:kern w:val="0"/>
      <w:sz w:val="24"/>
    </w:rPr>
  </w:style>
  <w:style w:type="character" w:customStyle="1" w:styleId="80">
    <w:name w:val="font21"/>
    <w:basedOn w:val="31"/>
    <w:autoRedefine/>
    <w:qFormat/>
    <w:uiPriority w:val="0"/>
    <w:rPr>
      <w:rFonts w:hint="eastAsia" w:ascii="宋体" w:hAnsi="宋体" w:eastAsia="宋体" w:cs="宋体"/>
      <w:color w:val="000000"/>
      <w:sz w:val="22"/>
      <w:szCs w:val="22"/>
      <w:u w:val="none"/>
    </w:rPr>
  </w:style>
  <w:style w:type="character" w:customStyle="1" w:styleId="81">
    <w:name w:val="批注文字 字符"/>
    <w:basedOn w:val="31"/>
    <w:link w:val="8"/>
    <w:semiHidden/>
    <w:qFormat/>
    <w:uiPriority w:val="99"/>
    <w:rPr>
      <w:rFonts w:asciiTheme="minorHAnsi" w:hAnsiTheme="minorHAnsi" w:eastAsiaTheme="minorEastAsia" w:cstheme="minorBidi"/>
      <w:kern w:val="2"/>
      <w:sz w:val="21"/>
      <w:szCs w:val="24"/>
    </w:rPr>
  </w:style>
  <w:style w:type="character" w:customStyle="1" w:styleId="82">
    <w:name w:val="批注主题 字符"/>
    <w:basedOn w:val="81"/>
    <w:link w:val="24"/>
    <w:qFormat/>
    <w:uiPriority w:val="0"/>
    <w:rPr>
      <w:rFonts w:asciiTheme="minorHAnsi" w:hAnsiTheme="minorHAnsi" w:eastAsiaTheme="minorEastAsia" w:cstheme="minorBidi"/>
      <w:b/>
      <w:bCs/>
      <w:kern w:val="2"/>
      <w:sz w:val="21"/>
      <w:szCs w:val="24"/>
    </w:rPr>
  </w:style>
  <w:style w:type="character" w:customStyle="1" w:styleId="83">
    <w:name w:val="批注框文本 字符"/>
    <w:basedOn w:val="31"/>
    <w:link w:val="14"/>
    <w:qFormat/>
    <w:uiPriority w:val="0"/>
    <w:rPr>
      <w:rFonts w:asciiTheme="minorHAnsi" w:hAnsiTheme="minorHAnsi" w:eastAsiaTheme="minorEastAsia" w:cstheme="minorBidi"/>
      <w:kern w:val="2"/>
      <w:sz w:val="18"/>
      <w:szCs w:val="18"/>
    </w:rPr>
  </w:style>
  <w:style w:type="paragraph" w:customStyle="1" w:styleId="84">
    <w:name w:val="环表头"/>
    <w:basedOn w:val="1"/>
    <w:next w:val="1"/>
    <w:qFormat/>
    <w:uiPriority w:val="0"/>
    <w:pPr>
      <w:suppressAutoHyphens/>
      <w:adjustRightInd w:val="0"/>
      <w:spacing w:line="480" w:lineRule="auto"/>
      <w:ind w:left="-2" w:leftChars="-1" w:right="28"/>
      <w:jc w:val="center"/>
      <w:textAlignment w:val="baseline"/>
    </w:pPr>
    <w:rPr>
      <w:rFonts w:ascii="Calibri" w:hAnsi="Calibri" w:eastAsia="仿宋_GB2312" w:cs="Times New Roman"/>
      <w:b/>
      <w:bCs/>
      <w:color w:val="000000"/>
      <w:kern w:val="0"/>
      <w:sz w:val="28"/>
      <w:szCs w:val="28"/>
    </w:rPr>
  </w:style>
  <w:style w:type="paragraph" w:customStyle="1" w:styleId="85">
    <w:name w:val="环科院正文"/>
    <w:basedOn w:val="1"/>
    <w:qFormat/>
    <w:uiPriority w:val="0"/>
    <w:pPr>
      <w:spacing w:line="300" w:lineRule="auto"/>
      <w:ind w:left="58" w:firstLine="420" w:firstLineChars="175"/>
    </w:pPr>
    <w:rPr>
      <w:sz w:val="24"/>
      <w:szCs w:val="20"/>
    </w:rPr>
  </w:style>
  <w:style w:type="paragraph" w:customStyle="1" w:styleId="86">
    <w:name w:val="正文首行缩进2"/>
    <w:basedOn w:val="1"/>
    <w:qFormat/>
    <w:uiPriority w:val="0"/>
    <w:pPr>
      <w:tabs>
        <w:tab w:val="left" w:pos="0"/>
        <w:tab w:val="left" w:pos="870"/>
        <w:tab w:val="left" w:pos="3150"/>
      </w:tabs>
      <w:autoSpaceDE w:val="0"/>
      <w:autoSpaceDN w:val="0"/>
      <w:spacing w:line="360" w:lineRule="auto"/>
      <w:ind w:firstLine="200" w:firstLineChars="200"/>
      <w:jc w:val="left"/>
    </w:pPr>
    <w:rPr>
      <w:sz w:val="24"/>
      <w:szCs w:val="20"/>
    </w:rPr>
  </w:style>
  <w:style w:type="paragraph" w:customStyle="1" w:styleId="87">
    <w:name w:val="普通(网站)1"/>
    <w:basedOn w:val="1"/>
    <w:qFormat/>
    <w:uiPriority w:val="0"/>
    <w:pPr>
      <w:spacing w:beforeAutospacing="1" w:afterAutospacing="1"/>
    </w:pPr>
    <w:rPr>
      <w:rFonts w:ascii="宋体" w:hAnsi="宋体" w:eastAsia="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42</Pages>
  <Words>7979</Words>
  <Characters>8720</Characters>
  <Lines>263</Lines>
  <Paragraphs>74</Paragraphs>
  <TotalTime>1</TotalTime>
  <ScaleCrop>false</ScaleCrop>
  <LinksUpToDate>false</LinksUpToDate>
  <CharactersWithSpaces>8807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2020-09-03T00:36:00Z</dcterms:created>
  <dc:creator>shc</dc:creator>
  <cp:lastModifiedBy>shc</cp:lastModifiedBy>
  <dcterms:modified xsi:type="dcterms:W3CDTF">2025-07-09T06:04:11Z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74FC0770D035469E951CC4657D531622</vt:lpwstr>
  </property>
  <property fmtid="{D5CDD505-2E9C-101B-9397-08002B2CF9AE}" pid="4" name="KSOTemplateDocerSaveRecord">
    <vt:lpwstr>eyJoZGlkIjoiZjBmYTc1YzNmODA4ZDhmMWMzYmQ4NjE3MGE4NzRhY2MiLCJ1c2VySWQiOiI2NDkxNjk1NjUifQ==</vt:lpwstr>
  </property>
</Properties>
</file>