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宋体" w:hAnsi="宋体" w:eastAsia="宋体" w:cstheme="minorBidi"/>
          <w:kern w:val="2"/>
          <w:sz w:val="21"/>
          <w:szCs w:val="24"/>
          <w:lang w:val="en-US" w:eastAsia="zh-CN" w:bidi="ar-SA"/>
        </w:rPr>
        <w:id w:val="147471561"/>
        <w15:color w:val="DBDBDB"/>
        <w:docPartObj>
          <w:docPartGallery w:val="Table of Contents"/>
          <w:docPartUnique/>
        </w:docPartObj>
      </w:sdtPr>
      <w:sdtEndPr>
        <w:rPr>
          <w:rFonts w:asciiTheme="minorHAnsi" w:hAnsiTheme="minorHAnsi" w:eastAsiaTheme="minorEastAsia" w:cstheme="minorBidi"/>
          <w:kern w:val="2"/>
          <w:sz w:val="21"/>
          <w:szCs w:val="24"/>
          <w:lang w:val="en-US" w:eastAsia="zh-CN" w:bidi="ar-SA"/>
        </w:rPr>
      </w:sdtEndPr>
      <w:sdtContent>
        <w:p w14:paraId="1992CFDC">
          <w:pPr>
            <w:spacing w:before="0" w:beforeLines="0" w:after="0" w:afterLines="0" w:line="240" w:lineRule="auto"/>
            <w:ind w:left="0" w:leftChars="0" w:right="0" w:rightChars="0" w:firstLine="0" w:firstLineChars="0"/>
            <w:jc w:val="center"/>
            <w:rPr>
              <w:rFonts w:ascii="宋体" w:hAnsi="宋体" w:eastAsia="宋体"/>
              <w:b/>
              <w:bCs/>
              <w:sz w:val="36"/>
              <w:szCs w:val="36"/>
            </w:rPr>
          </w:pPr>
          <w:r>
            <w:rPr>
              <w:rFonts w:ascii="宋体" w:hAnsi="宋体" w:eastAsia="宋体"/>
              <w:b/>
              <w:bCs/>
              <w:sz w:val="36"/>
              <w:szCs w:val="36"/>
            </w:rPr>
            <w:t>目</w:t>
          </w:r>
          <w:r>
            <w:rPr>
              <w:rFonts w:hint="eastAsia" w:ascii="宋体" w:hAnsi="宋体" w:eastAsia="宋体"/>
              <w:b/>
              <w:bCs/>
              <w:sz w:val="36"/>
              <w:szCs w:val="36"/>
              <w:lang w:val="en-US" w:eastAsia="zh-CN"/>
            </w:rPr>
            <w:t xml:space="preserve">   </w:t>
          </w:r>
          <w:r>
            <w:rPr>
              <w:rFonts w:ascii="宋体" w:hAnsi="宋体" w:eastAsia="宋体"/>
              <w:b/>
              <w:bCs/>
              <w:sz w:val="36"/>
              <w:szCs w:val="36"/>
            </w:rPr>
            <w:t>录</w:t>
          </w:r>
        </w:p>
        <w:p w14:paraId="48A0FF0B">
          <w:pPr>
            <w:pStyle w:val="11"/>
            <w:rPr>
              <w:rFonts w:ascii="宋体" w:hAnsi="宋体" w:eastAsia="宋体"/>
              <w:b/>
              <w:bCs/>
              <w:sz w:val="36"/>
              <w:szCs w:val="36"/>
            </w:rPr>
          </w:pPr>
        </w:p>
        <w:p w14:paraId="444042C6">
          <w:pPr>
            <w:pStyle w:val="11"/>
            <w:rPr>
              <w:rFonts w:ascii="宋体" w:hAnsi="宋体" w:eastAsia="宋体"/>
              <w:b/>
              <w:bCs/>
              <w:sz w:val="36"/>
              <w:szCs w:val="36"/>
            </w:rPr>
          </w:pPr>
        </w:p>
        <w:p w14:paraId="1EB8118D">
          <w:pPr>
            <w:pStyle w:val="6"/>
            <w:shd w:val="clear" w:fill="FFFFFF" w:themeFill="background1"/>
            <w:tabs>
              <w:tab w:val="right" w:leader="dot" w:pos="8306"/>
              <w:tab w:val="clear" w:pos="8296"/>
            </w:tabs>
            <w:rPr>
              <w:rFonts w:hint="eastAsia" w:ascii="宋体" w:hAnsi="宋体" w:eastAsia="宋体" w:cs="宋体"/>
              <w:b w:val="0"/>
              <w:bCs w:val="0"/>
              <w:sz w:val="28"/>
              <w:szCs w:val="28"/>
              <w:shd w:val="clear" w:color="auto" w:fill="auto"/>
            </w:rPr>
          </w:pPr>
          <w:r>
            <w:rPr>
              <w:rFonts w:asciiTheme="minorHAnsi" w:hAnsiTheme="minorHAnsi" w:eastAsiaTheme="minorEastAsia" w:cstheme="minorBidi"/>
              <w:kern w:val="2"/>
              <w:sz w:val="21"/>
              <w:szCs w:val="24"/>
              <w:lang w:val="en-US" w:eastAsia="zh-CN" w:bidi="ar-SA"/>
            </w:rPr>
            <w:fldChar w:fldCharType="begin"/>
          </w:r>
          <w:r>
            <w:rPr>
              <w:rFonts w:asciiTheme="minorHAnsi" w:hAnsiTheme="minorHAnsi" w:eastAsiaTheme="minorEastAsia" w:cstheme="minorBidi"/>
              <w:kern w:val="2"/>
              <w:sz w:val="21"/>
              <w:szCs w:val="24"/>
              <w:lang w:val="en-US" w:eastAsia="zh-CN" w:bidi="ar-SA"/>
            </w:rPr>
            <w:instrText xml:space="preserve">TOC \o "1-3" \h \u </w:instrText>
          </w:r>
          <w:r>
            <w:rPr>
              <w:rFonts w:asciiTheme="minorHAnsi" w:hAnsiTheme="minorHAnsi" w:eastAsiaTheme="minorEastAsia" w:cstheme="minorBidi"/>
              <w:kern w:val="2"/>
              <w:sz w:val="21"/>
              <w:szCs w:val="24"/>
              <w:lang w:val="en-US" w:eastAsia="zh-CN" w:bidi="ar-SA"/>
            </w:rPr>
            <w:fldChar w:fldCharType="separate"/>
          </w:r>
          <w:r>
            <w:rPr>
              <w:rFonts w:hint="eastAsia" w:ascii="宋体" w:hAnsi="宋体" w:eastAsia="宋体" w:cs="宋体"/>
              <w:b w:val="0"/>
              <w:bCs w:val="0"/>
              <w:kern w:val="2"/>
              <w:sz w:val="28"/>
              <w:szCs w:val="28"/>
              <w:shd w:val="clear" w:color="auto" w:fill="auto"/>
              <w:lang w:val="en-US" w:eastAsia="zh-CN" w:bidi="ar-SA"/>
            </w:rPr>
            <w:fldChar w:fldCharType="begin"/>
          </w:r>
          <w:r>
            <w:rPr>
              <w:rFonts w:hint="eastAsia" w:ascii="宋体" w:hAnsi="宋体" w:eastAsia="宋体" w:cs="宋体"/>
              <w:b w:val="0"/>
              <w:bCs w:val="0"/>
              <w:kern w:val="2"/>
              <w:sz w:val="28"/>
              <w:szCs w:val="28"/>
              <w:shd w:val="clear" w:color="auto" w:fill="auto"/>
              <w:lang w:val="en-US" w:eastAsia="zh-CN" w:bidi="ar-SA"/>
            </w:rPr>
            <w:instrText xml:space="preserve"> HYPERLINK \l _Toc18061 </w:instrText>
          </w:r>
          <w:r>
            <w:rPr>
              <w:rFonts w:hint="eastAsia" w:ascii="宋体" w:hAnsi="宋体" w:eastAsia="宋体" w:cs="宋体"/>
              <w:b w:val="0"/>
              <w:bCs w:val="0"/>
              <w:kern w:val="2"/>
              <w:sz w:val="28"/>
              <w:szCs w:val="28"/>
              <w:shd w:val="clear" w:color="auto" w:fill="auto"/>
              <w:lang w:val="en-US" w:eastAsia="zh-CN" w:bidi="ar-SA"/>
            </w:rPr>
            <w:fldChar w:fldCharType="separate"/>
          </w:r>
          <w:r>
            <w:rPr>
              <w:rFonts w:hint="eastAsia" w:ascii="宋体" w:hAnsi="宋体" w:eastAsia="宋体" w:cs="宋体"/>
              <w:b w:val="0"/>
              <w:bCs w:val="0"/>
              <w:sz w:val="28"/>
              <w:szCs w:val="28"/>
              <w:highlight w:val="none"/>
              <w:shd w:val="clear" w:color="auto" w:fill="auto"/>
            </w:rPr>
            <w:t>表一  工程概况及验收监测依据、标准</w:t>
          </w:r>
          <w:r>
            <w:rPr>
              <w:rFonts w:hint="eastAsia" w:ascii="宋体" w:hAnsi="宋体" w:eastAsia="宋体" w:cs="宋体"/>
              <w:b w:val="0"/>
              <w:bCs w:val="0"/>
              <w:sz w:val="28"/>
              <w:szCs w:val="28"/>
              <w:shd w:val="clear" w:color="auto" w:fill="auto"/>
            </w:rPr>
            <w:tab/>
          </w:r>
          <w:r>
            <w:rPr>
              <w:rFonts w:hint="eastAsia" w:ascii="宋体" w:hAnsi="宋体" w:eastAsia="宋体" w:cs="宋体"/>
              <w:b w:val="0"/>
              <w:bCs w:val="0"/>
              <w:sz w:val="28"/>
              <w:szCs w:val="28"/>
              <w:shd w:val="clear" w:color="auto" w:fill="auto"/>
            </w:rPr>
            <w:fldChar w:fldCharType="begin"/>
          </w:r>
          <w:r>
            <w:rPr>
              <w:rFonts w:hint="eastAsia" w:ascii="宋体" w:hAnsi="宋体" w:eastAsia="宋体" w:cs="宋体"/>
              <w:b w:val="0"/>
              <w:bCs w:val="0"/>
              <w:sz w:val="28"/>
              <w:szCs w:val="28"/>
              <w:shd w:val="clear" w:color="auto" w:fill="auto"/>
            </w:rPr>
            <w:instrText xml:space="preserve"> PAGEREF _Toc18061 \h </w:instrText>
          </w:r>
          <w:r>
            <w:rPr>
              <w:rFonts w:hint="eastAsia" w:ascii="宋体" w:hAnsi="宋体" w:eastAsia="宋体" w:cs="宋体"/>
              <w:b w:val="0"/>
              <w:bCs w:val="0"/>
              <w:sz w:val="28"/>
              <w:szCs w:val="28"/>
              <w:shd w:val="clear" w:color="auto" w:fill="auto"/>
            </w:rPr>
            <w:fldChar w:fldCharType="separate"/>
          </w:r>
          <w:r>
            <w:rPr>
              <w:rFonts w:hint="eastAsia" w:ascii="宋体" w:hAnsi="宋体" w:eastAsia="宋体" w:cs="宋体"/>
              <w:b w:val="0"/>
              <w:bCs w:val="0"/>
              <w:sz w:val="28"/>
              <w:szCs w:val="28"/>
              <w:shd w:val="clear" w:color="auto" w:fill="auto"/>
            </w:rPr>
            <w:t>3</w:t>
          </w:r>
          <w:r>
            <w:rPr>
              <w:rFonts w:hint="eastAsia" w:ascii="宋体" w:hAnsi="宋体" w:eastAsia="宋体" w:cs="宋体"/>
              <w:b w:val="0"/>
              <w:bCs w:val="0"/>
              <w:sz w:val="28"/>
              <w:szCs w:val="28"/>
              <w:shd w:val="clear" w:color="auto" w:fill="auto"/>
            </w:rPr>
            <w:fldChar w:fldCharType="end"/>
          </w:r>
          <w:r>
            <w:rPr>
              <w:rFonts w:hint="eastAsia" w:ascii="宋体" w:hAnsi="宋体" w:eastAsia="宋体" w:cs="宋体"/>
              <w:b w:val="0"/>
              <w:bCs w:val="0"/>
              <w:kern w:val="2"/>
              <w:sz w:val="28"/>
              <w:szCs w:val="28"/>
              <w:shd w:val="clear" w:color="auto" w:fill="auto"/>
              <w:lang w:val="en-US" w:eastAsia="zh-CN" w:bidi="ar-SA"/>
            </w:rPr>
            <w:fldChar w:fldCharType="end"/>
          </w:r>
        </w:p>
        <w:p w14:paraId="6AF7C0BD">
          <w:pPr>
            <w:pStyle w:val="6"/>
            <w:shd w:val="clear" w:fill="FFFFFF" w:themeFill="background1"/>
            <w:tabs>
              <w:tab w:val="right" w:leader="dot" w:pos="8306"/>
              <w:tab w:val="clear" w:pos="8296"/>
            </w:tabs>
            <w:rPr>
              <w:rFonts w:hint="eastAsia" w:ascii="宋体" w:hAnsi="宋体" w:eastAsia="宋体" w:cs="宋体"/>
              <w:b w:val="0"/>
              <w:bCs w:val="0"/>
              <w:sz w:val="28"/>
              <w:szCs w:val="28"/>
              <w:shd w:val="clear" w:color="auto" w:fill="auto"/>
            </w:rPr>
          </w:pPr>
          <w:r>
            <w:rPr>
              <w:rFonts w:hint="eastAsia" w:ascii="宋体" w:hAnsi="宋体" w:eastAsia="宋体" w:cs="宋体"/>
              <w:b w:val="0"/>
              <w:bCs w:val="0"/>
              <w:kern w:val="2"/>
              <w:sz w:val="28"/>
              <w:szCs w:val="28"/>
              <w:shd w:val="clear" w:color="auto" w:fill="auto"/>
              <w:lang w:val="en-US" w:eastAsia="zh-CN" w:bidi="ar-SA"/>
            </w:rPr>
            <w:fldChar w:fldCharType="begin"/>
          </w:r>
          <w:r>
            <w:rPr>
              <w:rFonts w:hint="eastAsia" w:ascii="宋体" w:hAnsi="宋体" w:eastAsia="宋体" w:cs="宋体"/>
              <w:b w:val="0"/>
              <w:bCs w:val="0"/>
              <w:kern w:val="2"/>
              <w:sz w:val="28"/>
              <w:szCs w:val="28"/>
              <w:shd w:val="clear" w:color="auto" w:fill="auto"/>
              <w:lang w:val="en-US" w:eastAsia="zh-CN" w:bidi="ar-SA"/>
            </w:rPr>
            <w:instrText xml:space="preserve"> HYPERLINK \l _Toc15201 </w:instrText>
          </w:r>
          <w:r>
            <w:rPr>
              <w:rFonts w:hint="eastAsia" w:ascii="宋体" w:hAnsi="宋体" w:eastAsia="宋体" w:cs="宋体"/>
              <w:b w:val="0"/>
              <w:bCs w:val="0"/>
              <w:kern w:val="2"/>
              <w:sz w:val="28"/>
              <w:szCs w:val="28"/>
              <w:shd w:val="clear" w:color="auto" w:fill="auto"/>
              <w:lang w:val="en-US" w:eastAsia="zh-CN" w:bidi="ar-SA"/>
            </w:rPr>
            <w:fldChar w:fldCharType="separate"/>
          </w:r>
          <w:r>
            <w:rPr>
              <w:rFonts w:hint="eastAsia" w:ascii="宋体" w:hAnsi="宋体" w:eastAsia="宋体" w:cs="宋体"/>
              <w:b w:val="0"/>
              <w:bCs w:val="0"/>
              <w:sz w:val="28"/>
              <w:szCs w:val="28"/>
              <w:highlight w:val="none"/>
              <w:shd w:val="clear" w:color="auto" w:fill="auto"/>
            </w:rPr>
            <w:t>表二  工艺流程及产污环节</w:t>
          </w:r>
          <w:r>
            <w:rPr>
              <w:rFonts w:hint="eastAsia" w:ascii="宋体" w:hAnsi="宋体" w:eastAsia="宋体" w:cs="宋体"/>
              <w:b w:val="0"/>
              <w:bCs w:val="0"/>
              <w:sz w:val="28"/>
              <w:szCs w:val="28"/>
              <w:shd w:val="clear" w:color="auto" w:fill="auto"/>
            </w:rPr>
            <w:tab/>
          </w:r>
          <w:r>
            <w:rPr>
              <w:rFonts w:hint="eastAsia" w:ascii="宋体" w:hAnsi="宋体" w:eastAsia="宋体" w:cs="宋体"/>
              <w:b w:val="0"/>
              <w:bCs w:val="0"/>
              <w:sz w:val="28"/>
              <w:szCs w:val="28"/>
              <w:shd w:val="clear" w:color="auto" w:fill="auto"/>
            </w:rPr>
            <w:fldChar w:fldCharType="begin"/>
          </w:r>
          <w:r>
            <w:rPr>
              <w:rFonts w:hint="eastAsia" w:ascii="宋体" w:hAnsi="宋体" w:eastAsia="宋体" w:cs="宋体"/>
              <w:b w:val="0"/>
              <w:bCs w:val="0"/>
              <w:sz w:val="28"/>
              <w:szCs w:val="28"/>
              <w:shd w:val="clear" w:color="auto" w:fill="auto"/>
            </w:rPr>
            <w:instrText xml:space="preserve"> PAGEREF _Toc15201 \h </w:instrText>
          </w:r>
          <w:r>
            <w:rPr>
              <w:rFonts w:hint="eastAsia" w:ascii="宋体" w:hAnsi="宋体" w:eastAsia="宋体" w:cs="宋体"/>
              <w:b w:val="0"/>
              <w:bCs w:val="0"/>
              <w:sz w:val="28"/>
              <w:szCs w:val="28"/>
              <w:shd w:val="clear" w:color="auto" w:fill="auto"/>
            </w:rPr>
            <w:fldChar w:fldCharType="separate"/>
          </w:r>
          <w:r>
            <w:rPr>
              <w:rFonts w:hint="eastAsia" w:ascii="宋体" w:hAnsi="宋体" w:eastAsia="宋体" w:cs="宋体"/>
              <w:b w:val="0"/>
              <w:bCs w:val="0"/>
              <w:sz w:val="28"/>
              <w:szCs w:val="28"/>
              <w:shd w:val="clear" w:color="auto" w:fill="auto"/>
            </w:rPr>
            <w:t>13</w:t>
          </w:r>
          <w:r>
            <w:rPr>
              <w:rFonts w:hint="eastAsia" w:ascii="宋体" w:hAnsi="宋体" w:eastAsia="宋体" w:cs="宋体"/>
              <w:b w:val="0"/>
              <w:bCs w:val="0"/>
              <w:sz w:val="28"/>
              <w:szCs w:val="28"/>
              <w:shd w:val="clear" w:color="auto" w:fill="auto"/>
            </w:rPr>
            <w:fldChar w:fldCharType="end"/>
          </w:r>
          <w:r>
            <w:rPr>
              <w:rFonts w:hint="eastAsia" w:ascii="宋体" w:hAnsi="宋体" w:eastAsia="宋体" w:cs="宋体"/>
              <w:b w:val="0"/>
              <w:bCs w:val="0"/>
              <w:kern w:val="2"/>
              <w:sz w:val="28"/>
              <w:szCs w:val="28"/>
              <w:shd w:val="clear" w:color="auto" w:fill="auto"/>
              <w:lang w:val="en-US" w:eastAsia="zh-CN" w:bidi="ar-SA"/>
            </w:rPr>
            <w:fldChar w:fldCharType="end"/>
          </w:r>
        </w:p>
        <w:p w14:paraId="496853CB">
          <w:pPr>
            <w:pStyle w:val="6"/>
            <w:shd w:val="clear" w:fill="FFFFFF" w:themeFill="background1"/>
            <w:tabs>
              <w:tab w:val="right" w:leader="dot" w:pos="8306"/>
              <w:tab w:val="clear" w:pos="8296"/>
            </w:tabs>
            <w:rPr>
              <w:rFonts w:hint="eastAsia" w:ascii="宋体" w:hAnsi="宋体" w:eastAsia="宋体" w:cs="宋体"/>
              <w:b w:val="0"/>
              <w:bCs w:val="0"/>
              <w:sz w:val="28"/>
              <w:szCs w:val="28"/>
              <w:shd w:val="clear" w:color="auto" w:fill="auto"/>
            </w:rPr>
          </w:pPr>
          <w:r>
            <w:rPr>
              <w:rFonts w:hint="eastAsia" w:ascii="宋体" w:hAnsi="宋体" w:eastAsia="宋体" w:cs="宋体"/>
              <w:b w:val="0"/>
              <w:bCs w:val="0"/>
              <w:kern w:val="2"/>
              <w:sz w:val="28"/>
              <w:szCs w:val="28"/>
              <w:shd w:val="clear" w:color="auto" w:fill="auto"/>
              <w:lang w:val="en-US" w:eastAsia="zh-CN" w:bidi="ar-SA"/>
            </w:rPr>
            <w:fldChar w:fldCharType="begin"/>
          </w:r>
          <w:r>
            <w:rPr>
              <w:rFonts w:hint="eastAsia" w:ascii="宋体" w:hAnsi="宋体" w:eastAsia="宋体" w:cs="宋体"/>
              <w:b w:val="0"/>
              <w:bCs w:val="0"/>
              <w:kern w:val="2"/>
              <w:sz w:val="28"/>
              <w:szCs w:val="28"/>
              <w:shd w:val="clear" w:color="auto" w:fill="auto"/>
              <w:lang w:val="en-US" w:eastAsia="zh-CN" w:bidi="ar-SA"/>
            </w:rPr>
            <w:instrText xml:space="preserve"> HYPERLINK \l _Toc27088 </w:instrText>
          </w:r>
          <w:r>
            <w:rPr>
              <w:rFonts w:hint="eastAsia" w:ascii="宋体" w:hAnsi="宋体" w:eastAsia="宋体" w:cs="宋体"/>
              <w:b w:val="0"/>
              <w:bCs w:val="0"/>
              <w:kern w:val="2"/>
              <w:sz w:val="28"/>
              <w:szCs w:val="28"/>
              <w:shd w:val="clear" w:color="auto" w:fill="auto"/>
              <w:lang w:val="en-US" w:eastAsia="zh-CN" w:bidi="ar-SA"/>
            </w:rPr>
            <w:fldChar w:fldCharType="separate"/>
          </w:r>
          <w:r>
            <w:rPr>
              <w:rFonts w:hint="eastAsia" w:ascii="宋体" w:hAnsi="宋体" w:eastAsia="宋体" w:cs="宋体"/>
              <w:b w:val="0"/>
              <w:bCs w:val="0"/>
              <w:sz w:val="28"/>
              <w:szCs w:val="28"/>
              <w:highlight w:val="none"/>
              <w:shd w:val="clear" w:color="auto" w:fill="auto"/>
            </w:rPr>
            <w:t>表三  主要污染源及环保措施</w:t>
          </w:r>
          <w:r>
            <w:rPr>
              <w:rFonts w:hint="eastAsia" w:ascii="宋体" w:hAnsi="宋体" w:eastAsia="宋体" w:cs="宋体"/>
              <w:b w:val="0"/>
              <w:bCs w:val="0"/>
              <w:sz w:val="28"/>
              <w:szCs w:val="28"/>
              <w:shd w:val="clear" w:color="auto" w:fill="auto"/>
            </w:rPr>
            <w:tab/>
          </w:r>
          <w:r>
            <w:rPr>
              <w:rFonts w:hint="eastAsia" w:ascii="宋体" w:hAnsi="宋体" w:eastAsia="宋体" w:cs="宋体"/>
              <w:b w:val="0"/>
              <w:bCs w:val="0"/>
              <w:sz w:val="28"/>
              <w:szCs w:val="28"/>
              <w:shd w:val="clear" w:color="auto" w:fill="auto"/>
            </w:rPr>
            <w:fldChar w:fldCharType="begin"/>
          </w:r>
          <w:r>
            <w:rPr>
              <w:rFonts w:hint="eastAsia" w:ascii="宋体" w:hAnsi="宋体" w:eastAsia="宋体" w:cs="宋体"/>
              <w:b w:val="0"/>
              <w:bCs w:val="0"/>
              <w:sz w:val="28"/>
              <w:szCs w:val="28"/>
              <w:shd w:val="clear" w:color="auto" w:fill="auto"/>
            </w:rPr>
            <w:instrText xml:space="preserve"> PAGEREF _Toc27088 \h </w:instrText>
          </w:r>
          <w:r>
            <w:rPr>
              <w:rFonts w:hint="eastAsia" w:ascii="宋体" w:hAnsi="宋体" w:eastAsia="宋体" w:cs="宋体"/>
              <w:b w:val="0"/>
              <w:bCs w:val="0"/>
              <w:sz w:val="28"/>
              <w:szCs w:val="28"/>
              <w:shd w:val="clear" w:color="auto" w:fill="auto"/>
            </w:rPr>
            <w:fldChar w:fldCharType="separate"/>
          </w:r>
          <w:r>
            <w:rPr>
              <w:rFonts w:hint="eastAsia" w:ascii="宋体" w:hAnsi="宋体" w:eastAsia="宋体" w:cs="宋体"/>
              <w:b w:val="0"/>
              <w:bCs w:val="0"/>
              <w:sz w:val="28"/>
              <w:szCs w:val="28"/>
              <w:shd w:val="clear" w:color="auto" w:fill="auto"/>
            </w:rPr>
            <w:t>16</w:t>
          </w:r>
          <w:r>
            <w:rPr>
              <w:rFonts w:hint="eastAsia" w:ascii="宋体" w:hAnsi="宋体" w:eastAsia="宋体" w:cs="宋体"/>
              <w:b w:val="0"/>
              <w:bCs w:val="0"/>
              <w:sz w:val="28"/>
              <w:szCs w:val="28"/>
              <w:shd w:val="clear" w:color="auto" w:fill="auto"/>
            </w:rPr>
            <w:fldChar w:fldCharType="end"/>
          </w:r>
          <w:r>
            <w:rPr>
              <w:rFonts w:hint="eastAsia" w:ascii="宋体" w:hAnsi="宋体" w:eastAsia="宋体" w:cs="宋体"/>
              <w:b w:val="0"/>
              <w:bCs w:val="0"/>
              <w:kern w:val="2"/>
              <w:sz w:val="28"/>
              <w:szCs w:val="28"/>
              <w:shd w:val="clear" w:color="auto" w:fill="auto"/>
              <w:lang w:val="en-US" w:eastAsia="zh-CN" w:bidi="ar-SA"/>
            </w:rPr>
            <w:fldChar w:fldCharType="end"/>
          </w:r>
        </w:p>
        <w:p w14:paraId="5F3D9465">
          <w:pPr>
            <w:pStyle w:val="6"/>
            <w:shd w:val="clear" w:fill="FFFFFF" w:themeFill="background1"/>
            <w:tabs>
              <w:tab w:val="right" w:leader="dot" w:pos="8306"/>
              <w:tab w:val="clear" w:pos="8296"/>
            </w:tabs>
            <w:rPr>
              <w:rFonts w:hint="eastAsia" w:ascii="宋体" w:hAnsi="宋体" w:eastAsia="宋体" w:cs="宋体"/>
              <w:b w:val="0"/>
              <w:bCs w:val="0"/>
              <w:sz w:val="28"/>
              <w:szCs w:val="28"/>
              <w:shd w:val="clear" w:color="auto" w:fill="auto"/>
            </w:rPr>
          </w:pPr>
          <w:r>
            <w:rPr>
              <w:rFonts w:hint="eastAsia" w:ascii="宋体" w:hAnsi="宋体" w:eastAsia="宋体" w:cs="宋体"/>
              <w:b w:val="0"/>
              <w:bCs w:val="0"/>
              <w:kern w:val="2"/>
              <w:sz w:val="28"/>
              <w:szCs w:val="28"/>
              <w:shd w:val="clear" w:color="auto" w:fill="auto"/>
              <w:lang w:val="en-US" w:eastAsia="zh-CN" w:bidi="ar-SA"/>
            </w:rPr>
            <w:fldChar w:fldCharType="begin"/>
          </w:r>
          <w:r>
            <w:rPr>
              <w:rFonts w:hint="eastAsia" w:ascii="宋体" w:hAnsi="宋体" w:eastAsia="宋体" w:cs="宋体"/>
              <w:b w:val="0"/>
              <w:bCs w:val="0"/>
              <w:kern w:val="2"/>
              <w:sz w:val="28"/>
              <w:szCs w:val="28"/>
              <w:shd w:val="clear" w:color="auto" w:fill="auto"/>
              <w:lang w:val="en-US" w:eastAsia="zh-CN" w:bidi="ar-SA"/>
            </w:rPr>
            <w:instrText xml:space="preserve"> HYPERLINK \l _Toc31217 </w:instrText>
          </w:r>
          <w:r>
            <w:rPr>
              <w:rFonts w:hint="eastAsia" w:ascii="宋体" w:hAnsi="宋体" w:eastAsia="宋体" w:cs="宋体"/>
              <w:b w:val="0"/>
              <w:bCs w:val="0"/>
              <w:kern w:val="2"/>
              <w:sz w:val="28"/>
              <w:szCs w:val="28"/>
              <w:shd w:val="clear" w:color="auto" w:fill="auto"/>
              <w:lang w:val="en-US" w:eastAsia="zh-CN" w:bidi="ar-SA"/>
            </w:rPr>
            <w:fldChar w:fldCharType="separate"/>
          </w:r>
          <w:r>
            <w:rPr>
              <w:rFonts w:hint="eastAsia" w:ascii="宋体" w:hAnsi="宋体" w:eastAsia="宋体" w:cs="宋体"/>
              <w:b w:val="0"/>
              <w:bCs w:val="0"/>
              <w:sz w:val="28"/>
              <w:szCs w:val="28"/>
              <w:highlight w:val="none"/>
              <w:shd w:val="clear" w:color="auto" w:fill="auto"/>
            </w:rPr>
            <w:t>表</w:t>
          </w:r>
          <w:r>
            <w:rPr>
              <w:rFonts w:hint="eastAsia" w:ascii="宋体" w:hAnsi="宋体" w:eastAsia="宋体" w:cs="宋体"/>
              <w:b w:val="0"/>
              <w:bCs w:val="0"/>
              <w:sz w:val="28"/>
              <w:szCs w:val="28"/>
              <w:highlight w:val="none"/>
              <w:shd w:val="clear" w:color="auto" w:fill="auto"/>
              <w:lang w:val="en-US" w:eastAsia="zh-CN"/>
            </w:rPr>
            <w:t>四</w:t>
          </w:r>
          <w:r>
            <w:rPr>
              <w:rFonts w:hint="eastAsia" w:ascii="宋体" w:hAnsi="宋体" w:eastAsia="宋体" w:cs="宋体"/>
              <w:b w:val="0"/>
              <w:bCs w:val="0"/>
              <w:sz w:val="28"/>
              <w:szCs w:val="28"/>
              <w:highlight w:val="none"/>
              <w:shd w:val="clear" w:color="auto" w:fill="auto"/>
            </w:rPr>
            <w:t xml:space="preserve">  环境影响报告表主要结论及审批部门审批决定</w:t>
          </w:r>
          <w:r>
            <w:rPr>
              <w:rFonts w:hint="eastAsia" w:ascii="宋体" w:hAnsi="宋体" w:eastAsia="宋体" w:cs="宋体"/>
              <w:b w:val="0"/>
              <w:bCs w:val="0"/>
              <w:sz w:val="28"/>
              <w:szCs w:val="28"/>
              <w:shd w:val="clear" w:color="auto" w:fill="auto"/>
            </w:rPr>
            <w:tab/>
          </w:r>
          <w:r>
            <w:rPr>
              <w:rFonts w:hint="eastAsia" w:ascii="宋体" w:hAnsi="宋体" w:eastAsia="宋体" w:cs="宋体"/>
              <w:b w:val="0"/>
              <w:bCs w:val="0"/>
              <w:sz w:val="28"/>
              <w:szCs w:val="28"/>
              <w:shd w:val="clear" w:color="auto" w:fill="auto"/>
            </w:rPr>
            <w:fldChar w:fldCharType="begin"/>
          </w:r>
          <w:r>
            <w:rPr>
              <w:rFonts w:hint="eastAsia" w:ascii="宋体" w:hAnsi="宋体" w:eastAsia="宋体" w:cs="宋体"/>
              <w:b w:val="0"/>
              <w:bCs w:val="0"/>
              <w:sz w:val="28"/>
              <w:szCs w:val="28"/>
              <w:shd w:val="clear" w:color="auto" w:fill="auto"/>
            </w:rPr>
            <w:instrText xml:space="preserve"> PAGEREF _Toc31217 \h </w:instrText>
          </w:r>
          <w:r>
            <w:rPr>
              <w:rFonts w:hint="eastAsia" w:ascii="宋体" w:hAnsi="宋体" w:eastAsia="宋体" w:cs="宋体"/>
              <w:b w:val="0"/>
              <w:bCs w:val="0"/>
              <w:sz w:val="28"/>
              <w:szCs w:val="28"/>
              <w:shd w:val="clear" w:color="auto" w:fill="auto"/>
            </w:rPr>
            <w:fldChar w:fldCharType="separate"/>
          </w:r>
          <w:r>
            <w:rPr>
              <w:rFonts w:hint="eastAsia" w:ascii="宋体" w:hAnsi="宋体" w:eastAsia="宋体" w:cs="宋体"/>
              <w:b w:val="0"/>
              <w:bCs w:val="0"/>
              <w:sz w:val="28"/>
              <w:szCs w:val="28"/>
              <w:shd w:val="clear" w:color="auto" w:fill="auto"/>
            </w:rPr>
            <w:t>19</w:t>
          </w:r>
          <w:r>
            <w:rPr>
              <w:rFonts w:hint="eastAsia" w:ascii="宋体" w:hAnsi="宋体" w:eastAsia="宋体" w:cs="宋体"/>
              <w:b w:val="0"/>
              <w:bCs w:val="0"/>
              <w:sz w:val="28"/>
              <w:szCs w:val="28"/>
              <w:shd w:val="clear" w:color="auto" w:fill="auto"/>
            </w:rPr>
            <w:fldChar w:fldCharType="end"/>
          </w:r>
          <w:r>
            <w:rPr>
              <w:rFonts w:hint="eastAsia" w:ascii="宋体" w:hAnsi="宋体" w:eastAsia="宋体" w:cs="宋体"/>
              <w:b w:val="0"/>
              <w:bCs w:val="0"/>
              <w:kern w:val="2"/>
              <w:sz w:val="28"/>
              <w:szCs w:val="28"/>
              <w:shd w:val="clear" w:color="auto" w:fill="auto"/>
              <w:lang w:val="en-US" w:eastAsia="zh-CN" w:bidi="ar-SA"/>
            </w:rPr>
            <w:fldChar w:fldCharType="end"/>
          </w:r>
        </w:p>
        <w:p w14:paraId="17DC0CE0">
          <w:pPr>
            <w:pStyle w:val="6"/>
            <w:shd w:val="clear" w:fill="FFFFFF" w:themeFill="background1"/>
            <w:tabs>
              <w:tab w:val="right" w:leader="dot" w:pos="8306"/>
              <w:tab w:val="clear" w:pos="8296"/>
            </w:tabs>
            <w:rPr>
              <w:rFonts w:hint="eastAsia" w:ascii="宋体" w:hAnsi="宋体" w:eastAsia="宋体" w:cs="宋体"/>
              <w:b w:val="0"/>
              <w:bCs w:val="0"/>
              <w:sz w:val="28"/>
              <w:szCs w:val="28"/>
              <w:shd w:val="clear" w:color="auto" w:fill="auto"/>
            </w:rPr>
          </w:pPr>
          <w:r>
            <w:rPr>
              <w:rFonts w:hint="eastAsia" w:ascii="宋体" w:hAnsi="宋体" w:eastAsia="宋体" w:cs="宋体"/>
              <w:b w:val="0"/>
              <w:bCs w:val="0"/>
              <w:kern w:val="2"/>
              <w:sz w:val="28"/>
              <w:szCs w:val="28"/>
              <w:shd w:val="clear" w:color="auto" w:fill="auto"/>
              <w:lang w:val="en-US" w:eastAsia="zh-CN" w:bidi="ar-SA"/>
            </w:rPr>
            <w:fldChar w:fldCharType="begin"/>
          </w:r>
          <w:r>
            <w:rPr>
              <w:rFonts w:hint="eastAsia" w:ascii="宋体" w:hAnsi="宋体" w:eastAsia="宋体" w:cs="宋体"/>
              <w:b w:val="0"/>
              <w:bCs w:val="0"/>
              <w:kern w:val="2"/>
              <w:sz w:val="28"/>
              <w:szCs w:val="28"/>
              <w:shd w:val="clear" w:color="auto" w:fill="auto"/>
              <w:lang w:val="en-US" w:eastAsia="zh-CN" w:bidi="ar-SA"/>
            </w:rPr>
            <w:instrText xml:space="preserve"> HYPERLINK \l _Toc28847 </w:instrText>
          </w:r>
          <w:r>
            <w:rPr>
              <w:rFonts w:hint="eastAsia" w:ascii="宋体" w:hAnsi="宋体" w:eastAsia="宋体" w:cs="宋体"/>
              <w:b w:val="0"/>
              <w:bCs w:val="0"/>
              <w:kern w:val="2"/>
              <w:sz w:val="28"/>
              <w:szCs w:val="28"/>
              <w:shd w:val="clear" w:color="auto" w:fill="auto"/>
              <w:lang w:val="en-US" w:eastAsia="zh-CN" w:bidi="ar-SA"/>
            </w:rPr>
            <w:fldChar w:fldCharType="separate"/>
          </w:r>
          <w:r>
            <w:rPr>
              <w:rFonts w:hint="eastAsia" w:ascii="宋体" w:hAnsi="宋体" w:eastAsia="宋体" w:cs="宋体"/>
              <w:b w:val="0"/>
              <w:bCs w:val="0"/>
              <w:sz w:val="28"/>
              <w:szCs w:val="28"/>
              <w:highlight w:val="none"/>
              <w:shd w:val="clear" w:color="auto" w:fill="auto"/>
            </w:rPr>
            <w:t>表</w:t>
          </w:r>
          <w:r>
            <w:rPr>
              <w:rFonts w:hint="eastAsia" w:ascii="宋体" w:hAnsi="宋体" w:eastAsia="宋体" w:cs="宋体"/>
              <w:b w:val="0"/>
              <w:bCs w:val="0"/>
              <w:sz w:val="28"/>
              <w:szCs w:val="28"/>
              <w:highlight w:val="none"/>
              <w:shd w:val="clear" w:color="auto" w:fill="auto"/>
              <w:lang w:val="en-US" w:eastAsia="zh-CN"/>
            </w:rPr>
            <w:t>五</w:t>
          </w:r>
          <w:r>
            <w:rPr>
              <w:rFonts w:hint="eastAsia" w:ascii="宋体" w:hAnsi="宋体" w:eastAsia="宋体" w:cs="宋体"/>
              <w:b w:val="0"/>
              <w:bCs w:val="0"/>
              <w:sz w:val="28"/>
              <w:szCs w:val="28"/>
              <w:highlight w:val="none"/>
              <w:shd w:val="clear" w:color="auto" w:fill="auto"/>
            </w:rPr>
            <w:t xml:space="preserve">  验收监测内容及执行标准</w:t>
          </w:r>
          <w:r>
            <w:rPr>
              <w:rFonts w:hint="eastAsia" w:ascii="宋体" w:hAnsi="宋体" w:eastAsia="宋体" w:cs="宋体"/>
              <w:b w:val="0"/>
              <w:bCs w:val="0"/>
              <w:sz w:val="28"/>
              <w:szCs w:val="28"/>
              <w:shd w:val="clear" w:color="auto" w:fill="auto"/>
            </w:rPr>
            <w:tab/>
          </w:r>
          <w:r>
            <w:rPr>
              <w:rFonts w:hint="eastAsia" w:ascii="宋体" w:hAnsi="宋体" w:eastAsia="宋体" w:cs="宋体"/>
              <w:b w:val="0"/>
              <w:bCs w:val="0"/>
              <w:sz w:val="28"/>
              <w:szCs w:val="28"/>
              <w:shd w:val="clear" w:color="auto" w:fill="auto"/>
            </w:rPr>
            <w:fldChar w:fldCharType="begin"/>
          </w:r>
          <w:r>
            <w:rPr>
              <w:rFonts w:hint="eastAsia" w:ascii="宋体" w:hAnsi="宋体" w:eastAsia="宋体" w:cs="宋体"/>
              <w:b w:val="0"/>
              <w:bCs w:val="0"/>
              <w:sz w:val="28"/>
              <w:szCs w:val="28"/>
              <w:shd w:val="clear" w:color="auto" w:fill="auto"/>
            </w:rPr>
            <w:instrText xml:space="preserve"> PAGEREF _Toc28847 \h </w:instrText>
          </w:r>
          <w:r>
            <w:rPr>
              <w:rFonts w:hint="eastAsia" w:ascii="宋体" w:hAnsi="宋体" w:eastAsia="宋体" w:cs="宋体"/>
              <w:b w:val="0"/>
              <w:bCs w:val="0"/>
              <w:sz w:val="28"/>
              <w:szCs w:val="28"/>
              <w:shd w:val="clear" w:color="auto" w:fill="auto"/>
            </w:rPr>
            <w:fldChar w:fldCharType="separate"/>
          </w:r>
          <w:r>
            <w:rPr>
              <w:rFonts w:hint="eastAsia" w:ascii="宋体" w:hAnsi="宋体" w:eastAsia="宋体" w:cs="宋体"/>
              <w:b w:val="0"/>
              <w:bCs w:val="0"/>
              <w:sz w:val="28"/>
              <w:szCs w:val="28"/>
              <w:shd w:val="clear" w:color="auto" w:fill="auto"/>
            </w:rPr>
            <w:t>25</w:t>
          </w:r>
          <w:r>
            <w:rPr>
              <w:rFonts w:hint="eastAsia" w:ascii="宋体" w:hAnsi="宋体" w:eastAsia="宋体" w:cs="宋体"/>
              <w:b w:val="0"/>
              <w:bCs w:val="0"/>
              <w:sz w:val="28"/>
              <w:szCs w:val="28"/>
              <w:shd w:val="clear" w:color="auto" w:fill="auto"/>
            </w:rPr>
            <w:fldChar w:fldCharType="end"/>
          </w:r>
          <w:r>
            <w:rPr>
              <w:rFonts w:hint="eastAsia" w:ascii="宋体" w:hAnsi="宋体" w:eastAsia="宋体" w:cs="宋体"/>
              <w:b w:val="0"/>
              <w:bCs w:val="0"/>
              <w:kern w:val="2"/>
              <w:sz w:val="28"/>
              <w:szCs w:val="28"/>
              <w:shd w:val="clear" w:color="auto" w:fill="auto"/>
              <w:lang w:val="en-US" w:eastAsia="zh-CN" w:bidi="ar-SA"/>
            </w:rPr>
            <w:fldChar w:fldCharType="end"/>
          </w:r>
        </w:p>
        <w:p w14:paraId="1F04526C">
          <w:pPr>
            <w:pStyle w:val="6"/>
            <w:shd w:val="clear" w:fill="FFFFFF" w:themeFill="background1"/>
            <w:tabs>
              <w:tab w:val="right" w:leader="dot" w:pos="8306"/>
              <w:tab w:val="clear" w:pos="8296"/>
            </w:tabs>
            <w:rPr>
              <w:rFonts w:hint="eastAsia" w:ascii="宋体" w:hAnsi="宋体" w:eastAsia="宋体" w:cs="宋体"/>
              <w:b w:val="0"/>
              <w:bCs w:val="0"/>
              <w:sz w:val="28"/>
              <w:szCs w:val="28"/>
              <w:shd w:val="clear" w:color="auto" w:fill="auto"/>
            </w:rPr>
          </w:pPr>
          <w:r>
            <w:rPr>
              <w:rFonts w:hint="eastAsia" w:ascii="宋体" w:hAnsi="宋体" w:eastAsia="宋体" w:cs="宋体"/>
              <w:b w:val="0"/>
              <w:bCs w:val="0"/>
              <w:kern w:val="2"/>
              <w:sz w:val="28"/>
              <w:szCs w:val="28"/>
              <w:shd w:val="clear" w:color="auto" w:fill="auto"/>
              <w:lang w:val="en-US" w:eastAsia="zh-CN" w:bidi="ar-SA"/>
            </w:rPr>
            <w:fldChar w:fldCharType="begin"/>
          </w:r>
          <w:r>
            <w:rPr>
              <w:rFonts w:hint="eastAsia" w:ascii="宋体" w:hAnsi="宋体" w:eastAsia="宋体" w:cs="宋体"/>
              <w:b w:val="0"/>
              <w:bCs w:val="0"/>
              <w:kern w:val="2"/>
              <w:sz w:val="28"/>
              <w:szCs w:val="28"/>
              <w:shd w:val="clear" w:color="auto" w:fill="auto"/>
              <w:lang w:val="en-US" w:eastAsia="zh-CN" w:bidi="ar-SA"/>
            </w:rPr>
            <w:instrText xml:space="preserve"> HYPERLINK \l _Toc27330 </w:instrText>
          </w:r>
          <w:r>
            <w:rPr>
              <w:rFonts w:hint="eastAsia" w:ascii="宋体" w:hAnsi="宋体" w:eastAsia="宋体" w:cs="宋体"/>
              <w:b w:val="0"/>
              <w:bCs w:val="0"/>
              <w:kern w:val="2"/>
              <w:sz w:val="28"/>
              <w:szCs w:val="28"/>
              <w:shd w:val="clear" w:color="auto" w:fill="auto"/>
              <w:lang w:val="en-US" w:eastAsia="zh-CN" w:bidi="ar-SA"/>
            </w:rPr>
            <w:fldChar w:fldCharType="separate"/>
          </w:r>
          <w:r>
            <w:rPr>
              <w:rFonts w:hint="eastAsia" w:ascii="宋体" w:hAnsi="宋体" w:eastAsia="宋体" w:cs="宋体"/>
              <w:b w:val="0"/>
              <w:bCs w:val="0"/>
              <w:sz w:val="28"/>
              <w:szCs w:val="28"/>
              <w:highlight w:val="none"/>
              <w:shd w:val="clear" w:color="auto" w:fill="auto"/>
            </w:rPr>
            <w:t>表</w:t>
          </w:r>
          <w:r>
            <w:rPr>
              <w:rFonts w:hint="eastAsia" w:ascii="宋体" w:hAnsi="宋体" w:eastAsia="宋体" w:cs="宋体"/>
              <w:b w:val="0"/>
              <w:bCs w:val="0"/>
              <w:sz w:val="28"/>
              <w:szCs w:val="28"/>
              <w:highlight w:val="none"/>
              <w:shd w:val="clear" w:color="auto" w:fill="auto"/>
              <w:lang w:val="en-US" w:eastAsia="zh-CN"/>
            </w:rPr>
            <w:t>六</w:t>
          </w:r>
          <w:r>
            <w:rPr>
              <w:rFonts w:hint="eastAsia" w:ascii="宋体" w:hAnsi="宋体" w:eastAsia="宋体" w:cs="宋体"/>
              <w:b w:val="0"/>
              <w:bCs w:val="0"/>
              <w:sz w:val="28"/>
              <w:szCs w:val="28"/>
              <w:highlight w:val="none"/>
              <w:shd w:val="clear" w:color="auto" w:fill="auto"/>
            </w:rPr>
            <w:t xml:space="preserve">  验收监测质量保证及质量控制</w:t>
          </w:r>
          <w:r>
            <w:rPr>
              <w:rFonts w:hint="eastAsia" w:ascii="宋体" w:hAnsi="宋体" w:eastAsia="宋体" w:cs="宋体"/>
              <w:b w:val="0"/>
              <w:bCs w:val="0"/>
              <w:sz w:val="28"/>
              <w:szCs w:val="28"/>
              <w:shd w:val="clear" w:color="auto" w:fill="auto"/>
            </w:rPr>
            <w:tab/>
          </w:r>
          <w:r>
            <w:rPr>
              <w:rFonts w:hint="eastAsia" w:ascii="宋体" w:hAnsi="宋体" w:eastAsia="宋体" w:cs="宋体"/>
              <w:b w:val="0"/>
              <w:bCs w:val="0"/>
              <w:sz w:val="28"/>
              <w:szCs w:val="28"/>
              <w:shd w:val="clear" w:color="auto" w:fill="auto"/>
            </w:rPr>
            <w:fldChar w:fldCharType="begin"/>
          </w:r>
          <w:r>
            <w:rPr>
              <w:rFonts w:hint="eastAsia" w:ascii="宋体" w:hAnsi="宋体" w:eastAsia="宋体" w:cs="宋体"/>
              <w:b w:val="0"/>
              <w:bCs w:val="0"/>
              <w:sz w:val="28"/>
              <w:szCs w:val="28"/>
              <w:shd w:val="clear" w:color="auto" w:fill="auto"/>
            </w:rPr>
            <w:instrText xml:space="preserve"> PAGEREF _Toc27330 \h </w:instrText>
          </w:r>
          <w:r>
            <w:rPr>
              <w:rFonts w:hint="eastAsia" w:ascii="宋体" w:hAnsi="宋体" w:eastAsia="宋体" w:cs="宋体"/>
              <w:b w:val="0"/>
              <w:bCs w:val="0"/>
              <w:sz w:val="28"/>
              <w:szCs w:val="28"/>
              <w:shd w:val="clear" w:color="auto" w:fill="auto"/>
            </w:rPr>
            <w:fldChar w:fldCharType="separate"/>
          </w:r>
          <w:r>
            <w:rPr>
              <w:rFonts w:hint="eastAsia" w:ascii="宋体" w:hAnsi="宋体" w:eastAsia="宋体" w:cs="宋体"/>
              <w:b w:val="0"/>
              <w:bCs w:val="0"/>
              <w:sz w:val="28"/>
              <w:szCs w:val="28"/>
              <w:shd w:val="clear" w:color="auto" w:fill="auto"/>
            </w:rPr>
            <w:t>27</w:t>
          </w:r>
          <w:r>
            <w:rPr>
              <w:rFonts w:hint="eastAsia" w:ascii="宋体" w:hAnsi="宋体" w:eastAsia="宋体" w:cs="宋体"/>
              <w:b w:val="0"/>
              <w:bCs w:val="0"/>
              <w:sz w:val="28"/>
              <w:szCs w:val="28"/>
              <w:shd w:val="clear" w:color="auto" w:fill="auto"/>
            </w:rPr>
            <w:fldChar w:fldCharType="end"/>
          </w:r>
          <w:r>
            <w:rPr>
              <w:rFonts w:hint="eastAsia" w:ascii="宋体" w:hAnsi="宋体" w:eastAsia="宋体" w:cs="宋体"/>
              <w:b w:val="0"/>
              <w:bCs w:val="0"/>
              <w:kern w:val="2"/>
              <w:sz w:val="28"/>
              <w:szCs w:val="28"/>
              <w:shd w:val="clear" w:color="auto" w:fill="auto"/>
              <w:lang w:val="en-US" w:eastAsia="zh-CN" w:bidi="ar-SA"/>
            </w:rPr>
            <w:fldChar w:fldCharType="end"/>
          </w:r>
        </w:p>
        <w:p w14:paraId="11CA3820">
          <w:pPr>
            <w:pStyle w:val="6"/>
            <w:shd w:val="clear" w:fill="FFFFFF" w:themeFill="background1"/>
            <w:tabs>
              <w:tab w:val="right" w:leader="dot" w:pos="8306"/>
              <w:tab w:val="clear" w:pos="8296"/>
            </w:tabs>
            <w:rPr>
              <w:rFonts w:hint="eastAsia" w:ascii="宋体" w:hAnsi="宋体" w:eastAsia="宋体" w:cs="宋体"/>
              <w:b w:val="0"/>
              <w:bCs w:val="0"/>
              <w:sz w:val="28"/>
              <w:szCs w:val="28"/>
              <w:shd w:val="clear" w:color="auto" w:fill="auto"/>
            </w:rPr>
          </w:pPr>
          <w:r>
            <w:rPr>
              <w:rFonts w:hint="eastAsia" w:ascii="宋体" w:hAnsi="宋体" w:eastAsia="宋体" w:cs="宋体"/>
              <w:b w:val="0"/>
              <w:bCs w:val="0"/>
              <w:kern w:val="2"/>
              <w:sz w:val="28"/>
              <w:szCs w:val="28"/>
              <w:shd w:val="clear" w:color="auto" w:fill="auto"/>
              <w:lang w:val="en-US" w:eastAsia="zh-CN" w:bidi="ar-SA"/>
            </w:rPr>
            <w:fldChar w:fldCharType="begin"/>
          </w:r>
          <w:r>
            <w:rPr>
              <w:rFonts w:hint="eastAsia" w:ascii="宋体" w:hAnsi="宋体" w:eastAsia="宋体" w:cs="宋体"/>
              <w:b w:val="0"/>
              <w:bCs w:val="0"/>
              <w:kern w:val="2"/>
              <w:sz w:val="28"/>
              <w:szCs w:val="28"/>
              <w:shd w:val="clear" w:color="auto" w:fill="auto"/>
              <w:lang w:val="en-US" w:eastAsia="zh-CN" w:bidi="ar-SA"/>
            </w:rPr>
            <w:instrText xml:space="preserve"> HYPERLINK \l _Toc9876 </w:instrText>
          </w:r>
          <w:r>
            <w:rPr>
              <w:rFonts w:hint="eastAsia" w:ascii="宋体" w:hAnsi="宋体" w:eastAsia="宋体" w:cs="宋体"/>
              <w:b w:val="0"/>
              <w:bCs w:val="0"/>
              <w:kern w:val="2"/>
              <w:sz w:val="28"/>
              <w:szCs w:val="28"/>
              <w:shd w:val="clear" w:color="auto" w:fill="auto"/>
              <w:lang w:val="en-US" w:eastAsia="zh-CN" w:bidi="ar-SA"/>
            </w:rPr>
            <w:fldChar w:fldCharType="separate"/>
          </w:r>
          <w:r>
            <w:rPr>
              <w:rFonts w:hint="eastAsia" w:ascii="宋体" w:hAnsi="宋体" w:eastAsia="宋体" w:cs="宋体"/>
              <w:b w:val="0"/>
              <w:bCs w:val="0"/>
              <w:sz w:val="28"/>
              <w:szCs w:val="28"/>
              <w:highlight w:val="none"/>
              <w:shd w:val="clear" w:color="auto" w:fill="auto"/>
            </w:rPr>
            <w:t>表</w:t>
          </w:r>
          <w:r>
            <w:rPr>
              <w:rFonts w:hint="eastAsia" w:ascii="宋体" w:hAnsi="宋体" w:eastAsia="宋体" w:cs="宋体"/>
              <w:b w:val="0"/>
              <w:bCs w:val="0"/>
              <w:sz w:val="28"/>
              <w:szCs w:val="28"/>
              <w:highlight w:val="none"/>
              <w:shd w:val="clear" w:color="auto" w:fill="auto"/>
              <w:lang w:val="en-US" w:eastAsia="zh-CN"/>
            </w:rPr>
            <w:t>七</w:t>
          </w:r>
          <w:r>
            <w:rPr>
              <w:rFonts w:hint="eastAsia" w:ascii="宋体" w:hAnsi="宋体" w:eastAsia="宋体" w:cs="宋体"/>
              <w:b w:val="0"/>
              <w:bCs w:val="0"/>
              <w:sz w:val="28"/>
              <w:szCs w:val="28"/>
              <w:highlight w:val="none"/>
              <w:shd w:val="clear" w:color="auto" w:fill="auto"/>
            </w:rPr>
            <w:t xml:space="preserve">  监测结果评价</w:t>
          </w:r>
          <w:r>
            <w:rPr>
              <w:rFonts w:hint="eastAsia" w:ascii="宋体" w:hAnsi="宋体" w:eastAsia="宋体" w:cs="宋体"/>
              <w:b w:val="0"/>
              <w:bCs w:val="0"/>
              <w:sz w:val="28"/>
              <w:szCs w:val="28"/>
              <w:shd w:val="clear" w:color="auto" w:fill="auto"/>
            </w:rPr>
            <w:tab/>
          </w:r>
          <w:r>
            <w:rPr>
              <w:rFonts w:hint="eastAsia" w:ascii="宋体" w:hAnsi="宋体" w:eastAsia="宋体" w:cs="宋体"/>
              <w:b w:val="0"/>
              <w:bCs w:val="0"/>
              <w:sz w:val="28"/>
              <w:szCs w:val="28"/>
              <w:shd w:val="clear" w:color="auto" w:fill="auto"/>
            </w:rPr>
            <w:fldChar w:fldCharType="begin"/>
          </w:r>
          <w:r>
            <w:rPr>
              <w:rFonts w:hint="eastAsia" w:ascii="宋体" w:hAnsi="宋体" w:eastAsia="宋体" w:cs="宋体"/>
              <w:b w:val="0"/>
              <w:bCs w:val="0"/>
              <w:sz w:val="28"/>
              <w:szCs w:val="28"/>
              <w:shd w:val="clear" w:color="auto" w:fill="auto"/>
            </w:rPr>
            <w:instrText xml:space="preserve"> PAGEREF _Toc9876 \h </w:instrText>
          </w:r>
          <w:r>
            <w:rPr>
              <w:rFonts w:hint="eastAsia" w:ascii="宋体" w:hAnsi="宋体" w:eastAsia="宋体" w:cs="宋体"/>
              <w:b w:val="0"/>
              <w:bCs w:val="0"/>
              <w:sz w:val="28"/>
              <w:szCs w:val="28"/>
              <w:shd w:val="clear" w:color="auto" w:fill="auto"/>
            </w:rPr>
            <w:fldChar w:fldCharType="separate"/>
          </w:r>
          <w:r>
            <w:rPr>
              <w:rFonts w:hint="eastAsia" w:ascii="宋体" w:hAnsi="宋体" w:eastAsia="宋体" w:cs="宋体"/>
              <w:b w:val="0"/>
              <w:bCs w:val="0"/>
              <w:sz w:val="28"/>
              <w:szCs w:val="28"/>
              <w:shd w:val="clear" w:color="auto" w:fill="auto"/>
            </w:rPr>
            <w:t>30</w:t>
          </w:r>
          <w:r>
            <w:rPr>
              <w:rFonts w:hint="eastAsia" w:ascii="宋体" w:hAnsi="宋体" w:eastAsia="宋体" w:cs="宋体"/>
              <w:b w:val="0"/>
              <w:bCs w:val="0"/>
              <w:sz w:val="28"/>
              <w:szCs w:val="28"/>
              <w:shd w:val="clear" w:color="auto" w:fill="auto"/>
            </w:rPr>
            <w:fldChar w:fldCharType="end"/>
          </w:r>
          <w:r>
            <w:rPr>
              <w:rFonts w:hint="eastAsia" w:ascii="宋体" w:hAnsi="宋体" w:eastAsia="宋体" w:cs="宋体"/>
              <w:b w:val="0"/>
              <w:bCs w:val="0"/>
              <w:kern w:val="2"/>
              <w:sz w:val="28"/>
              <w:szCs w:val="28"/>
              <w:shd w:val="clear" w:color="auto" w:fill="auto"/>
              <w:lang w:val="en-US" w:eastAsia="zh-CN" w:bidi="ar-SA"/>
            </w:rPr>
            <w:fldChar w:fldCharType="end"/>
          </w:r>
        </w:p>
        <w:p w14:paraId="6E2E30D9">
          <w:pPr>
            <w:pStyle w:val="6"/>
            <w:shd w:val="clear" w:fill="FFFFFF" w:themeFill="background1"/>
            <w:tabs>
              <w:tab w:val="right" w:leader="dot" w:pos="8306"/>
              <w:tab w:val="clear" w:pos="8296"/>
            </w:tabs>
            <w:rPr>
              <w:rFonts w:hint="eastAsia" w:ascii="宋体" w:hAnsi="宋体" w:eastAsia="宋体" w:cs="宋体"/>
              <w:b w:val="0"/>
              <w:bCs w:val="0"/>
              <w:sz w:val="28"/>
              <w:szCs w:val="28"/>
              <w:shd w:val="clear" w:color="auto" w:fill="auto"/>
            </w:rPr>
          </w:pPr>
          <w:r>
            <w:rPr>
              <w:rFonts w:hint="eastAsia" w:ascii="宋体" w:hAnsi="宋体" w:eastAsia="宋体" w:cs="宋体"/>
              <w:b w:val="0"/>
              <w:bCs w:val="0"/>
              <w:kern w:val="2"/>
              <w:sz w:val="28"/>
              <w:szCs w:val="28"/>
              <w:shd w:val="clear" w:color="auto" w:fill="auto"/>
              <w:lang w:val="en-US" w:eastAsia="zh-CN" w:bidi="ar-SA"/>
            </w:rPr>
            <w:fldChar w:fldCharType="begin"/>
          </w:r>
          <w:r>
            <w:rPr>
              <w:rFonts w:hint="eastAsia" w:ascii="宋体" w:hAnsi="宋体" w:eastAsia="宋体" w:cs="宋体"/>
              <w:b w:val="0"/>
              <w:bCs w:val="0"/>
              <w:kern w:val="2"/>
              <w:sz w:val="28"/>
              <w:szCs w:val="28"/>
              <w:shd w:val="clear" w:color="auto" w:fill="auto"/>
              <w:lang w:val="en-US" w:eastAsia="zh-CN" w:bidi="ar-SA"/>
            </w:rPr>
            <w:instrText xml:space="preserve"> HYPERLINK \l _Toc26160 </w:instrText>
          </w:r>
          <w:r>
            <w:rPr>
              <w:rFonts w:hint="eastAsia" w:ascii="宋体" w:hAnsi="宋体" w:eastAsia="宋体" w:cs="宋体"/>
              <w:b w:val="0"/>
              <w:bCs w:val="0"/>
              <w:kern w:val="2"/>
              <w:sz w:val="28"/>
              <w:szCs w:val="28"/>
              <w:shd w:val="clear" w:color="auto" w:fill="auto"/>
              <w:lang w:val="en-US" w:eastAsia="zh-CN" w:bidi="ar-SA"/>
            </w:rPr>
            <w:fldChar w:fldCharType="separate"/>
          </w:r>
          <w:r>
            <w:rPr>
              <w:rFonts w:hint="eastAsia" w:ascii="宋体" w:hAnsi="宋体" w:eastAsia="宋体" w:cs="宋体"/>
              <w:b w:val="0"/>
              <w:bCs w:val="0"/>
              <w:sz w:val="28"/>
              <w:szCs w:val="28"/>
              <w:highlight w:val="none"/>
              <w:shd w:val="clear" w:color="auto" w:fill="auto"/>
            </w:rPr>
            <w:t>表</w:t>
          </w:r>
          <w:r>
            <w:rPr>
              <w:rFonts w:hint="eastAsia" w:ascii="宋体" w:hAnsi="宋体" w:eastAsia="宋体" w:cs="宋体"/>
              <w:b w:val="0"/>
              <w:bCs w:val="0"/>
              <w:sz w:val="28"/>
              <w:szCs w:val="28"/>
              <w:highlight w:val="none"/>
              <w:shd w:val="clear" w:color="auto" w:fill="auto"/>
              <w:lang w:val="en-US" w:eastAsia="zh-CN"/>
            </w:rPr>
            <w:t>八</w:t>
          </w:r>
          <w:r>
            <w:rPr>
              <w:rFonts w:hint="eastAsia" w:ascii="宋体" w:hAnsi="宋体" w:eastAsia="宋体" w:cs="宋体"/>
              <w:b w:val="0"/>
              <w:bCs w:val="0"/>
              <w:sz w:val="28"/>
              <w:szCs w:val="28"/>
              <w:highlight w:val="none"/>
              <w:shd w:val="clear" w:color="auto" w:fill="auto"/>
            </w:rPr>
            <w:t xml:space="preserve">  环境管理检查</w:t>
          </w:r>
          <w:r>
            <w:rPr>
              <w:rFonts w:hint="eastAsia" w:ascii="宋体" w:hAnsi="宋体" w:eastAsia="宋体" w:cs="宋体"/>
              <w:b w:val="0"/>
              <w:bCs w:val="0"/>
              <w:sz w:val="28"/>
              <w:szCs w:val="28"/>
              <w:shd w:val="clear" w:color="auto" w:fill="auto"/>
            </w:rPr>
            <w:tab/>
          </w:r>
          <w:r>
            <w:rPr>
              <w:rFonts w:hint="eastAsia" w:ascii="宋体" w:hAnsi="宋体" w:eastAsia="宋体" w:cs="宋体"/>
              <w:b w:val="0"/>
              <w:bCs w:val="0"/>
              <w:sz w:val="28"/>
              <w:szCs w:val="28"/>
              <w:shd w:val="clear" w:color="auto" w:fill="auto"/>
            </w:rPr>
            <w:fldChar w:fldCharType="begin"/>
          </w:r>
          <w:r>
            <w:rPr>
              <w:rFonts w:hint="eastAsia" w:ascii="宋体" w:hAnsi="宋体" w:eastAsia="宋体" w:cs="宋体"/>
              <w:b w:val="0"/>
              <w:bCs w:val="0"/>
              <w:sz w:val="28"/>
              <w:szCs w:val="28"/>
              <w:shd w:val="clear" w:color="auto" w:fill="auto"/>
            </w:rPr>
            <w:instrText xml:space="preserve"> PAGEREF _Toc26160 \h </w:instrText>
          </w:r>
          <w:r>
            <w:rPr>
              <w:rFonts w:hint="eastAsia" w:ascii="宋体" w:hAnsi="宋体" w:eastAsia="宋体" w:cs="宋体"/>
              <w:b w:val="0"/>
              <w:bCs w:val="0"/>
              <w:sz w:val="28"/>
              <w:szCs w:val="28"/>
              <w:shd w:val="clear" w:color="auto" w:fill="auto"/>
            </w:rPr>
            <w:fldChar w:fldCharType="separate"/>
          </w:r>
          <w:r>
            <w:rPr>
              <w:rFonts w:hint="eastAsia" w:ascii="宋体" w:hAnsi="宋体" w:eastAsia="宋体" w:cs="宋体"/>
              <w:b w:val="0"/>
              <w:bCs w:val="0"/>
              <w:sz w:val="28"/>
              <w:szCs w:val="28"/>
              <w:shd w:val="clear" w:color="auto" w:fill="auto"/>
            </w:rPr>
            <w:t>34</w:t>
          </w:r>
          <w:r>
            <w:rPr>
              <w:rFonts w:hint="eastAsia" w:ascii="宋体" w:hAnsi="宋体" w:eastAsia="宋体" w:cs="宋体"/>
              <w:b w:val="0"/>
              <w:bCs w:val="0"/>
              <w:sz w:val="28"/>
              <w:szCs w:val="28"/>
              <w:shd w:val="clear" w:color="auto" w:fill="auto"/>
            </w:rPr>
            <w:fldChar w:fldCharType="end"/>
          </w:r>
          <w:r>
            <w:rPr>
              <w:rFonts w:hint="eastAsia" w:ascii="宋体" w:hAnsi="宋体" w:eastAsia="宋体" w:cs="宋体"/>
              <w:b w:val="0"/>
              <w:bCs w:val="0"/>
              <w:kern w:val="2"/>
              <w:sz w:val="28"/>
              <w:szCs w:val="28"/>
              <w:shd w:val="clear" w:color="auto" w:fill="auto"/>
              <w:lang w:val="en-US" w:eastAsia="zh-CN" w:bidi="ar-SA"/>
            </w:rPr>
            <w:fldChar w:fldCharType="end"/>
          </w:r>
        </w:p>
        <w:p w14:paraId="09FDCBC5">
          <w:pPr>
            <w:pStyle w:val="6"/>
            <w:shd w:val="clear" w:fill="FFFFFF" w:themeFill="background1"/>
            <w:tabs>
              <w:tab w:val="right" w:leader="dot" w:pos="8306"/>
              <w:tab w:val="clear" w:pos="8296"/>
            </w:tabs>
          </w:pPr>
          <w:r>
            <w:rPr>
              <w:rFonts w:hint="eastAsia" w:ascii="宋体" w:hAnsi="宋体" w:eastAsia="宋体" w:cs="宋体"/>
              <w:b w:val="0"/>
              <w:bCs w:val="0"/>
              <w:kern w:val="2"/>
              <w:sz w:val="28"/>
              <w:szCs w:val="28"/>
              <w:shd w:val="clear" w:color="auto" w:fill="auto"/>
              <w:lang w:val="en-US" w:eastAsia="zh-CN" w:bidi="ar-SA"/>
            </w:rPr>
            <w:fldChar w:fldCharType="begin"/>
          </w:r>
          <w:r>
            <w:rPr>
              <w:rFonts w:hint="eastAsia" w:ascii="宋体" w:hAnsi="宋体" w:eastAsia="宋体" w:cs="宋体"/>
              <w:b w:val="0"/>
              <w:bCs w:val="0"/>
              <w:kern w:val="2"/>
              <w:sz w:val="28"/>
              <w:szCs w:val="28"/>
              <w:shd w:val="clear" w:color="auto" w:fill="auto"/>
              <w:lang w:val="en-US" w:eastAsia="zh-CN" w:bidi="ar-SA"/>
            </w:rPr>
            <w:instrText xml:space="preserve"> HYPERLINK \l _Toc15002 </w:instrText>
          </w:r>
          <w:r>
            <w:rPr>
              <w:rFonts w:hint="eastAsia" w:ascii="宋体" w:hAnsi="宋体" w:eastAsia="宋体" w:cs="宋体"/>
              <w:b w:val="0"/>
              <w:bCs w:val="0"/>
              <w:kern w:val="2"/>
              <w:sz w:val="28"/>
              <w:szCs w:val="28"/>
              <w:shd w:val="clear" w:color="auto" w:fill="auto"/>
              <w:lang w:val="en-US" w:eastAsia="zh-CN" w:bidi="ar-SA"/>
            </w:rPr>
            <w:fldChar w:fldCharType="separate"/>
          </w:r>
          <w:r>
            <w:rPr>
              <w:rFonts w:hint="eastAsia" w:ascii="宋体" w:hAnsi="宋体" w:eastAsia="宋体" w:cs="宋体"/>
              <w:b w:val="0"/>
              <w:bCs w:val="0"/>
              <w:sz w:val="28"/>
              <w:szCs w:val="28"/>
              <w:highlight w:val="none"/>
              <w:shd w:val="clear" w:color="auto" w:fill="auto"/>
            </w:rPr>
            <w:t>表九  验收监测结论及建议</w:t>
          </w:r>
          <w:r>
            <w:rPr>
              <w:rFonts w:hint="eastAsia" w:ascii="宋体" w:hAnsi="宋体" w:eastAsia="宋体" w:cs="宋体"/>
              <w:b w:val="0"/>
              <w:bCs w:val="0"/>
              <w:sz w:val="28"/>
              <w:szCs w:val="28"/>
              <w:shd w:val="clear" w:color="auto" w:fill="auto"/>
            </w:rPr>
            <w:tab/>
          </w:r>
          <w:r>
            <w:rPr>
              <w:rFonts w:hint="eastAsia" w:ascii="宋体" w:hAnsi="宋体" w:eastAsia="宋体" w:cs="宋体"/>
              <w:b w:val="0"/>
              <w:bCs w:val="0"/>
              <w:sz w:val="28"/>
              <w:szCs w:val="28"/>
              <w:shd w:val="clear" w:color="auto" w:fill="auto"/>
            </w:rPr>
            <w:fldChar w:fldCharType="begin"/>
          </w:r>
          <w:r>
            <w:rPr>
              <w:rFonts w:hint="eastAsia" w:ascii="宋体" w:hAnsi="宋体" w:eastAsia="宋体" w:cs="宋体"/>
              <w:b w:val="0"/>
              <w:bCs w:val="0"/>
              <w:sz w:val="28"/>
              <w:szCs w:val="28"/>
              <w:shd w:val="clear" w:color="auto" w:fill="auto"/>
            </w:rPr>
            <w:instrText xml:space="preserve"> PAGEREF _Toc15002 \h </w:instrText>
          </w:r>
          <w:r>
            <w:rPr>
              <w:rFonts w:hint="eastAsia" w:ascii="宋体" w:hAnsi="宋体" w:eastAsia="宋体" w:cs="宋体"/>
              <w:b w:val="0"/>
              <w:bCs w:val="0"/>
              <w:sz w:val="28"/>
              <w:szCs w:val="28"/>
              <w:shd w:val="clear" w:color="auto" w:fill="auto"/>
            </w:rPr>
            <w:fldChar w:fldCharType="separate"/>
          </w:r>
          <w:r>
            <w:rPr>
              <w:rFonts w:hint="eastAsia" w:ascii="宋体" w:hAnsi="宋体" w:eastAsia="宋体" w:cs="宋体"/>
              <w:b w:val="0"/>
              <w:bCs w:val="0"/>
              <w:sz w:val="28"/>
              <w:szCs w:val="28"/>
              <w:shd w:val="clear" w:color="auto" w:fill="auto"/>
            </w:rPr>
            <w:t>39</w:t>
          </w:r>
          <w:r>
            <w:rPr>
              <w:rFonts w:hint="eastAsia" w:ascii="宋体" w:hAnsi="宋体" w:eastAsia="宋体" w:cs="宋体"/>
              <w:b w:val="0"/>
              <w:bCs w:val="0"/>
              <w:sz w:val="28"/>
              <w:szCs w:val="28"/>
              <w:shd w:val="clear" w:color="auto" w:fill="auto"/>
            </w:rPr>
            <w:fldChar w:fldCharType="end"/>
          </w:r>
          <w:r>
            <w:rPr>
              <w:rFonts w:hint="eastAsia" w:ascii="宋体" w:hAnsi="宋体" w:eastAsia="宋体" w:cs="宋体"/>
              <w:b w:val="0"/>
              <w:bCs w:val="0"/>
              <w:kern w:val="2"/>
              <w:sz w:val="28"/>
              <w:szCs w:val="28"/>
              <w:shd w:val="clear" w:color="auto" w:fill="auto"/>
              <w:lang w:val="en-US" w:eastAsia="zh-CN" w:bidi="ar-SA"/>
            </w:rPr>
            <w:fldChar w:fldCharType="end"/>
          </w:r>
        </w:p>
        <w:p w14:paraId="4C9CB7A4">
          <w:pPr>
            <w:rPr>
              <w:rFonts w:asciiTheme="minorHAnsi" w:hAnsiTheme="minorHAnsi" w:eastAsiaTheme="minorEastAsia" w:cstheme="minorBidi"/>
              <w:kern w:val="2"/>
              <w:sz w:val="21"/>
              <w:szCs w:val="24"/>
              <w:lang w:val="en-US" w:eastAsia="zh-CN" w:bidi="ar-SA"/>
            </w:rPr>
          </w:pPr>
          <w:r>
            <w:rPr>
              <w:rFonts w:asciiTheme="minorHAnsi" w:hAnsiTheme="minorHAnsi" w:eastAsiaTheme="minorEastAsia" w:cstheme="minorBidi"/>
              <w:kern w:val="2"/>
              <w:szCs w:val="24"/>
              <w:lang w:val="en-US" w:eastAsia="zh-CN" w:bidi="ar-SA"/>
            </w:rPr>
            <w:fldChar w:fldCharType="end"/>
          </w:r>
        </w:p>
      </w:sdtContent>
    </w:sdt>
    <w:p w14:paraId="07C19D59">
      <w:pPr>
        <w:pStyle w:val="11"/>
        <w:rPr>
          <w:lang w:val="en-US" w:eastAsia="zh-CN"/>
        </w:rPr>
      </w:pPr>
    </w:p>
    <w:p w14:paraId="3CFEC60F">
      <w:pPr>
        <w:pStyle w:val="11"/>
        <w:rPr>
          <w:lang w:val="en-US" w:eastAsia="zh-CN"/>
        </w:rPr>
      </w:pPr>
    </w:p>
    <w:p w14:paraId="0A1CB628">
      <w:pPr>
        <w:rPr>
          <w:rFonts w:asciiTheme="minorHAnsi" w:hAnsiTheme="minorHAnsi" w:eastAsiaTheme="minorEastAsia" w:cstheme="minorBidi"/>
          <w:kern w:val="2"/>
          <w:sz w:val="21"/>
          <w:szCs w:val="24"/>
          <w:lang w:val="en-US" w:eastAsia="zh-CN" w:bidi="ar-SA"/>
        </w:rPr>
      </w:pPr>
    </w:p>
    <w:p w14:paraId="448A2F4C">
      <w:pPr>
        <w:rPr>
          <w:rFonts w:asciiTheme="minorHAnsi" w:hAnsiTheme="minorHAnsi" w:eastAsiaTheme="minorEastAsia" w:cstheme="minorBidi"/>
          <w:kern w:val="2"/>
          <w:sz w:val="21"/>
          <w:szCs w:val="24"/>
          <w:lang w:val="en-US" w:eastAsia="zh-CN" w:bidi="ar-SA"/>
        </w:rPr>
      </w:pPr>
    </w:p>
    <w:p w14:paraId="718B67E4">
      <w:pPr>
        <w:rPr>
          <w:rFonts w:asciiTheme="minorHAnsi" w:hAnsiTheme="minorHAnsi" w:eastAsiaTheme="minorEastAsia" w:cstheme="minorBidi"/>
          <w:kern w:val="2"/>
          <w:sz w:val="21"/>
          <w:szCs w:val="24"/>
          <w:lang w:val="en-US" w:eastAsia="zh-CN" w:bidi="ar-SA"/>
        </w:rPr>
      </w:pPr>
    </w:p>
    <w:p w14:paraId="35FC5BAB">
      <w:pPr>
        <w:rPr>
          <w:rFonts w:asciiTheme="minorHAnsi" w:hAnsiTheme="minorHAnsi" w:eastAsiaTheme="minorEastAsia" w:cstheme="minorBidi"/>
          <w:kern w:val="2"/>
          <w:sz w:val="21"/>
          <w:szCs w:val="24"/>
          <w:lang w:val="en-US" w:eastAsia="zh-CN" w:bidi="ar-SA"/>
        </w:rPr>
      </w:pPr>
    </w:p>
    <w:p w14:paraId="40BC4099">
      <w:pPr>
        <w:rPr>
          <w:rFonts w:asciiTheme="minorHAnsi" w:hAnsiTheme="minorHAnsi" w:eastAsiaTheme="minorEastAsia" w:cstheme="minorBidi"/>
          <w:kern w:val="2"/>
          <w:sz w:val="21"/>
          <w:szCs w:val="24"/>
          <w:lang w:val="en-US" w:eastAsia="zh-CN" w:bidi="ar-SA"/>
        </w:rPr>
      </w:pPr>
    </w:p>
    <w:p w14:paraId="61470802">
      <w:pPr>
        <w:rPr>
          <w:rFonts w:asciiTheme="minorHAnsi" w:hAnsiTheme="minorHAnsi" w:eastAsiaTheme="minorEastAsia" w:cstheme="minorBidi"/>
          <w:kern w:val="2"/>
          <w:sz w:val="21"/>
          <w:szCs w:val="24"/>
          <w:lang w:val="en-US" w:eastAsia="zh-CN" w:bidi="ar-SA"/>
        </w:rPr>
      </w:pPr>
    </w:p>
    <w:p w14:paraId="12C1B575">
      <w:pPr>
        <w:rPr>
          <w:rFonts w:asciiTheme="minorHAnsi" w:hAnsiTheme="minorHAnsi" w:eastAsiaTheme="minorEastAsia" w:cstheme="minorBidi"/>
          <w:kern w:val="2"/>
          <w:sz w:val="21"/>
          <w:szCs w:val="24"/>
          <w:lang w:val="en-US" w:eastAsia="zh-CN" w:bidi="ar-SA"/>
        </w:rPr>
      </w:pPr>
    </w:p>
    <w:p w14:paraId="688F415D">
      <w:pPr>
        <w:rPr>
          <w:rFonts w:asciiTheme="minorHAnsi" w:hAnsiTheme="minorHAnsi" w:eastAsiaTheme="minorEastAsia" w:cstheme="minorBidi"/>
          <w:kern w:val="2"/>
          <w:sz w:val="21"/>
          <w:szCs w:val="24"/>
          <w:lang w:val="en-US" w:eastAsia="zh-CN" w:bidi="ar-SA"/>
        </w:rPr>
      </w:pPr>
    </w:p>
    <w:p w14:paraId="40ABFB78">
      <w:pPr>
        <w:rPr>
          <w:rFonts w:asciiTheme="minorHAnsi" w:hAnsiTheme="minorHAnsi" w:eastAsiaTheme="minorEastAsia" w:cstheme="minorBidi"/>
          <w:kern w:val="2"/>
          <w:sz w:val="21"/>
          <w:szCs w:val="24"/>
          <w:lang w:val="en-US" w:eastAsia="zh-CN" w:bidi="ar-SA"/>
        </w:rPr>
      </w:pPr>
    </w:p>
    <w:p w14:paraId="3A4867B3">
      <w:pPr>
        <w:rPr>
          <w:rFonts w:asciiTheme="minorHAnsi" w:hAnsiTheme="minorHAnsi" w:eastAsiaTheme="minorEastAsia" w:cstheme="minorBidi"/>
          <w:kern w:val="2"/>
          <w:sz w:val="21"/>
          <w:szCs w:val="24"/>
          <w:lang w:val="en-US" w:eastAsia="zh-CN" w:bidi="ar-SA"/>
        </w:rPr>
      </w:pPr>
    </w:p>
    <w:p w14:paraId="5E2418FC">
      <w:pPr>
        <w:rPr>
          <w:rFonts w:asciiTheme="minorHAnsi" w:hAnsiTheme="minorHAnsi" w:eastAsiaTheme="minorEastAsia" w:cstheme="minorBidi"/>
          <w:kern w:val="2"/>
          <w:sz w:val="21"/>
          <w:szCs w:val="24"/>
          <w:lang w:val="en-US" w:eastAsia="zh-CN" w:bidi="ar-SA"/>
        </w:rPr>
      </w:pPr>
    </w:p>
    <w:p w14:paraId="23C76006">
      <w:pPr>
        <w:rPr>
          <w:rFonts w:asciiTheme="minorHAnsi" w:hAnsiTheme="minorHAnsi" w:eastAsiaTheme="minorEastAsia" w:cstheme="minorBidi"/>
          <w:kern w:val="2"/>
          <w:sz w:val="21"/>
          <w:szCs w:val="24"/>
          <w:lang w:val="en-US" w:eastAsia="zh-CN" w:bidi="ar-SA"/>
        </w:rPr>
      </w:pPr>
    </w:p>
    <w:p w14:paraId="38A5C13F">
      <w:pPr>
        <w:rPr>
          <w:rFonts w:asciiTheme="minorHAnsi" w:hAnsiTheme="minorHAnsi" w:eastAsiaTheme="minorEastAsia" w:cstheme="minorBidi"/>
          <w:kern w:val="2"/>
          <w:sz w:val="21"/>
          <w:szCs w:val="24"/>
          <w:lang w:val="en-US" w:eastAsia="zh-CN" w:bidi="ar-SA"/>
        </w:rPr>
      </w:pPr>
    </w:p>
    <w:p w14:paraId="54764E2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z w:val="28"/>
          <w:szCs w:val="28"/>
        </w:rPr>
        <w:t>附件1</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建设项目竣工环境保护“三同时”验收登记表；</w:t>
      </w:r>
    </w:p>
    <w:p w14:paraId="653B3B36">
      <w:pPr>
        <w:keepNext w:val="0"/>
        <w:keepLines w:val="0"/>
        <w:pageBreakBefore w:val="0"/>
        <w:widowControl w:val="0"/>
        <w:kinsoku/>
        <w:wordWrap/>
        <w:overflowPunct/>
        <w:topLinePunct w:val="0"/>
        <w:autoSpaceDE/>
        <w:autoSpaceDN/>
        <w:bidi w:val="0"/>
        <w:adjustRightInd/>
        <w:snapToGrid/>
        <w:spacing w:line="360" w:lineRule="auto"/>
        <w:ind w:left="1120" w:hanging="1120" w:hangingChars="400"/>
        <w:textAlignment w:val="auto"/>
        <w:rPr>
          <w:rFonts w:hint="eastAsia" w:ascii="宋体" w:hAnsi="宋体" w:eastAsia="宋体" w:cs="宋体"/>
          <w:color w:val="FF0000"/>
          <w:sz w:val="28"/>
          <w:szCs w:val="28"/>
        </w:rPr>
      </w:pPr>
      <w:r>
        <w:rPr>
          <w:rFonts w:hint="eastAsia" w:ascii="宋体" w:hAnsi="宋体" w:eastAsia="宋体" w:cs="宋体"/>
          <w:sz w:val="28"/>
          <w:szCs w:val="28"/>
        </w:rPr>
        <w:t>附件</w:t>
      </w:r>
      <w:r>
        <w:rPr>
          <w:rFonts w:hint="eastAsia" w:ascii="宋体" w:hAnsi="宋体" w:eastAsia="宋体" w:cs="宋体"/>
          <w:color w:val="auto"/>
          <w:sz w:val="28"/>
          <w:szCs w:val="28"/>
        </w:rPr>
        <w:t>2</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w:t>
      </w:r>
      <w:r>
        <w:rPr>
          <w:rFonts w:hint="eastAsia" w:ascii="宋体" w:hAnsi="宋体" w:eastAsia="宋体" w:cs="宋体"/>
          <w:sz w:val="28"/>
          <w:szCs w:val="28"/>
          <w:lang w:val="en-US" w:eastAsia="zh-CN"/>
        </w:rPr>
        <w:t>伽师县嘉腾养殖农民专业合作社屠宰加工厂项目环境影响报告表</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的批复，喀地环评字</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2022</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34</w:t>
      </w:r>
      <w:r>
        <w:rPr>
          <w:rFonts w:hint="eastAsia" w:ascii="宋体" w:hAnsi="宋体" w:eastAsia="宋体" w:cs="宋体"/>
          <w:color w:val="auto"/>
          <w:sz w:val="28"/>
          <w:szCs w:val="28"/>
        </w:rPr>
        <w:t>号，</w:t>
      </w:r>
      <w:r>
        <w:rPr>
          <w:rFonts w:hint="eastAsia" w:ascii="宋体" w:hAnsi="宋体" w:eastAsia="宋体" w:cs="宋体"/>
          <w:color w:val="auto"/>
          <w:sz w:val="28"/>
          <w:szCs w:val="28"/>
          <w:lang w:val="en-US" w:eastAsia="zh-CN"/>
        </w:rPr>
        <w:t>2022年4月8日</w:t>
      </w:r>
      <w:r>
        <w:rPr>
          <w:rFonts w:hint="eastAsia" w:ascii="宋体" w:hAnsi="宋体" w:eastAsia="宋体" w:cs="宋体"/>
          <w:color w:val="auto"/>
          <w:sz w:val="28"/>
          <w:szCs w:val="28"/>
        </w:rPr>
        <w:t>；</w:t>
      </w:r>
    </w:p>
    <w:p w14:paraId="777BE81D">
      <w:pPr>
        <w:keepNext w:val="0"/>
        <w:keepLines w:val="0"/>
        <w:pageBreakBefore w:val="0"/>
        <w:widowControl w:val="0"/>
        <w:kinsoku/>
        <w:wordWrap/>
        <w:overflowPunct/>
        <w:topLinePunct w:val="0"/>
        <w:autoSpaceDE/>
        <w:autoSpaceDN/>
        <w:bidi w:val="0"/>
        <w:adjustRightInd/>
        <w:snapToGrid/>
        <w:spacing w:line="360" w:lineRule="auto"/>
        <w:ind w:left="1120" w:hanging="1120" w:hangingChars="4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附件3  《</w:t>
      </w:r>
      <w:r>
        <w:rPr>
          <w:rFonts w:hint="eastAsia" w:ascii="宋体" w:hAnsi="宋体" w:eastAsia="宋体" w:cs="宋体"/>
          <w:color w:val="auto"/>
          <w:sz w:val="28"/>
          <w:szCs w:val="28"/>
          <w:lang w:val="en-US" w:eastAsia="zh-CN"/>
        </w:rPr>
        <w:t>排污许可证》证书编号：93653129MA78XWDX71001Q；证书有效期：</w:t>
      </w:r>
      <w:r>
        <w:rPr>
          <w:rFonts w:hint="eastAsia" w:ascii="宋体" w:hAnsi="宋体" w:eastAsia="宋体" w:cs="宋体"/>
          <w:sz w:val="28"/>
          <w:szCs w:val="28"/>
          <w:lang w:val="en-US" w:eastAsia="zh-CN"/>
        </w:rPr>
        <w:t>2023-12-27至2028-12-26；</w:t>
      </w:r>
    </w:p>
    <w:p w14:paraId="441F37E2">
      <w:pPr>
        <w:keepNext w:val="0"/>
        <w:keepLines w:val="0"/>
        <w:pageBreakBefore w:val="0"/>
        <w:widowControl w:val="0"/>
        <w:kinsoku/>
        <w:wordWrap/>
        <w:overflowPunct/>
        <w:topLinePunct w:val="0"/>
        <w:autoSpaceDE/>
        <w:autoSpaceDN/>
        <w:bidi w:val="0"/>
        <w:adjustRightInd/>
        <w:snapToGrid/>
        <w:spacing w:line="360" w:lineRule="auto"/>
        <w:ind w:left="1120" w:hanging="1120" w:hangingChars="4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附件4  危险废物委托处置协议</w:t>
      </w:r>
    </w:p>
    <w:p w14:paraId="3AC7FA62">
      <w:pPr>
        <w:keepNext w:val="0"/>
        <w:keepLines w:val="0"/>
        <w:pageBreakBefore w:val="0"/>
        <w:widowControl w:val="0"/>
        <w:kinsoku/>
        <w:wordWrap/>
        <w:overflowPunct/>
        <w:topLinePunct w:val="0"/>
        <w:autoSpaceDE/>
        <w:autoSpaceDN/>
        <w:bidi w:val="0"/>
        <w:adjustRightInd/>
        <w:snapToGrid/>
        <w:spacing w:line="360" w:lineRule="auto"/>
        <w:ind w:left="1120" w:hanging="1120" w:hangingChars="4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附件5  </w:t>
      </w:r>
      <w:r>
        <w:rPr>
          <w:rFonts w:hint="default" w:ascii="宋体" w:hAnsi="宋体" w:eastAsia="宋体" w:cs="宋体"/>
          <w:color w:val="auto"/>
          <w:sz w:val="28"/>
          <w:szCs w:val="28"/>
          <w:lang w:val="en-US" w:eastAsia="zh-CN"/>
        </w:rPr>
        <w:t>《企业事业单位突发环境事件应急预案备案表》（备案编号：</w:t>
      </w:r>
      <w:r>
        <w:rPr>
          <w:rFonts w:hint="eastAsia" w:ascii="宋体" w:hAnsi="宋体" w:eastAsia="宋体" w:cs="宋体"/>
          <w:color w:val="auto"/>
          <w:sz w:val="28"/>
          <w:szCs w:val="28"/>
          <w:lang w:val="en-US" w:eastAsia="zh-CN"/>
        </w:rPr>
        <w:t>653129-2024-007-L</w:t>
      </w:r>
      <w:r>
        <w:rPr>
          <w:rFonts w:hint="default" w:ascii="宋体" w:hAnsi="宋体" w:eastAsia="宋体" w:cs="宋体"/>
          <w:color w:val="auto"/>
          <w:sz w:val="28"/>
          <w:szCs w:val="28"/>
          <w:lang w:val="en-US" w:eastAsia="zh-CN"/>
        </w:rPr>
        <w:t>），</w:t>
      </w:r>
      <w:r>
        <w:rPr>
          <w:rFonts w:hint="eastAsia" w:ascii="宋体" w:hAnsi="宋体" w:eastAsia="宋体" w:cs="宋体"/>
          <w:color w:val="auto"/>
          <w:sz w:val="28"/>
          <w:szCs w:val="28"/>
          <w:lang w:val="en-US" w:eastAsia="zh-CN"/>
        </w:rPr>
        <w:t>2024年08月30日</w:t>
      </w:r>
      <w:r>
        <w:rPr>
          <w:rFonts w:hint="default" w:ascii="宋体" w:hAnsi="宋体" w:eastAsia="宋体" w:cs="宋体"/>
          <w:color w:val="auto"/>
          <w:sz w:val="28"/>
          <w:szCs w:val="28"/>
          <w:lang w:val="en-US" w:eastAsia="zh-CN"/>
        </w:rPr>
        <w:t>；</w:t>
      </w:r>
    </w:p>
    <w:p w14:paraId="41200AFC">
      <w:pPr>
        <w:keepNext w:val="0"/>
        <w:keepLines w:val="0"/>
        <w:pageBreakBefore w:val="0"/>
        <w:widowControl w:val="0"/>
        <w:kinsoku/>
        <w:wordWrap/>
        <w:overflowPunct/>
        <w:topLinePunct w:val="0"/>
        <w:autoSpaceDE/>
        <w:autoSpaceDN/>
        <w:bidi w:val="0"/>
        <w:adjustRightInd/>
        <w:snapToGrid/>
        <w:spacing w:line="360" w:lineRule="auto"/>
        <w:ind w:left="1120" w:hanging="1120" w:hangingChars="400"/>
        <w:textAlignment w:val="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附件6  新疆博洋科技检测有限公司《检测报告》；</w:t>
      </w:r>
    </w:p>
    <w:p w14:paraId="6A0AE78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lang w:val="en-US" w:eastAsia="zh-CN"/>
        </w:rPr>
      </w:pPr>
    </w:p>
    <w:p w14:paraId="3DD5BAE2">
      <w:pPr>
        <w:rPr>
          <w:rFonts w:asciiTheme="minorHAnsi" w:hAnsiTheme="minorHAnsi" w:eastAsiaTheme="minorEastAsia" w:cstheme="minorBidi"/>
          <w:kern w:val="2"/>
          <w:sz w:val="21"/>
          <w:szCs w:val="24"/>
          <w:lang w:val="en-US" w:eastAsia="zh-CN" w:bidi="ar-SA"/>
        </w:rPr>
      </w:pPr>
    </w:p>
    <w:p w14:paraId="48DFB999">
      <w:pPr>
        <w:rPr>
          <w:rFonts w:asciiTheme="minorHAnsi" w:hAnsiTheme="minorHAnsi" w:eastAsiaTheme="minorEastAsia" w:cstheme="minorBidi"/>
          <w:kern w:val="2"/>
          <w:sz w:val="21"/>
          <w:szCs w:val="24"/>
          <w:lang w:val="en-US" w:eastAsia="zh-CN" w:bidi="ar-SA"/>
        </w:rPr>
      </w:pPr>
    </w:p>
    <w:p w14:paraId="2ED44325">
      <w:pPr>
        <w:rPr>
          <w:rFonts w:asciiTheme="minorHAnsi" w:hAnsiTheme="minorHAnsi" w:eastAsiaTheme="minorEastAsia" w:cstheme="minorBidi"/>
          <w:kern w:val="2"/>
          <w:sz w:val="21"/>
          <w:szCs w:val="24"/>
          <w:lang w:val="en-US" w:eastAsia="zh-CN" w:bidi="ar-SA"/>
        </w:rPr>
      </w:pPr>
    </w:p>
    <w:p w14:paraId="6BF7E5F5">
      <w:pPr>
        <w:rPr>
          <w:rFonts w:asciiTheme="minorHAnsi" w:hAnsiTheme="minorHAnsi" w:eastAsiaTheme="minorEastAsia" w:cstheme="minorBidi"/>
          <w:kern w:val="2"/>
          <w:sz w:val="21"/>
          <w:szCs w:val="24"/>
          <w:lang w:val="en-US" w:eastAsia="zh-CN" w:bidi="ar-SA"/>
        </w:rPr>
      </w:pPr>
    </w:p>
    <w:p w14:paraId="1D240B41">
      <w:pPr>
        <w:rPr>
          <w:rFonts w:asciiTheme="minorHAnsi" w:hAnsiTheme="minorHAnsi" w:eastAsiaTheme="minorEastAsia" w:cstheme="minorBidi"/>
          <w:kern w:val="2"/>
          <w:sz w:val="21"/>
          <w:szCs w:val="24"/>
          <w:lang w:val="en-US" w:eastAsia="zh-CN" w:bidi="ar-SA"/>
        </w:rPr>
      </w:pPr>
    </w:p>
    <w:p w14:paraId="64F710B2">
      <w:pPr>
        <w:rPr>
          <w:rFonts w:asciiTheme="minorHAnsi" w:hAnsiTheme="minorHAnsi" w:eastAsiaTheme="minorEastAsia" w:cstheme="minorBidi"/>
          <w:kern w:val="2"/>
          <w:sz w:val="21"/>
          <w:szCs w:val="24"/>
          <w:lang w:val="en-US" w:eastAsia="zh-CN" w:bidi="ar-SA"/>
        </w:rPr>
      </w:pPr>
    </w:p>
    <w:p w14:paraId="1176C527">
      <w:pPr>
        <w:rPr>
          <w:rFonts w:asciiTheme="minorHAnsi" w:hAnsiTheme="minorHAnsi" w:eastAsiaTheme="minorEastAsia" w:cstheme="minorBidi"/>
          <w:kern w:val="2"/>
          <w:sz w:val="21"/>
          <w:szCs w:val="24"/>
          <w:lang w:val="en-US" w:eastAsia="zh-CN" w:bidi="ar-SA"/>
        </w:rPr>
      </w:pPr>
    </w:p>
    <w:p w14:paraId="7BB179F3">
      <w:pPr>
        <w:rPr>
          <w:rFonts w:asciiTheme="minorHAnsi" w:hAnsiTheme="minorHAnsi" w:eastAsiaTheme="minorEastAsia" w:cstheme="minorBidi"/>
          <w:kern w:val="2"/>
          <w:sz w:val="21"/>
          <w:szCs w:val="24"/>
          <w:lang w:val="en-US" w:eastAsia="zh-CN" w:bidi="ar-SA"/>
        </w:rPr>
      </w:pPr>
    </w:p>
    <w:p w14:paraId="6EB8A965">
      <w:pPr>
        <w:rPr>
          <w:rFonts w:asciiTheme="minorHAnsi" w:hAnsiTheme="minorHAnsi" w:eastAsiaTheme="minorEastAsia" w:cstheme="minorBidi"/>
          <w:kern w:val="2"/>
          <w:sz w:val="21"/>
          <w:szCs w:val="24"/>
          <w:lang w:val="en-US" w:eastAsia="zh-CN" w:bidi="ar-SA"/>
        </w:rPr>
      </w:pPr>
    </w:p>
    <w:p w14:paraId="315E0090">
      <w:pPr>
        <w:rPr>
          <w:rFonts w:asciiTheme="minorHAnsi" w:hAnsiTheme="minorHAnsi" w:eastAsiaTheme="minorEastAsia" w:cstheme="minorBidi"/>
          <w:kern w:val="2"/>
          <w:sz w:val="21"/>
          <w:szCs w:val="24"/>
          <w:lang w:val="en-US" w:eastAsia="zh-CN" w:bidi="ar-SA"/>
        </w:rPr>
      </w:pPr>
    </w:p>
    <w:p w14:paraId="5F9DBB27">
      <w:pPr>
        <w:rPr>
          <w:rFonts w:asciiTheme="minorHAnsi" w:hAnsiTheme="minorHAnsi" w:eastAsiaTheme="minorEastAsia" w:cstheme="minorBidi"/>
          <w:kern w:val="2"/>
          <w:sz w:val="21"/>
          <w:szCs w:val="24"/>
          <w:lang w:val="en-US" w:eastAsia="zh-CN" w:bidi="ar-SA"/>
        </w:rPr>
      </w:pPr>
    </w:p>
    <w:p w14:paraId="23D0A0C0">
      <w:pPr>
        <w:rPr>
          <w:rFonts w:asciiTheme="minorHAnsi" w:hAnsiTheme="minorHAnsi" w:eastAsiaTheme="minorEastAsia" w:cstheme="minorBidi"/>
          <w:kern w:val="2"/>
          <w:sz w:val="21"/>
          <w:szCs w:val="24"/>
          <w:lang w:val="en-US" w:eastAsia="zh-CN" w:bidi="ar-SA"/>
        </w:rPr>
      </w:pPr>
    </w:p>
    <w:p w14:paraId="77AA17E0">
      <w:pPr>
        <w:rPr>
          <w:rFonts w:asciiTheme="minorHAnsi" w:hAnsiTheme="minorHAnsi" w:eastAsiaTheme="minorEastAsia" w:cstheme="minorBidi"/>
          <w:kern w:val="2"/>
          <w:sz w:val="21"/>
          <w:szCs w:val="24"/>
          <w:lang w:val="en-US" w:eastAsia="zh-CN" w:bidi="ar-SA"/>
        </w:rPr>
      </w:pPr>
    </w:p>
    <w:p w14:paraId="6BBFFBEA">
      <w:pPr>
        <w:rPr>
          <w:rFonts w:asciiTheme="minorHAnsi" w:hAnsiTheme="minorHAnsi" w:eastAsiaTheme="minorEastAsia" w:cstheme="minorBidi"/>
          <w:kern w:val="2"/>
          <w:sz w:val="21"/>
          <w:szCs w:val="24"/>
          <w:lang w:val="en-US" w:eastAsia="zh-CN" w:bidi="ar-SA"/>
        </w:rPr>
      </w:pPr>
    </w:p>
    <w:p w14:paraId="0194C1FA">
      <w:pPr>
        <w:rPr>
          <w:rFonts w:asciiTheme="minorHAnsi" w:hAnsiTheme="minorHAnsi" w:eastAsiaTheme="minorEastAsia" w:cstheme="minorBidi"/>
          <w:kern w:val="2"/>
          <w:sz w:val="21"/>
          <w:szCs w:val="24"/>
          <w:lang w:val="en-US" w:eastAsia="zh-CN" w:bidi="ar-SA"/>
        </w:rPr>
      </w:pPr>
    </w:p>
    <w:p w14:paraId="7D1E95F6">
      <w:pPr>
        <w:rPr>
          <w:rFonts w:asciiTheme="minorHAnsi" w:hAnsiTheme="minorHAnsi" w:eastAsiaTheme="minorEastAsia" w:cstheme="minorBidi"/>
          <w:kern w:val="2"/>
          <w:sz w:val="21"/>
          <w:szCs w:val="24"/>
          <w:lang w:val="en-US" w:eastAsia="zh-CN" w:bidi="ar-SA"/>
        </w:rPr>
      </w:pPr>
    </w:p>
    <w:p w14:paraId="06A0BB3D">
      <w:pPr>
        <w:rPr>
          <w:rFonts w:asciiTheme="minorHAnsi" w:hAnsiTheme="minorHAnsi" w:eastAsiaTheme="minorEastAsia" w:cstheme="minorBidi"/>
          <w:kern w:val="2"/>
          <w:sz w:val="21"/>
          <w:szCs w:val="24"/>
          <w:lang w:val="en-US" w:eastAsia="zh-CN" w:bidi="ar-SA"/>
        </w:rPr>
      </w:pPr>
    </w:p>
    <w:p w14:paraId="1D0EF5F1">
      <w:pPr>
        <w:rPr>
          <w:rFonts w:asciiTheme="minorHAnsi" w:hAnsiTheme="minorHAnsi" w:eastAsiaTheme="minorEastAsia" w:cstheme="minorBidi"/>
          <w:kern w:val="2"/>
          <w:sz w:val="21"/>
          <w:szCs w:val="24"/>
          <w:lang w:val="en-US" w:eastAsia="zh-CN" w:bidi="ar-SA"/>
        </w:rPr>
      </w:pPr>
    </w:p>
    <w:p w14:paraId="7D223B74">
      <w:pPr>
        <w:rPr>
          <w:rFonts w:asciiTheme="minorHAnsi" w:hAnsiTheme="minorHAnsi" w:eastAsiaTheme="minorEastAsia" w:cstheme="minorBidi"/>
          <w:kern w:val="2"/>
          <w:sz w:val="21"/>
          <w:szCs w:val="24"/>
          <w:lang w:val="en-US" w:eastAsia="zh-CN" w:bidi="ar-SA"/>
        </w:rPr>
      </w:pPr>
    </w:p>
    <w:p w14:paraId="1345453E">
      <w:pPr>
        <w:rPr>
          <w:rFonts w:asciiTheme="minorHAnsi" w:hAnsiTheme="minorHAnsi" w:eastAsiaTheme="minorEastAsia" w:cstheme="minorBidi"/>
          <w:kern w:val="2"/>
          <w:sz w:val="21"/>
          <w:szCs w:val="24"/>
          <w:lang w:val="en-US" w:eastAsia="zh-CN" w:bidi="ar-SA"/>
        </w:rPr>
      </w:pPr>
    </w:p>
    <w:p w14:paraId="512C57CC">
      <w:pPr>
        <w:rPr>
          <w:rFonts w:asciiTheme="minorHAnsi" w:hAnsiTheme="minorHAnsi" w:eastAsiaTheme="minorEastAsia" w:cstheme="minorBidi"/>
          <w:kern w:val="2"/>
          <w:sz w:val="21"/>
          <w:szCs w:val="24"/>
          <w:lang w:val="en-US" w:eastAsia="zh-CN" w:bidi="ar-SA"/>
        </w:rPr>
      </w:pPr>
    </w:p>
    <w:p w14:paraId="7689AB0A">
      <w:pPr>
        <w:rPr>
          <w:rFonts w:asciiTheme="minorHAnsi" w:hAnsiTheme="minorHAnsi" w:eastAsiaTheme="minorEastAsia" w:cstheme="minorBidi"/>
          <w:kern w:val="2"/>
          <w:sz w:val="21"/>
          <w:szCs w:val="24"/>
          <w:lang w:val="en-US" w:eastAsia="zh-CN" w:bidi="ar-SA"/>
        </w:rPr>
      </w:pPr>
    </w:p>
    <w:p w14:paraId="7DE7BE25">
      <w:pPr>
        <w:rPr>
          <w:rStyle w:val="18"/>
          <w:rFonts w:hint="default" w:ascii="Times New Roman" w:hAnsi="Times New Roman" w:cs="Times New Roman"/>
          <w:color w:val="auto"/>
          <w:highlight w:val="none"/>
        </w:rPr>
      </w:pPr>
      <w:bookmarkStart w:id="0" w:name="_Toc31982"/>
      <w:bookmarkStart w:id="1" w:name="_Toc8126"/>
      <w:bookmarkStart w:id="2" w:name="_Toc18061"/>
      <w:r>
        <w:rPr>
          <w:rStyle w:val="18"/>
          <w:rFonts w:hint="default" w:ascii="Times New Roman" w:hAnsi="Times New Roman" w:cs="Times New Roman"/>
          <w:color w:val="auto"/>
          <w:highlight w:val="none"/>
        </w:rPr>
        <w:t>表一  工程概况及验收监测依据、标准</w:t>
      </w:r>
      <w:bookmarkEnd w:id="0"/>
      <w:bookmarkEnd w:id="1"/>
    </w:p>
    <w:bookmarkEnd w:id="2"/>
    <w:tbl>
      <w:tblPr>
        <w:tblStyle w:val="15"/>
        <w:tblW w:w="5046"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1969"/>
        <w:gridCol w:w="1721"/>
        <w:gridCol w:w="1893"/>
        <w:gridCol w:w="1242"/>
        <w:gridCol w:w="811"/>
        <w:gridCol w:w="768"/>
      </w:tblGrid>
      <w:tr w14:paraId="4693D7D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cantSplit/>
          <w:trHeight w:val="397" w:hRule="atLeast"/>
          <w:jc w:val="center"/>
        </w:trPr>
        <w:tc>
          <w:tcPr>
            <w:tcW w:w="1171" w:type="pct"/>
            <w:noWrap w:val="0"/>
            <w:vAlign w:val="center"/>
          </w:tcPr>
          <w:p w14:paraId="6D56F12B">
            <w:pPr>
              <w:spacing w:line="24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建设项目名称</w:t>
            </w:r>
          </w:p>
        </w:tc>
        <w:tc>
          <w:tcPr>
            <w:tcW w:w="3828" w:type="pct"/>
            <w:gridSpan w:val="5"/>
            <w:noWrap w:val="0"/>
            <w:vAlign w:val="center"/>
          </w:tcPr>
          <w:p w14:paraId="323B1BBD">
            <w:pPr>
              <w:spacing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eastAsia="zh-CN"/>
              </w:rPr>
              <w:t>伽师县嘉腾养殖农民专业合作社屠宰加工厂项目</w:t>
            </w:r>
          </w:p>
        </w:tc>
      </w:tr>
      <w:tr w14:paraId="323CC95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cantSplit/>
          <w:trHeight w:val="397" w:hRule="atLeast"/>
          <w:jc w:val="center"/>
        </w:trPr>
        <w:tc>
          <w:tcPr>
            <w:tcW w:w="1171" w:type="pct"/>
            <w:noWrap w:val="0"/>
            <w:vAlign w:val="center"/>
          </w:tcPr>
          <w:p w14:paraId="60796359">
            <w:pPr>
              <w:spacing w:line="24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建设单位名称</w:t>
            </w:r>
          </w:p>
        </w:tc>
        <w:tc>
          <w:tcPr>
            <w:tcW w:w="3828" w:type="pct"/>
            <w:gridSpan w:val="5"/>
            <w:noWrap w:val="0"/>
            <w:vAlign w:val="center"/>
          </w:tcPr>
          <w:p w14:paraId="08F27F0C">
            <w:pPr>
              <w:spacing w:line="24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highlight w:val="none"/>
                <w:lang w:val="en-US" w:eastAsia="zh-CN"/>
              </w:rPr>
              <w:t>伽师县嘉腾养殖农民专业合作社</w:t>
            </w:r>
          </w:p>
        </w:tc>
      </w:tr>
      <w:tr w14:paraId="5268606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cantSplit/>
          <w:trHeight w:val="397" w:hRule="atLeast"/>
          <w:jc w:val="center"/>
        </w:trPr>
        <w:tc>
          <w:tcPr>
            <w:tcW w:w="1171" w:type="pct"/>
            <w:noWrap w:val="0"/>
            <w:vAlign w:val="center"/>
          </w:tcPr>
          <w:p w14:paraId="6E1D5481">
            <w:pPr>
              <w:spacing w:line="24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建设项目性质</w:t>
            </w:r>
          </w:p>
        </w:tc>
        <w:tc>
          <w:tcPr>
            <w:tcW w:w="3828" w:type="pct"/>
            <w:gridSpan w:val="5"/>
            <w:noWrap w:val="0"/>
            <w:vAlign w:val="center"/>
          </w:tcPr>
          <w:p w14:paraId="23047EBB">
            <w:pPr>
              <w:spacing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新建（</w:t>
            </w:r>
            <w:r>
              <w:rPr>
                <w:rFonts w:hint="eastAsia" w:ascii="宋体" w:hAnsi="宋体" w:eastAsia="宋体" w:cs="宋体"/>
                <w:b/>
                <w:color w:val="000000"/>
                <w:sz w:val="24"/>
                <w:szCs w:val="24"/>
              </w:rPr>
              <w:t>√</w:t>
            </w:r>
            <w:r>
              <w:rPr>
                <w:rFonts w:hint="eastAsia" w:ascii="宋体" w:hAnsi="宋体" w:eastAsia="宋体" w:cs="宋体"/>
                <w:color w:val="000000"/>
                <w:sz w:val="24"/>
                <w:szCs w:val="24"/>
              </w:rPr>
              <w:t xml:space="preserve">）    改扩建      技改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迁建</w:t>
            </w:r>
          </w:p>
        </w:tc>
      </w:tr>
      <w:tr w14:paraId="03A5679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cantSplit/>
          <w:trHeight w:val="397" w:hRule="atLeast"/>
          <w:jc w:val="center"/>
        </w:trPr>
        <w:tc>
          <w:tcPr>
            <w:tcW w:w="1171" w:type="pct"/>
            <w:noWrap w:val="0"/>
            <w:vAlign w:val="center"/>
          </w:tcPr>
          <w:p w14:paraId="6E1C7590">
            <w:pPr>
              <w:spacing w:line="24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建设地点</w:t>
            </w:r>
          </w:p>
        </w:tc>
        <w:tc>
          <w:tcPr>
            <w:tcW w:w="3828" w:type="pct"/>
            <w:gridSpan w:val="5"/>
            <w:noWrap w:val="0"/>
            <w:vAlign w:val="center"/>
          </w:tcPr>
          <w:p w14:paraId="1FE01B18">
            <w:pPr>
              <w:spacing w:line="24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highlight w:val="none"/>
                <w:lang w:eastAsia="zh-CN"/>
              </w:rPr>
              <w:t>伽师县英买里乡巴格托格拉克(4)村</w:t>
            </w:r>
          </w:p>
        </w:tc>
      </w:tr>
      <w:tr w14:paraId="7F0CABE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cantSplit/>
          <w:trHeight w:val="397" w:hRule="atLeast"/>
          <w:jc w:val="center"/>
        </w:trPr>
        <w:tc>
          <w:tcPr>
            <w:tcW w:w="1171" w:type="pct"/>
            <w:noWrap w:val="0"/>
            <w:vAlign w:val="center"/>
          </w:tcPr>
          <w:p w14:paraId="2AEB434C">
            <w:pPr>
              <w:keepNext w:val="0"/>
              <w:keepLines w:val="0"/>
              <w:widowControl/>
              <w:suppressLineNumbers w:val="0"/>
              <w:spacing w:line="24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国民经济行业类别</w:t>
            </w:r>
          </w:p>
        </w:tc>
        <w:tc>
          <w:tcPr>
            <w:tcW w:w="3828" w:type="pct"/>
            <w:gridSpan w:val="5"/>
            <w:noWrap w:val="0"/>
            <w:vAlign w:val="center"/>
          </w:tcPr>
          <w:p w14:paraId="4E1EAB44">
            <w:pPr>
              <w:pStyle w:val="19"/>
              <w:keepNext w:val="0"/>
              <w:keepLines w:val="0"/>
              <w:suppressLineNumbers w:val="0"/>
              <w:bidi w:val="0"/>
              <w:spacing w:before="0" w:beforeAutospacing="0" w:after="0" w:afterAutospacing="0" w:line="240" w:lineRule="auto"/>
              <w:ind w:left="0" w:right="0"/>
              <w:rPr>
                <w:rFonts w:hint="eastAsia" w:ascii="宋体" w:hAnsi="宋体" w:eastAsia="宋体" w:cs="宋体"/>
                <w:color w:val="000000"/>
                <w:sz w:val="24"/>
                <w:szCs w:val="24"/>
              </w:rPr>
            </w:pPr>
            <w:r>
              <w:rPr>
                <w:rFonts w:hint="eastAsia" w:ascii="宋体" w:hAnsi="宋体" w:eastAsia="宋体" w:cs="宋体"/>
                <w:color w:val="000000"/>
                <w:kern w:val="2"/>
                <w:sz w:val="24"/>
                <w:szCs w:val="24"/>
                <w:highlight w:val="none"/>
                <w:lang w:val="en-US" w:eastAsia="zh-CN" w:bidi="ar-SA"/>
              </w:rPr>
              <w:t xml:space="preserve">牲畜屠宰C1351 </w:t>
            </w:r>
            <w:r>
              <w:rPr>
                <w:rFonts w:hint="eastAsia" w:ascii="Times New Roman" w:hAnsi="Times New Roman" w:eastAsia="宋体" w:cs="Times New Roman"/>
                <w:kern w:val="2"/>
                <w:sz w:val="25"/>
                <w:szCs w:val="25"/>
                <w:lang w:val="en-US" w:eastAsia="zh-CN" w:bidi="ar-SA"/>
              </w:rPr>
              <w:t xml:space="preserve"> </w:t>
            </w:r>
            <w:r>
              <w:rPr>
                <w:rFonts w:hint="eastAsia" w:ascii="宋体" w:hAnsi="宋体" w:eastAsia="宋体" w:cs="宋体"/>
                <w:color w:val="000000"/>
                <w:sz w:val="24"/>
                <w:szCs w:val="24"/>
                <w:highlight w:val="none"/>
                <w:lang w:val="en-US" w:eastAsia="zh-CN"/>
              </w:rPr>
              <w:t xml:space="preserve">   </w:t>
            </w:r>
          </w:p>
        </w:tc>
      </w:tr>
      <w:tr w14:paraId="5978F6D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cantSplit/>
          <w:trHeight w:val="397" w:hRule="atLeast"/>
          <w:jc w:val="center"/>
        </w:trPr>
        <w:tc>
          <w:tcPr>
            <w:tcW w:w="1171" w:type="pct"/>
            <w:noWrap w:val="0"/>
            <w:vAlign w:val="center"/>
          </w:tcPr>
          <w:p w14:paraId="69541F0F">
            <w:pPr>
              <w:spacing w:line="240" w:lineRule="auto"/>
              <w:jc w:val="center"/>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设计生产力</w:t>
            </w:r>
          </w:p>
        </w:tc>
        <w:tc>
          <w:tcPr>
            <w:tcW w:w="3828" w:type="pct"/>
            <w:gridSpan w:val="5"/>
            <w:noWrap w:val="0"/>
            <w:vAlign w:val="center"/>
          </w:tcPr>
          <w:p w14:paraId="46A2BDC2">
            <w:pPr>
              <w:spacing w:line="240" w:lineRule="auto"/>
              <w:jc w:val="center"/>
              <w:rPr>
                <w:rFonts w:hint="eastAsia" w:ascii="宋体" w:hAnsi="宋体" w:eastAsia="宋体" w:cs="宋体"/>
                <w:color w:val="000000"/>
                <w:sz w:val="24"/>
                <w:szCs w:val="24"/>
              </w:rPr>
            </w:pPr>
            <w:r>
              <w:rPr>
                <w:rFonts w:hint="eastAsia" w:ascii="宋体" w:hAnsi="宋体" w:eastAsia="宋体" w:cs="宋体"/>
                <w:color w:val="000000"/>
                <w:kern w:val="2"/>
                <w:sz w:val="24"/>
                <w:szCs w:val="24"/>
                <w:highlight w:val="none"/>
                <w:lang w:val="en-US" w:eastAsia="zh-CN" w:bidi="ar-SA"/>
              </w:rPr>
              <w:t>屠宰牛、羊9.5万只</w:t>
            </w:r>
          </w:p>
        </w:tc>
      </w:tr>
      <w:tr w14:paraId="4C13AD4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cantSplit/>
          <w:trHeight w:val="397" w:hRule="atLeast"/>
          <w:jc w:val="center"/>
        </w:trPr>
        <w:tc>
          <w:tcPr>
            <w:tcW w:w="1171" w:type="pct"/>
            <w:noWrap w:val="0"/>
            <w:vAlign w:val="center"/>
          </w:tcPr>
          <w:p w14:paraId="7E694563">
            <w:pPr>
              <w:spacing w:line="240" w:lineRule="auto"/>
              <w:jc w:val="center"/>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rPr>
              <w:t>实际</w:t>
            </w:r>
            <w:r>
              <w:rPr>
                <w:rFonts w:hint="eastAsia" w:ascii="宋体" w:hAnsi="宋体" w:eastAsia="宋体" w:cs="宋体"/>
                <w:b/>
                <w:bCs/>
                <w:color w:val="000000"/>
                <w:sz w:val="24"/>
                <w:szCs w:val="24"/>
                <w:lang w:eastAsia="zh-CN"/>
              </w:rPr>
              <w:t>生产力</w:t>
            </w:r>
          </w:p>
        </w:tc>
        <w:tc>
          <w:tcPr>
            <w:tcW w:w="3828" w:type="pct"/>
            <w:gridSpan w:val="5"/>
            <w:noWrap w:val="0"/>
            <w:vAlign w:val="center"/>
          </w:tcPr>
          <w:p w14:paraId="69701089">
            <w:pPr>
              <w:spacing w:line="240" w:lineRule="auto"/>
              <w:jc w:val="center"/>
              <w:rPr>
                <w:rFonts w:hint="eastAsia" w:ascii="宋体" w:hAnsi="宋体" w:eastAsia="宋体" w:cs="宋体"/>
                <w:color w:val="000000"/>
                <w:sz w:val="24"/>
                <w:szCs w:val="24"/>
              </w:rPr>
            </w:pPr>
            <w:r>
              <w:rPr>
                <w:rFonts w:hint="eastAsia" w:ascii="宋体" w:hAnsi="宋体" w:eastAsia="宋体" w:cs="宋体"/>
                <w:color w:val="000000"/>
                <w:kern w:val="2"/>
                <w:sz w:val="24"/>
                <w:szCs w:val="24"/>
                <w:highlight w:val="none"/>
                <w:lang w:val="en-US" w:eastAsia="zh-CN" w:bidi="ar-SA"/>
              </w:rPr>
              <w:t>屠宰牛、羊8.48万只</w:t>
            </w:r>
          </w:p>
        </w:tc>
      </w:tr>
      <w:tr w14:paraId="3307EDA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cantSplit/>
          <w:trHeight w:val="737" w:hRule="atLeast"/>
          <w:jc w:val="center"/>
        </w:trPr>
        <w:tc>
          <w:tcPr>
            <w:tcW w:w="1171" w:type="pct"/>
            <w:noWrap w:val="0"/>
            <w:vAlign w:val="center"/>
          </w:tcPr>
          <w:p w14:paraId="7A99F8FA">
            <w:pPr>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rPr>
              <w:t>建设项目环评时间</w:t>
            </w:r>
          </w:p>
        </w:tc>
        <w:tc>
          <w:tcPr>
            <w:tcW w:w="1024" w:type="pct"/>
            <w:noWrap w:val="0"/>
            <w:vAlign w:val="center"/>
          </w:tcPr>
          <w:p w14:paraId="164F1251">
            <w:pPr>
              <w:spacing w:line="240" w:lineRule="auto"/>
              <w:jc w:val="center"/>
              <w:rPr>
                <w:rFonts w:hint="default" w:ascii="宋体" w:hAnsi="宋体" w:eastAsia="宋体" w:cs="宋体"/>
                <w:sz w:val="24"/>
                <w:szCs w:val="24"/>
                <w:lang w:val="en-US" w:eastAsia="zh-CN"/>
              </w:rPr>
            </w:pPr>
            <w:r>
              <w:rPr>
                <w:rFonts w:hint="eastAsia" w:ascii="宋体" w:hAnsi="宋体" w:eastAsia="宋体" w:cs="宋体"/>
                <w:color w:val="000000"/>
                <w:kern w:val="2"/>
                <w:sz w:val="24"/>
                <w:szCs w:val="24"/>
                <w:highlight w:val="none"/>
                <w:lang w:val="en-US" w:eastAsia="zh-CN" w:bidi="ar-SA"/>
              </w:rPr>
              <w:t>2022.4</w:t>
            </w:r>
          </w:p>
        </w:tc>
        <w:tc>
          <w:tcPr>
            <w:tcW w:w="1126" w:type="pct"/>
            <w:noWrap w:val="0"/>
            <w:vAlign w:val="center"/>
          </w:tcPr>
          <w:p w14:paraId="234EA96E">
            <w:pPr>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rPr>
              <w:t>开工建设时间</w:t>
            </w:r>
          </w:p>
        </w:tc>
        <w:tc>
          <w:tcPr>
            <w:tcW w:w="1678" w:type="pct"/>
            <w:gridSpan w:val="3"/>
            <w:noWrap w:val="0"/>
            <w:vAlign w:val="center"/>
          </w:tcPr>
          <w:p w14:paraId="18BC8A9F">
            <w:pPr>
              <w:spacing w:line="24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2022.5</w:t>
            </w:r>
          </w:p>
        </w:tc>
      </w:tr>
      <w:tr w14:paraId="5A5538D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cantSplit/>
          <w:trHeight w:val="737" w:hRule="atLeast"/>
          <w:jc w:val="center"/>
        </w:trPr>
        <w:tc>
          <w:tcPr>
            <w:tcW w:w="1171" w:type="pct"/>
            <w:noWrap w:val="0"/>
            <w:vAlign w:val="center"/>
          </w:tcPr>
          <w:p w14:paraId="3D8426D8">
            <w:pPr>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rPr>
              <w:t>调试时间</w:t>
            </w:r>
          </w:p>
        </w:tc>
        <w:tc>
          <w:tcPr>
            <w:tcW w:w="1024" w:type="pct"/>
            <w:noWrap w:val="0"/>
            <w:vAlign w:val="center"/>
          </w:tcPr>
          <w:p w14:paraId="612FE699">
            <w:pPr>
              <w:spacing w:line="240" w:lineRule="auto"/>
              <w:jc w:val="center"/>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rPr>
              <w:t>2023.3</w:t>
            </w:r>
          </w:p>
        </w:tc>
        <w:tc>
          <w:tcPr>
            <w:tcW w:w="1126" w:type="pct"/>
            <w:noWrap w:val="0"/>
            <w:vAlign w:val="center"/>
          </w:tcPr>
          <w:p w14:paraId="7DB99512">
            <w:pPr>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rPr>
              <w:t>验收现场监测时间</w:t>
            </w:r>
          </w:p>
        </w:tc>
        <w:tc>
          <w:tcPr>
            <w:tcW w:w="1678" w:type="pct"/>
            <w:gridSpan w:val="3"/>
            <w:noWrap w:val="0"/>
            <w:vAlign w:val="center"/>
          </w:tcPr>
          <w:p w14:paraId="30D6EC75">
            <w:pPr>
              <w:spacing w:line="240" w:lineRule="auto"/>
              <w:jc w:val="center"/>
              <w:rPr>
                <w:rFonts w:hint="default"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lang w:val="en-US" w:eastAsia="zh-CN"/>
              </w:rPr>
              <w:t>2025.6.27-2025.6.28</w:t>
            </w:r>
          </w:p>
        </w:tc>
      </w:tr>
      <w:tr w14:paraId="5DD8F90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cantSplit/>
          <w:trHeight w:val="1020" w:hRule="atLeast"/>
          <w:jc w:val="center"/>
        </w:trPr>
        <w:tc>
          <w:tcPr>
            <w:tcW w:w="1171" w:type="pct"/>
            <w:noWrap w:val="0"/>
            <w:vAlign w:val="center"/>
          </w:tcPr>
          <w:p w14:paraId="0F9B116F">
            <w:pPr>
              <w:spacing w:line="24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环评报告表</w:t>
            </w:r>
          </w:p>
          <w:p w14:paraId="1D64FE16">
            <w:pPr>
              <w:spacing w:line="24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审批部门</w:t>
            </w:r>
          </w:p>
        </w:tc>
        <w:tc>
          <w:tcPr>
            <w:tcW w:w="1024" w:type="pct"/>
            <w:noWrap w:val="0"/>
            <w:vAlign w:val="center"/>
          </w:tcPr>
          <w:p w14:paraId="5DC2FBE2">
            <w:pPr>
              <w:spacing w:line="240" w:lineRule="auto"/>
              <w:jc w:val="both"/>
              <w:rPr>
                <w:rFonts w:hint="eastAsia" w:ascii="宋体" w:hAnsi="宋体" w:eastAsia="宋体" w:cs="宋体"/>
                <w:color w:val="000000"/>
                <w:sz w:val="24"/>
                <w:szCs w:val="24"/>
              </w:rPr>
            </w:pPr>
            <w:r>
              <w:rPr>
                <w:rFonts w:hint="eastAsia" w:ascii="宋体" w:hAnsi="宋体" w:eastAsia="宋体" w:cs="宋体"/>
                <w:sz w:val="24"/>
                <w:szCs w:val="24"/>
                <w:lang w:val="en-US" w:eastAsia="zh-CN"/>
              </w:rPr>
              <w:t>喀什地区</w:t>
            </w:r>
            <w:r>
              <w:rPr>
                <w:rFonts w:hint="eastAsia" w:ascii="宋体" w:hAnsi="宋体" w:eastAsia="宋体" w:cs="宋体"/>
                <w:sz w:val="24"/>
                <w:szCs w:val="24"/>
              </w:rPr>
              <w:t>生态环境局</w:t>
            </w:r>
          </w:p>
        </w:tc>
        <w:tc>
          <w:tcPr>
            <w:tcW w:w="1126" w:type="pct"/>
            <w:noWrap w:val="0"/>
            <w:vAlign w:val="center"/>
          </w:tcPr>
          <w:p w14:paraId="1CCF3FA0">
            <w:pPr>
              <w:spacing w:line="24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环评报告表</w:t>
            </w:r>
          </w:p>
          <w:p w14:paraId="323F15EA">
            <w:pPr>
              <w:spacing w:line="24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编制单位</w:t>
            </w:r>
          </w:p>
        </w:tc>
        <w:tc>
          <w:tcPr>
            <w:tcW w:w="1678" w:type="pct"/>
            <w:gridSpan w:val="3"/>
            <w:noWrap w:val="0"/>
            <w:vAlign w:val="center"/>
          </w:tcPr>
          <w:p w14:paraId="3D34A150">
            <w:pPr>
              <w:spacing w:line="24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新疆中科同创环境科技有限公司</w:t>
            </w:r>
          </w:p>
        </w:tc>
      </w:tr>
      <w:tr w14:paraId="16794B7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cantSplit/>
          <w:trHeight w:val="737" w:hRule="atLeast"/>
          <w:jc w:val="center"/>
        </w:trPr>
        <w:tc>
          <w:tcPr>
            <w:tcW w:w="1171" w:type="pct"/>
            <w:noWrap w:val="0"/>
            <w:vAlign w:val="center"/>
          </w:tcPr>
          <w:p w14:paraId="53F66C48">
            <w:pPr>
              <w:spacing w:line="24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环保设施</w:t>
            </w:r>
          </w:p>
          <w:p w14:paraId="67BC5151">
            <w:pPr>
              <w:spacing w:line="24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设计单位</w:t>
            </w:r>
          </w:p>
        </w:tc>
        <w:tc>
          <w:tcPr>
            <w:tcW w:w="1024" w:type="pct"/>
            <w:noWrap w:val="0"/>
            <w:vAlign w:val="center"/>
          </w:tcPr>
          <w:p w14:paraId="641BB626">
            <w:pPr>
              <w:spacing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1126" w:type="pct"/>
            <w:noWrap w:val="0"/>
            <w:vAlign w:val="center"/>
          </w:tcPr>
          <w:p w14:paraId="4485CD6C">
            <w:pPr>
              <w:spacing w:line="24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环保设施</w:t>
            </w:r>
          </w:p>
          <w:p w14:paraId="3DF077C1">
            <w:pPr>
              <w:spacing w:line="24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施工单位</w:t>
            </w:r>
          </w:p>
        </w:tc>
        <w:tc>
          <w:tcPr>
            <w:tcW w:w="1678" w:type="pct"/>
            <w:gridSpan w:val="3"/>
            <w:noWrap w:val="0"/>
            <w:vAlign w:val="center"/>
          </w:tcPr>
          <w:p w14:paraId="038806F4">
            <w:pPr>
              <w:spacing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w:t>
            </w:r>
          </w:p>
        </w:tc>
      </w:tr>
      <w:tr w14:paraId="355EFE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1171" w:type="pct"/>
            <w:noWrap w:val="0"/>
            <w:vAlign w:val="center"/>
          </w:tcPr>
          <w:p w14:paraId="55A5CB69">
            <w:pPr>
              <w:spacing w:line="24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投资总概算</w:t>
            </w:r>
          </w:p>
        </w:tc>
        <w:tc>
          <w:tcPr>
            <w:tcW w:w="1024" w:type="pct"/>
            <w:noWrap w:val="0"/>
            <w:vAlign w:val="center"/>
          </w:tcPr>
          <w:p w14:paraId="10C1290A">
            <w:pPr>
              <w:spacing w:line="240" w:lineRule="auto"/>
              <w:jc w:val="center"/>
              <w:rPr>
                <w:rFonts w:hint="eastAsia" w:ascii="宋体" w:hAnsi="宋体" w:eastAsia="宋体" w:cs="宋体"/>
                <w:color w:val="000000"/>
                <w:sz w:val="24"/>
                <w:szCs w:val="24"/>
              </w:rPr>
            </w:pPr>
            <w:r>
              <w:rPr>
                <w:rFonts w:hint="eastAsia" w:ascii="宋体" w:hAnsi="宋体" w:eastAsia="宋体" w:cs="宋体"/>
                <w:spacing w:val="13"/>
                <w:sz w:val="24"/>
                <w:szCs w:val="24"/>
                <w:lang w:val="en-US" w:eastAsia="zh-CN"/>
              </w:rPr>
              <w:t>2380</w:t>
            </w:r>
            <w:r>
              <w:rPr>
                <w:rFonts w:hint="eastAsia" w:ascii="宋体" w:hAnsi="宋体" w:eastAsia="宋体" w:cs="宋体"/>
                <w:color w:val="000000"/>
                <w:sz w:val="24"/>
                <w:szCs w:val="24"/>
              </w:rPr>
              <w:t>万元</w:t>
            </w:r>
          </w:p>
        </w:tc>
        <w:tc>
          <w:tcPr>
            <w:tcW w:w="1126" w:type="pct"/>
            <w:noWrap w:val="0"/>
            <w:vAlign w:val="center"/>
          </w:tcPr>
          <w:p w14:paraId="7AB41084">
            <w:pPr>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rPr>
              <w:t>环保投资总概算</w:t>
            </w:r>
          </w:p>
        </w:tc>
        <w:tc>
          <w:tcPr>
            <w:tcW w:w="738" w:type="pct"/>
            <w:noWrap w:val="0"/>
            <w:vAlign w:val="center"/>
          </w:tcPr>
          <w:p w14:paraId="2283F383">
            <w:pPr>
              <w:spacing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33</w:t>
            </w:r>
            <w:r>
              <w:rPr>
                <w:rFonts w:hint="eastAsia" w:ascii="宋体" w:hAnsi="宋体" w:eastAsia="宋体" w:cs="宋体"/>
                <w:color w:val="000000"/>
                <w:sz w:val="24"/>
                <w:szCs w:val="24"/>
              </w:rPr>
              <w:t>万元</w:t>
            </w:r>
          </w:p>
        </w:tc>
        <w:tc>
          <w:tcPr>
            <w:tcW w:w="482" w:type="pct"/>
            <w:noWrap w:val="0"/>
            <w:vAlign w:val="center"/>
          </w:tcPr>
          <w:p w14:paraId="108F52B2">
            <w:pPr>
              <w:spacing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比例</w:t>
            </w:r>
          </w:p>
        </w:tc>
        <w:tc>
          <w:tcPr>
            <w:tcW w:w="456" w:type="pct"/>
            <w:noWrap w:val="0"/>
            <w:vAlign w:val="center"/>
          </w:tcPr>
          <w:p w14:paraId="4264CAB6">
            <w:pPr>
              <w:spacing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1.4</w:t>
            </w:r>
            <w:r>
              <w:rPr>
                <w:rFonts w:hint="eastAsia" w:ascii="宋体" w:hAnsi="宋体" w:eastAsia="宋体" w:cs="宋体"/>
                <w:color w:val="000000"/>
                <w:sz w:val="24"/>
                <w:szCs w:val="24"/>
              </w:rPr>
              <w:t>%</w:t>
            </w:r>
          </w:p>
        </w:tc>
      </w:tr>
      <w:tr w14:paraId="3A4A22D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cantSplit/>
          <w:trHeight w:val="432" w:hRule="atLeast"/>
          <w:jc w:val="center"/>
        </w:trPr>
        <w:tc>
          <w:tcPr>
            <w:tcW w:w="1171" w:type="pct"/>
            <w:noWrap w:val="0"/>
            <w:vAlign w:val="center"/>
          </w:tcPr>
          <w:p w14:paraId="775730B0">
            <w:pPr>
              <w:spacing w:line="24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实际总概算</w:t>
            </w:r>
          </w:p>
        </w:tc>
        <w:tc>
          <w:tcPr>
            <w:tcW w:w="1024" w:type="pct"/>
            <w:noWrap w:val="0"/>
            <w:vAlign w:val="center"/>
          </w:tcPr>
          <w:p w14:paraId="1C9CF775">
            <w:pPr>
              <w:spacing w:line="240" w:lineRule="auto"/>
              <w:jc w:val="center"/>
              <w:rPr>
                <w:rFonts w:hint="eastAsia" w:ascii="宋体" w:hAnsi="宋体" w:eastAsia="宋体" w:cs="宋体"/>
                <w:color w:val="000000"/>
                <w:sz w:val="24"/>
                <w:szCs w:val="24"/>
              </w:rPr>
            </w:pPr>
            <w:r>
              <w:rPr>
                <w:rFonts w:hint="eastAsia" w:ascii="宋体" w:hAnsi="宋体" w:eastAsia="宋体" w:cs="宋体"/>
                <w:spacing w:val="13"/>
                <w:sz w:val="24"/>
                <w:szCs w:val="24"/>
                <w:lang w:val="en-US" w:eastAsia="zh-CN"/>
              </w:rPr>
              <w:t>2400</w:t>
            </w:r>
            <w:r>
              <w:rPr>
                <w:rFonts w:hint="eastAsia" w:ascii="宋体" w:hAnsi="宋体" w:eastAsia="宋体" w:cs="宋体"/>
                <w:color w:val="000000"/>
                <w:sz w:val="24"/>
                <w:szCs w:val="24"/>
              </w:rPr>
              <w:t>万元</w:t>
            </w:r>
          </w:p>
        </w:tc>
        <w:tc>
          <w:tcPr>
            <w:tcW w:w="1126" w:type="pct"/>
            <w:noWrap w:val="0"/>
            <w:vAlign w:val="center"/>
          </w:tcPr>
          <w:p w14:paraId="6DEBA812">
            <w:pPr>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rPr>
              <w:t>实际环保投资</w:t>
            </w:r>
          </w:p>
        </w:tc>
        <w:tc>
          <w:tcPr>
            <w:tcW w:w="738" w:type="pct"/>
            <w:noWrap w:val="0"/>
            <w:vAlign w:val="center"/>
          </w:tcPr>
          <w:p w14:paraId="6B703CA1">
            <w:pPr>
              <w:spacing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43</w:t>
            </w:r>
            <w:r>
              <w:rPr>
                <w:rFonts w:hint="eastAsia" w:ascii="宋体" w:hAnsi="宋体" w:eastAsia="宋体" w:cs="宋体"/>
                <w:color w:val="000000"/>
                <w:sz w:val="24"/>
                <w:szCs w:val="24"/>
              </w:rPr>
              <w:t>万元</w:t>
            </w:r>
          </w:p>
        </w:tc>
        <w:tc>
          <w:tcPr>
            <w:tcW w:w="482" w:type="pct"/>
            <w:noWrap w:val="0"/>
            <w:vAlign w:val="center"/>
          </w:tcPr>
          <w:p w14:paraId="36C50631">
            <w:pPr>
              <w:spacing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比例</w:t>
            </w:r>
          </w:p>
        </w:tc>
        <w:tc>
          <w:tcPr>
            <w:tcW w:w="456" w:type="pct"/>
            <w:noWrap w:val="0"/>
            <w:vAlign w:val="center"/>
          </w:tcPr>
          <w:p w14:paraId="70D50C8E">
            <w:pPr>
              <w:spacing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1.8</w:t>
            </w:r>
            <w:r>
              <w:rPr>
                <w:rFonts w:hint="eastAsia" w:ascii="宋体" w:hAnsi="宋体" w:eastAsia="宋体" w:cs="宋体"/>
                <w:color w:val="000000"/>
                <w:sz w:val="24"/>
                <w:szCs w:val="24"/>
              </w:rPr>
              <w:t>%</w:t>
            </w:r>
          </w:p>
        </w:tc>
      </w:tr>
      <w:tr w14:paraId="5C06C0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171" w:type="pct"/>
            <w:noWrap w:val="0"/>
            <w:vAlign w:val="center"/>
          </w:tcPr>
          <w:p w14:paraId="0AA761D7">
            <w:pPr>
              <w:spacing w:line="240" w:lineRule="auto"/>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验收监测依据</w:t>
            </w:r>
          </w:p>
        </w:tc>
        <w:tc>
          <w:tcPr>
            <w:tcW w:w="3828" w:type="pct"/>
            <w:gridSpan w:val="5"/>
            <w:noWrap w:val="0"/>
            <w:vAlign w:val="center"/>
          </w:tcPr>
          <w:p w14:paraId="0A9D28C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sz w:val="28"/>
                <w:szCs w:val="28"/>
              </w:rPr>
            </w:pPr>
            <w:r>
              <w:rPr>
                <w:rFonts w:hint="eastAsia" w:ascii="宋体" w:hAnsi="宋体" w:eastAsia="宋体" w:cs="宋体"/>
                <w:b/>
                <w:bCs/>
                <w:sz w:val="28"/>
                <w:szCs w:val="28"/>
                <w:lang w:val="en-US" w:eastAsia="zh-CN"/>
              </w:rPr>
              <w:t>1.</w:t>
            </w:r>
            <w:r>
              <w:rPr>
                <w:rFonts w:hint="eastAsia" w:ascii="宋体" w:hAnsi="宋体" w:eastAsia="宋体" w:cs="宋体"/>
                <w:b/>
                <w:bCs/>
                <w:sz w:val="28"/>
                <w:szCs w:val="28"/>
              </w:rPr>
              <w:t>建设项目环境保护相关法律、法规和规章制度</w:t>
            </w:r>
          </w:p>
          <w:p w14:paraId="607DDDD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（1）《中华人民共和国环境保护法》(2015年1月1日)</w:t>
            </w:r>
          </w:p>
          <w:p w14:paraId="2CCAF62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（2）《中华人民共和国环境影响评价法》(2018年12月29日)</w:t>
            </w:r>
          </w:p>
          <w:p w14:paraId="4B6BA60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（3）《中华人民共和国大气污染防治法》(2018年10月26日)</w:t>
            </w:r>
          </w:p>
          <w:p w14:paraId="7F90D1D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（4）《中华人民共和国水污染防治法》(2018年1月1日)</w:t>
            </w:r>
          </w:p>
          <w:p w14:paraId="154130C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（5）《中华人民共和国噪声污染防治法》(2022年6月5日)</w:t>
            </w:r>
          </w:p>
          <w:p w14:paraId="68A114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（6）《中华人民共和国固体废物污染环境防治法》(2020年9月1日)</w:t>
            </w:r>
          </w:p>
          <w:p w14:paraId="36A8B33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（7）《大气污染防治行动计划》，国发〔2013〕37号，2013年9月10日</w:t>
            </w:r>
          </w:p>
          <w:p w14:paraId="5609AAB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（8）《水污染防治行动计划》，国发〔2015〕17号，2015年4月2日</w:t>
            </w:r>
          </w:p>
          <w:p w14:paraId="7255448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（9）《建设项目环境保护管理条例》，国务院令第682号，2017年10月1日</w:t>
            </w:r>
          </w:p>
          <w:p w14:paraId="232BA45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（10）《建设项目竣工环境保护验收暂行办法》，国环规环评[2017]4号，2017年11月20日</w:t>
            </w:r>
          </w:p>
          <w:p w14:paraId="27D6233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（11）《排污许可管理条例》，国务院令第736号，2021年3月1日</w:t>
            </w:r>
          </w:p>
          <w:p w14:paraId="5F12F18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（12）《新疆维吾尔自治区环境保护条例》（2018年9月21日）</w:t>
            </w:r>
          </w:p>
          <w:p w14:paraId="34E11C3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（13）《新疆维吾尔自治区危险废物污染环境防治办法》，新疆维吾尔自治区人民政府令第163号，2010年5月1日</w:t>
            </w:r>
          </w:p>
          <w:p w14:paraId="7F2C6FE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（14）《关于印发环评管理中部分行业建设项目重大变动清单的通知》，环办〔2015〕52号，2015年6月4日</w:t>
            </w:r>
          </w:p>
          <w:p w14:paraId="37A1E04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（15）《关于印发新疆维吾尔自治区环境影响评价管理中建设项目重大变动界定程序规定的通知》新环环评发〔2019〕140号，2019年11月14日</w:t>
            </w:r>
          </w:p>
          <w:p w14:paraId="32D60B9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（16）《关于重点区域执行大气污染物特别排放限值的公告》，新疆维吾尔自治区环境保护厅，2016年第45号公告，2016年8月25日</w:t>
            </w:r>
          </w:p>
          <w:p w14:paraId="388E2B2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8"/>
                <w:szCs w:val="28"/>
              </w:rPr>
            </w:pPr>
            <w:r>
              <w:rPr>
                <w:rFonts w:hint="eastAsia" w:ascii="宋体" w:hAnsi="宋体" w:eastAsia="宋体" w:cs="宋体"/>
                <w:b/>
                <w:bCs/>
                <w:sz w:val="28"/>
                <w:szCs w:val="28"/>
                <w:lang w:val="en-US" w:eastAsia="zh-CN"/>
              </w:rPr>
              <w:t>2.</w:t>
            </w:r>
            <w:r>
              <w:rPr>
                <w:rFonts w:hint="eastAsia" w:ascii="宋体" w:hAnsi="宋体" w:eastAsia="宋体" w:cs="宋体"/>
                <w:b/>
                <w:bCs/>
                <w:sz w:val="28"/>
                <w:szCs w:val="28"/>
              </w:rPr>
              <w:t>建设项目竣工环境保护验收技术规范</w:t>
            </w:r>
          </w:p>
          <w:p w14:paraId="49C5E32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（1）《建设项目竣工环境保护验收技术指南污染影响类》，生态环境部公告2018年第9号，2018年5月15日</w:t>
            </w:r>
          </w:p>
          <w:p w14:paraId="1C7321A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8"/>
                <w:szCs w:val="28"/>
              </w:rPr>
            </w:pPr>
            <w:r>
              <w:rPr>
                <w:rFonts w:hint="eastAsia" w:ascii="宋体" w:hAnsi="宋体" w:eastAsia="宋体" w:cs="宋体"/>
                <w:b/>
                <w:bCs/>
                <w:sz w:val="28"/>
                <w:szCs w:val="28"/>
                <w:lang w:val="en-US" w:eastAsia="zh-CN"/>
              </w:rPr>
              <w:t>3.</w:t>
            </w:r>
            <w:r>
              <w:rPr>
                <w:rFonts w:hint="eastAsia" w:ascii="宋体" w:hAnsi="宋体" w:eastAsia="宋体" w:cs="宋体"/>
                <w:b/>
                <w:bCs/>
                <w:sz w:val="28"/>
                <w:szCs w:val="28"/>
              </w:rPr>
              <w:t>建设项目环境影响报告书及其审批部门审批决定</w:t>
            </w:r>
          </w:p>
          <w:p w14:paraId="6CE0368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lang w:val="en-US" w:eastAsia="zh-CN"/>
              </w:rPr>
            </w:pPr>
            <w:r>
              <w:rPr>
                <w:rFonts w:hint="eastAsia" w:ascii="宋体" w:hAnsi="宋体" w:eastAsia="宋体" w:cs="宋体"/>
                <w:sz w:val="24"/>
                <w:szCs w:val="24"/>
                <w:lang w:val="en-US" w:eastAsia="zh-CN"/>
              </w:rPr>
              <w:t>（1）新疆中科同创环境科技有限公司，《伽师县嘉腾养殖农民专业合作社屠宰加工厂项目环境影响报告表》</w:t>
            </w:r>
            <w:r>
              <w:rPr>
                <w:rFonts w:hint="eastAsia" w:ascii="仿宋" w:hAnsi="仿宋" w:eastAsia="仿宋" w:cs="仿宋"/>
                <w:color w:val="auto"/>
                <w:sz w:val="24"/>
                <w:szCs w:val="24"/>
                <w:lang w:val="en-US" w:eastAsia="zh-CN"/>
              </w:rPr>
              <w:t>喀地环评字</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2022</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34</w:t>
            </w:r>
            <w:r>
              <w:rPr>
                <w:rFonts w:hint="eastAsia" w:ascii="仿宋" w:hAnsi="仿宋" w:eastAsia="仿宋" w:cs="仿宋"/>
                <w:color w:val="auto"/>
                <w:sz w:val="24"/>
                <w:szCs w:val="24"/>
              </w:rPr>
              <w:t>号，</w:t>
            </w:r>
            <w:r>
              <w:rPr>
                <w:rFonts w:hint="eastAsia" w:ascii="仿宋" w:hAnsi="仿宋" w:eastAsia="仿宋" w:cs="仿宋"/>
                <w:color w:val="auto"/>
                <w:sz w:val="24"/>
                <w:szCs w:val="24"/>
                <w:lang w:val="en-US" w:eastAsia="zh-CN"/>
              </w:rPr>
              <w:t>2022年4月8日</w:t>
            </w:r>
          </w:p>
          <w:p w14:paraId="1405192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4.其他相关文件 </w:t>
            </w:r>
          </w:p>
          <w:p w14:paraId="442460C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）新疆博洋科技检测有限公司</w:t>
            </w:r>
            <w:r>
              <w:rPr>
                <w:rFonts w:hint="eastAsia" w:ascii="宋体" w:hAnsi="宋体" w:eastAsia="宋体" w:cs="宋体"/>
                <w:sz w:val="24"/>
                <w:szCs w:val="24"/>
              </w:rPr>
              <w:t>检测报告</w:t>
            </w:r>
          </w:p>
          <w:p w14:paraId="7A50887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危险废物委托处置协议</w:t>
            </w:r>
          </w:p>
          <w:p w14:paraId="28DBAF8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）伽师县嘉腾养殖农民专业合作社屠宰加工厂项目</w:t>
            </w:r>
            <w:r>
              <w:rPr>
                <w:rFonts w:hint="eastAsia" w:ascii="宋体" w:hAnsi="宋体" w:eastAsia="宋体" w:cs="宋体"/>
                <w:sz w:val="24"/>
                <w:szCs w:val="24"/>
              </w:rPr>
              <w:t>环评批复</w:t>
            </w:r>
          </w:p>
          <w:p w14:paraId="7CA865F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sz w:val="24"/>
                <w:szCs w:val="24"/>
                <w:lang w:val="en-US" w:eastAsia="zh-CN"/>
              </w:rPr>
              <w:t>（4）伽师县嘉腾养殖农民专业合作社</w:t>
            </w:r>
            <w:r>
              <w:rPr>
                <w:rFonts w:hint="eastAsia" w:ascii="宋体" w:hAnsi="宋体" w:eastAsia="宋体" w:cs="宋体"/>
                <w:sz w:val="24"/>
                <w:szCs w:val="24"/>
                <w:lang w:eastAsia="zh-CN"/>
              </w:rPr>
              <w:t>提供的其他有关资料</w:t>
            </w:r>
          </w:p>
        </w:tc>
      </w:tr>
      <w:tr w14:paraId="00C26F5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819" w:hRule="atLeast"/>
          <w:jc w:val="center"/>
        </w:trPr>
        <w:tc>
          <w:tcPr>
            <w:tcW w:w="1171" w:type="pct"/>
            <w:noWrap w:val="0"/>
            <w:vAlign w:val="center"/>
          </w:tcPr>
          <w:p w14:paraId="20155BA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验收监测</w:t>
            </w:r>
          </w:p>
          <w:p w14:paraId="5D04A69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标准、标号、级别</w:t>
            </w:r>
          </w:p>
        </w:tc>
        <w:tc>
          <w:tcPr>
            <w:tcW w:w="3828" w:type="pct"/>
            <w:gridSpan w:val="5"/>
            <w:noWrap w:val="0"/>
            <w:vAlign w:val="center"/>
          </w:tcPr>
          <w:p w14:paraId="05C9FB80">
            <w:pPr>
              <w:pStyle w:val="20"/>
              <w:keepNext w:val="0"/>
              <w:keepLines w:val="0"/>
              <w:pageBreakBefore w:val="0"/>
              <w:widowControl w:val="0"/>
              <w:numPr>
                <w:ilvl w:val="0"/>
                <w:numId w:val="0"/>
              </w:numPr>
              <w:kinsoku/>
              <w:wordWrap/>
              <w:overflowPunct/>
              <w:topLinePunct w:val="0"/>
              <w:autoSpaceDE/>
              <w:autoSpaceDN/>
              <w:bidi w:val="0"/>
              <w:adjustRightInd/>
              <w:snapToGrid/>
              <w:spacing w:before="19" w:line="360" w:lineRule="auto"/>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1.废气</w:t>
            </w:r>
          </w:p>
          <w:p w14:paraId="79B40892">
            <w:pPr>
              <w:pStyle w:val="20"/>
              <w:keepNext w:val="0"/>
              <w:keepLines w:val="0"/>
              <w:pageBreakBefore w:val="0"/>
              <w:widowControl w:val="0"/>
              <w:numPr>
                <w:ilvl w:val="0"/>
                <w:numId w:val="1"/>
              </w:numPr>
              <w:kinsoku/>
              <w:wordWrap/>
              <w:overflowPunct/>
              <w:topLinePunct w:val="0"/>
              <w:autoSpaceDE/>
              <w:autoSpaceDN/>
              <w:bidi w:val="0"/>
              <w:adjustRightInd/>
              <w:snapToGrid/>
              <w:spacing w:before="19" w:line="360" w:lineRule="auto"/>
              <w:textAlignment w:val="auto"/>
              <w:rPr>
                <w:rFonts w:hint="eastAsia" w:ascii="宋体" w:hAnsi="宋体" w:eastAsia="宋体" w:cs="宋体"/>
                <w:color w:val="auto"/>
                <w:lang w:val="en-US" w:eastAsia="zh-CN"/>
              </w:rPr>
            </w:pPr>
            <w:r>
              <w:rPr>
                <w:rFonts w:hint="eastAsia" w:ascii="宋体" w:hAnsi="宋体" w:eastAsia="宋体" w:cs="宋体"/>
                <w:b w:val="0"/>
                <w:bCs w:val="0"/>
                <w:color w:val="auto"/>
                <w:sz w:val="24"/>
                <w:szCs w:val="24"/>
                <w:lang w:val="en-US" w:eastAsia="zh-CN"/>
              </w:rPr>
              <w:t>厂界废气无组织执行《</w:t>
            </w:r>
            <w:r>
              <w:rPr>
                <w:rFonts w:hint="eastAsia" w:ascii="宋体" w:hAnsi="宋体" w:eastAsia="宋体" w:cs="宋体"/>
                <w:color w:val="auto"/>
                <w:lang w:val="en-US" w:eastAsia="zh-CN"/>
              </w:rPr>
              <w:t>恶臭污染物排放标准》（GB14554-1993）表1恶臭污染物厂界二级新改扩建标准值。</w:t>
            </w:r>
          </w:p>
          <w:p w14:paraId="40FF66DD">
            <w:pPr>
              <w:pStyle w:val="20"/>
              <w:keepNext w:val="0"/>
              <w:keepLines w:val="0"/>
              <w:pageBreakBefore w:val="0"/>
              <w:widowControl w:val="0"/>
              <w:numPr>
                <w:ilvl w:val="0"/>
                <w:numId w:val="1"/>
              </w:numPr>
              <w:kinsoku/>
              <w:wordWrap/>
              <w:overflowPunct/>
              <w:topLinePunct w:val="0"/>
              <w:autoSpaceDE/>
              <w:autoSpaceDN/>
              <w:bidi w:val="0"/>
              <w:adjustRightInd/>
              <w:snapToGrid/>
              <w:spacing w:before="19" w:line="360" w:lineRule="auto"/>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Cs/>
                <w:color w:val="auto"/>
                <w:szCs w:val="21"/>
                <w:lang w:eastAsia="zh-CN"/>
              </w:rPr>
              <w:t>有组织废气</w:t>
            </w:r>
            <w:r>
              <w:rPr>
                <w:rFonts w:hint="eastAsia" w:ascii="宋体" w:hAnsi="宋体" w:eastAsia="宋体" w:cs="宋体"/>
                <w:bCs/>
                <w:color w:val="auto"/>
                <w:szCs w:val="21"/>
                <w:lang w:val="en-US" w:eastAsia="zh-CN"/>
              </w:rPr>
              <w:t>执行《恶臭污染物排放标准》（GB14554-93)表2恶臭污染物排放限值。</w:t>
            </w:r>
          </w:p>
          <w:p w14:paraId="155C07AB">
            <w:pPr>
              <w:pStyle w:val="20"/>
              <w:keepNext w:val="0"/>
              <w:keepLines w:val="0"/>
              <w:pageBreakBefore w:val="0"/>
              <w:widowControl w:val="0"/>
              <w:numPr>
                <w:ilvl w:val="0"/>
                <w:numId w:val="0"/>
              </w:numPr>
              <w:kinsoku/>
              <w:wordWrap/>
              <w:overflowPunct/>
              <w:topLinePunct w:val="0"/>
              <w:autoSpaceDE/>
              <w:autoSpaceDN/>
              <w:bidi w:val="0"/>
              <w:adjustRightInd/>
              <w:snapToGrid/>
              <w:spacing w:before="19" w:line="360" w:lineRule="auto"/>
              <w:jc w:val="center"/>
              <w:textAlignment w:val="auto"/>
              <w:rPr>
                <w:rFonts w:hint="eastAsia" w:ascii="宋体" w:hAnsi="宋体" w:eastAsia="宋体" w:cs="宋体"/>
                <w:b w:val="0"/>
                <w:bCs w:val="0"/>
                <w:color w:val="auto"/>
                <w:sz w:val="24"/>
                <w:szCs w:val="24"/>
                <w:lang w:val="en-US" w:eastAsia="zh-CN"/>
              </w:rPr>
            </w:pPr>
            <w:r>
              <w:rPr>
                <w:rFonts w:hint="eastAsia" w:cs="Times New Roman"/>
                <w:color w:val="auto"/>
                <w:lang w:val="en-US" w:eastAsia="zh-CN"/>
              </w:rPr>
              <w:t xml:space="preserve">表1-1 </w:t>
            </w:r>
            <w:r>
              <w:rPr>
                <w:rFonts w:hint="default" w:ascii="Times New Roman" w:hAnsi="Times New Roman" w:cs="Times New Roman"/>
                <w:color w:val="auto"/>
                <w:lang w:val="en-US" w:eastAsia="zh-CN"/>
              </w:rPr>
              <w:t>新污染源大气污染物排放限值</w:t>
            </w:r>
          </w:p>
          <w:tbl>
            <w:tblPr>
              <w:tblStyle w:val="15"/>
              <w:tblW w:w="6257"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65"/>
              <w:gridCol w:w="857"/>
              <w:gridCol w:w="1538"/>
              <w:gridCol w:w="1032"/>
              <w:gridCol w:w="2065"/>
            </w:tblGrid>
            <w:tr w14:paraId="051CCED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62" w:hRule="exact"/>
                <w:jc w:val="center"/>
              </w:trPr>
              <w:tc>
                <w:tcPr>
                  <w:tcW w:w="765" w:type="dxa"/>
                  <w:tcBorders>
                    <w:tl2br w:val="nil"/>
                    <w:tr2bl w:val="nil"/>
                  </w:tcBorders>
                  <w:noWrap w:val="0"/>
                  <w:vAlign w:val="center"/>
                </w:tcPr>
                <w:p w14:paraId="18F4BCB3">
                  <w:pPr>
                    <w:pStyle w:val="21"/>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b/>
                      <w:bCs w:val="0"/>
                      <w:sz w:val="21"/>
                      <w:szCs w:val="21"/>
                      <w:lang w:val="en-US" w:eastAsia="zh-CN"/>
                    </w:rPr>
                  </w:pPr>
                  <w:r>
                    <w:rPr>
                      <w:rFonts w:hint="eastAsia" w:ascii="Times New Roman" w:hAnsi="Times New Roman" w:cs="Times New Roman"/>
                      <w:b/>
                      <w:bCs w:val="0"/>
                      <w:sz w:val="21"/>
                      <w:szCs w:val="21"/>
                      <w:lang w:val="en-US" w:eastAsia="zh-CN"/>
                    </w:rPr>
                    <w:t>类别</w:t>
                  </w:r>
                </w:p>
              </w:tc>
              <w:tc>
                <w:tcPr>
                  <w:tcW w:w="857" w:type="dxa"/>
                  <w:tcBorders>
                    <w:tl2br w:val="nil"/>
                    <w:tr2bl w:val="nil"/>
                  </w:tcBorders>
                  <w:noWrap w:val="0"/>
                  <w:vAlign w:val="center"/>
                </w:tcPr>
                <w:p w14:paraId="209BB245">
                  <w:pPr>
                    <w:pStyle w:val="21"/>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b/>
                      <w:bCs w:val="0"/>
                      <w:sz w:val="21"/>
                      <w:szCs w:val="21"/>
                      <w:lang w:val="en-US" w:eastAsia="zh-CN"/>
                    </w:rPr>
                  </w:pPr>
                  <w:r>
                    <w:rPr>
                      <w:rFonts w:hint="default" w:ascii="Times New Roman" w:hAnsi="Times New Roman" w:cs="Times New Roman"/>
                      <w:b/>
                      <w:bCs w:val="0"/>
                      <w:sz w:val="21"/>
                      <w:szCs w:val="21"/>
                      <w:lang w:val="en-US" w:eastAsia="zh-CN"/>
                    </w:rPr>
                    <w:t>污染物</w:t>
                  </w:r>
                </w:p>
              </w:tc>
              <w:tc>
                <w:tcPr>
                  <w:tcW w:w="1538" w:type="dxa"/>
                  <w:tcBorders>
                    <w:tl2br w:val="nil"/>
                    <w:tr2bl w:val="nil"/>
                  </w:tcBorders>
                  <w:noWrap w:val="0"/>
                  <w:vAlign w:val="center"/>
                </w:tcPr>
                <w:p w14:paraId="65C78C40">
                  <w:pPr>
                    <w:pStyle w:val="21"/>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Times New Roman" w:hAnsi="Times New Roman" w:cs="Times New Roman"/>
                      <w:b/>
                      <w:bCs w:val="0"/>
                      <w:sz w:val="21"/>
                      <w:szCs w:val="21"/>
                      <w:lang w:val="en-US" w:eastAsia="zh-CN"/>
                    </w:rPr>
                  </w:pPr>
                  <w:r>
                    <w:rPr>
                      <w:rFonts w:hint="eastAsia" w:ascii="Times New Roman" w:hAnsi="Times New Roman" w:cs="Times New Roman"/>
                      <w:b/>
                      <w:bCs w:val="0"/>
                      <w:sz w:val="21"/>
                      <w:szCs w:val="21"/>
                      <w:lang w:val="en-US" w:eastAsia="zh-CN"/>
                    </w:rPr>
                    <w:t>监测</w:t>
                  </w:r>
                </w:p>
                <w:p w14:paraId="506B49F4">
                  <w:pPr>
                    <w:pStyle w:val="21"/>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b/>
                      <w:bCs w:val="0"/>
                      <w:sz w:val="21"/>
                      <w:szCs w:val="21"/>
                      <w:lang w:val="en-US" w:eastAsia="zh-CN"/>
                    </w:rPr>
                  </w:pPr>
                  <w:r>
                    <w:rPr>
                      <w:rFonts w:hint="eastAsia" w:ascii="Times New Roman" w:hAnsi="Times New Roman" w:cs="Times New Roman"/>
                      <w:b/>
                      <w:bCs w:val="0"/>
                      <w:sz w:val="21"/>
                      <w:szCs w:val="21"/>
                      <w:lang w:val="en-US" w:eastAsia="zh-CN"/>
                    </w:rPr>
                    <w:t>点位</w:t>
                  </w:r>
                </w:p>
              </w:tc>
              <w:tc>
                <w:tcPr>
                  <w:tcW w:w="1032" w:type="dxa"/>
                  <w:tcBorders>
                    <w:tl2br w:val="nil"/>
                    <w:tr2bl w:val="nil"/>
                  </w:tcBorders>
                  <w:noWrap w:val="0"/>
                  <w:vAlign w:val="center"/>
                </w:tcPr>
                <w:p w14:paraId="36DE8023">
                  <w:pPr>
                    <w:pStyle w:val="21"/>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sz w:val="21"/>
                      <w:szCs w:val="21"/>
                      <w:lang w:val="en-US" w:eastAsia="zh-CN"/>
                    </w:rPr>
                  </w:pPr>
                  <w:r>
                    <w:rPr>
                      <w:rFonts w:hint="default" w:ascii="Times New Roman" w:hAnsi="Times New Roman" w:cs="Times New Roman"/>
                      <w:b/>
                      <w:bCs w:val="0"/>
                      <w:sz w:val="21"/>
                      <w:szCs w:val="21"/>
                      <w:lang w:val="en-US" w:eastAsia="zh-CN"/>
                    </w:rPr>
                    <w:t>浓度限值，mg/m</w:t>
                  </w:r>
                  <w:r>
                    <w:rPr>
                      <w:rFonts w:hint="default" w:ascii="Times New Roman" w:hAnsi="Times New Roman" w:cs="Times New Roman"/>
                      <w:b/>
                      <w:bCs w:val="0"/>
                      <w:sz w:val="21"/>
                      <w:szCs w:val="21"/>
                      <w:vertAlign w:val="superscript"/>
                      <w:lang w:val="en-US" w:eastAsia="zh-CN"/>
                    </w:rPr>
                    <w:t>3</w:t>
                  </w:r>
                </w:p>
              </w:tc>
              <w:tc>
                <w:tcPr>
                  <w:tcW w:w="2065" w:type="dxa"/>
                  <w:tcBorders>
                    <w:tl2br w:val="nil"/>
                    <w:tr2bl w:val="nil"/>
                  </w:tcBorders>
                  <w:noWrap w:val="0"/>
                  <w:vAlign w:val="center"/>
                </w:tcPr>
                <w:p w14:paraId="5B236206">
                  <w:pPr>
                    <w:pStyle w:val="21"/>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b/>
                      <w:bCs w:val="0"/>
                      <w:sz w:val="21"/>
                      <w:szCs w:val="21"/>
                      <w:lang w:val="en-US" w:eastAsia="zh-CN"/>
                    </w:rPr>
                  </w:pPr>
                  <w:r>
                    <w:rPr>
                      <w:rFonts w:hint="eastAsia" w:ascii="Times New Roman" w:hAnsi="Times New Roman" w:cs="Times New Roman"/>
                      <w:b/>
                      <w:bCs w:val="0"/>
                      <w:sz w:val="21"/>
                      <w:szCs w:val="21"/>
                      <w:lang w:val="en-US" w:eastAsia="zh-CN"/>
                    </w:rPr>
                    <w:t>标准</w:t>
                  </w:r>
                </w:p>
              </w:tc>
            </w:tr>
            <w:tr w14:paraId="7061040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8" w:hRule="exact"/>
                <w:jc w:val="center"/>
              </w:trPr>
              <w:tc>
                <w:tcPr>
                  <w:tcW w:w="765" w:type="dxa"/>
                  <w:vMerge w:val="restart"/>
                  <w:tcBorders>
                    <w:tl2br w:val="nil"/>
                    <w:tr2bl w:val="nil"/>
                  </w:tcBorders>
                  <w:noWrap w:val="0"/>
                  <w:vAlign w:val="center"/>
                </w:tcPr>
                <w:p w14:paraId="3F725321">
                  <w:pPr>
                    <w:pStyle w:val="21"/>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无组织废气</w:t>
                  </w:r>
                </w:p>
              </w:tc>
              <w:tc>
                <w:tcPr>
                  <w:tcW w:w="857" w:type="dxa"/>
                  <w:tcBorders>
                    <w:tl2br w:val="nil"/>
                    <w:tr2bl w:val="nil"/>
                  </w:tcBorders>
                  <w:noWrap w:val="0"/>
                  <w:vAlign w:val="center"/>
                </w:tcPr>
                <w:p w14:paraId="032829B3">
                  <w:pPr>
                    <w:pStyle w:val="21"/>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氨</w:t>
                  </w:r>
                </w:p>
              </w:tc>
              <w:tc>
                <w:tcPr>
                  <w:tcW w:w="1538" w:type="dxa"/>
                  <w:vMerge w:val="restart"/>
                  <w:tcBorders>
                    <w:tl2br w:val="nil"/>
                    <w:tr2bl w:val="nil"/>
                  </w:tcBorders>
                  <w:noWrap w:val="0"/>
                  <w:vAlign w:val="center"/>
                </w:tcPr>
                <w:p w14:paraId="367BF4A1">
                  <w:pPr>
                    <w:pStyle w:val="21"/>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厂界上风向1个点，下风向3个点</w:t>
                  </w:r>
                </w:p>
              </w:tc>
              <w:tc>
                <w:tcPr>
                  <w:tcW w:w="1032" w:type="dxa"/>
                  <w:tcBorders>
                    <w:tl2br w:val="nil"/>
                    <w:tr2bl w:val="nil"/>
                  </w:tcBorders>
                  <w:noWrap w:val="0"/>
                  <w:vAlign w:val="center"/>
                </w:tcPr>
                <w:p w14:paraId="166F4ADD">
                  <w:pPr>
                    <w:pStyle w:val="21"/>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1.5</w:t>
                  </w:r>
                </w:p>
              </w:tc>
              <w:tc>
                <w:tcPr>
                  <w:tcW w:w="2065" w:type="dxa"/>
                  <w:vMerge w:val="restart"/>
                  <w:tcBorders>
                    <w:tl2br w:val="nil"/>
                    <w:tr2bl w:val="nil"/>
                  </w:tcBorders>
                  <w:noWrap w:val="0"/>
                  <w:vAlign w:val="center"/>
                </w:tcPr>
                <w:p w14:paraId="41D0AF71">
                  <w:pPr>
                    <w:pStyle w:val="21"/>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lang w:val="en-US" w:eastAsia="zh-CN"/>
                    </w:rPr>
                  </w:pPr>
                  <w:r>
                    <w:rPr>
                      <w:rFonts w:hint="eastAsia" w:cs="宋体"/>
                      <w:b w:val="0"/>
                      <w:bCs w:val="0"/>
                      <w:color w:val="auto"/>
                      <w:sz w:val="24"/>
                      <w:szCs w:val="24"/>
                      <w:lang w:val="en-US" w:eastAsia="zh-CN"/>
                    </w:rPr>
                    <w:t>《</w:t>
                  </w:r>
                  <w:r>
                    <w:rPr>
                      <w:rFonts w:hint="eastAsia" w:cs="Times New Roman"/>
                      <w:color w:val="auto"/>
                      <w:lang w:val="en-US" w:eastAsia="zh-CN"/>
                    </w:rPr>
                    <w:t>恶臭污染物排放标准》</w:t>
                  </w:r>
                  <w:r>
                    <w:rPr>
                      <w:rFonts w:hint="default" w:ascii="Times New Roman" w:hAnsi="Times New Roman" w:eastAsia="宋体" w:cs="Times New Roman"/>
                      <w:color w:val="auto"/>
                      <w:lang w:val="en-US" w:eastAsia="zh-CN"/>
                    </w:rPr>
                    <w:t>（GB</w:t>
                  </w:r>
                  <w:r>
                    <w:rPr>
                      <w:rFonts w:hint="eastAsia" w:cs="Times New Roman"/>
                      <w:color w:val="auto"/>
                      <w:lang w:val="en-US" w:eastAsia="zh-CN"/>
                    </w:rPr>
                    <w:t>14554-1993</w:t>
                  </w:r>
                  <w:r>
                    <w:rPr>
                      <w:rFonts w:hint="default" w:ascii="Times New Roman" w:hAnsi="Times New Roman" w:eastAsia="宋体" w:cs="Times New Roman"/>
                      <w:color w:val="auto"/>
                      <w:lang w:val="en-US" w:eastAsia="zh-CN"/>
                    </w:rPr>
                    <w:t>）</w:t>
                  </w:r>
                </w:p>
                <w:p w14:paraId="0225B4A1">
                  <w:pPr>
                    <w:pStyle w:val="21"/>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sz w:val="21"/>
                      <w:szCs w:val="21"/>
                      <w:lang w:val="en-US" w:eastAsia="zh-CN"/>
                    </w:rPr>
                  </w:pPr>
                  <w:r>
                    <w:rPr>
                      <w:rFonts w:hint="eastAsia" w:cs="Times New Roman"/>
                      <w:color w:val="auto"/>
                      <w:lang w:val="en-US" w:eastAsia="zh-CN"/>
                    </w:rPr>
                    <w:t>表1</w:t>
                  </w:r>
                </w:p>
              </w:tc>
            </w:tr>
            <w:tr w14:paraId="7B4B369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36" w:hRule="exact"/>
                <w:jc w:val="center"/>
              </w:trPr>
              <w:tc>
                <w:tcPr>
                  <w:tcW w:w="765" w:type="dxa"/>
                  <w:vMerge w:val="continue"/>
                  <w:tcBorders>
                    <w:tl2br w:val="nil"/>
                    <w:tr2bl w:val="nil"/>
                  </w:tcBorders>
                  <w:noWrap w:val="0"/>
                  <w:vAlign w:val="center"/>
                </w:tcPr>
                <w:p w14:paraId="429F9BC4">
                  <w:pPr>
                    <w:pStyle w:val="21"/>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sz w:val="21"/>
                      <w:szCs w:val="21"/>
                      <w:lang w:val="en-US" w:eastAsia="zh-CN"/>
                    </w:rPr>
                  </w:pPr>
                </w:p>
              </w:tc>
              <w:tc>
                <w:tcPr>
                  <w:tcW w:w="857" w:type="dxa"/>
                  <w:tcBorders>
                    <w:tl2br w:val="nil"/>
                    <w:tr2bl w:val="nil"/>
                  </w:tcBorders>
                  <w:noWrap w:val="0"/>
                  <w:vAlign w:val="center"/>
                </w:tcPr>
                <w:p w14:paraId="0F7D3F40">
                  <w:pPr>
                    <w:pStyle w:val="21"/>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硫化氢</w:t>
                  </w:r>
                </w:p>
              </w:tc>
              <w:tc>
                <w:tcPr>
                  <w:tcW w:w="1538" w:type="dxa"/>
                  <w:vMerge w:val="continue"/>
                  <w:tcBorders>
                    <w:tl2br w:val="nil"/>
                    <w:tr2bl w:val="nil"/>
                  </w:tcBorders>
                  <w:noWrap w:val="0"/>
                  <w:vAlign w:val="center"/>
                </w:tcPr>
                <w:p w14:paraId="0B0EE301">
                  <w:pPr>
                    <w:pStyle w:val="21"/>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b w:val="0"/>
                      <w:bCs/>
                      <w:sz w:val="21"/>
                      <w:szCs w:val="21"/>
                      <w:lang w:val="en-US" w:eastAsia="zh-CN"/>
                    </w:rPr>
                  </w:pPr>
                </w:p>
              </w:tc>
              <w:tc>
                <w:tcPr>
                  <w:tcW w:w="1032" w:type="dxa"/>
                  <w:tcBorders>
                    <w:tl2br w:val="nil"/>
                    <w:tr2bl w:val="nil"/>
                  </w:tcBorders>
                  <w:noWrap w:val="0"/>
                  <w:vAlign w:val="center"/>
                </w:tcPr>
                <w:p w14:paraId="6EC4D42E">
                  <w:pPr>
                    <w:pStyle w:val="21"/>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0.06</w:t>
                  </w:r>
                </w:p>
              </w:tc>
              <w:tc>
                <w:tcPr>
                  <w:tcW w:w="2065" w:type="dxa"/>
                  <w:vMerge w:val="continue"/>
                  <w:tcBorders>
                    <w:tl2br w:val="nil"/>
                    <w:tr2bl w:val="nil"/>
                  </w:tcBorders>
                  <w:noWrap w:val="0"/>
                  <w:vAlign w:val="center"/>
                </w:tcPr>
                <w:p w14:paraId="136AA8F0">
                  <w:pPr>
                    <w:pStyle w:val="21"/>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sz w:val="21"/>
                      <w:szCs w:val="21"/>
                      <w:lang w:val="en-US" w:eastAsia="zh-CN"/>
                    </w:rPr>
                  </w:pPr>
                </w:p>
              </w:tc>
            </w:tr>
            <w:tr w14:paraId="4FF7601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76" w:hRule="exact"/>
                <w:jc w:val="center"/>
              </w:trPr>
              <w:tc>
                <w:tcPr>
                  <w:tcW w:w="765" w:type="dxa"/>
                  <w:vMerge w:val="continue"/>
                  <w:tcBorders>
                    <w:tl2br w:val="nil"/>
                    <w:tr2bl w:val="nil"/>
                  </w:tcBorders>
                  <w:noWrap w:val="0"/>
                  <w:vAlign w:val="center"/>
                </w:tcPr>
                <w:p w14:paraId="6F46F40E">
                  <w:pPr>
                    <w:pStyle w:val="21"/>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sz w:val="21"/>
                      <w:szCs w:val="21"/>
                      <w:lang w:val="en-US" w:eastAsia="zh-CN"/>
                    </w:rPr>
                  </w:pPr>
                </w:p>
              </w:tc>
              <w:tc>
                <w:tcPr>
                  <w:tcW w:w="857" w:type="dxa"/>
                  <w:tcBorders>
                    <w:tl2br w:val="nil"/>
                    <w:tr2bl w:val="nil"/>
                  </w:tcBorders>
                  <w:noWrap w:val="0"/>
                  <w:vAlign w:val="center"/>
                </w:tcPr>
                <w:p w14:paraId="4A2FFAA7">
                  <w:pPr>
                    <w:pStyle w:val="21"/>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臭气浓度（无量纲）</w:t>
                  </w:r>
                </w:p>
              </w:tc>
              <w:tc>
                <w:tcPr>
                  <w:tcW w:w="1538" w:type="dxa"/>
                  <w:vMerge w:val="continue"/>
                  <w:tcBorders>
                    <w:tl2br w:val="nil"/>
                    <w:tr2bl w:val="nil"/>
                  </w:tcBorders>
                  <w:noWrap w:val="0"/>
                  <w:vAlign w:val="center"/>
                </w:tcPr>
                <w:p w14:paraId="667F1FAE">
                  <w:pPr>
                    <w:pStyle w:val="21"/>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b w:val="0"/>
                      <w:bCs/>
                      <w:sz w:val="21"/>
                      <w:szCs w:val="21"/>
                      <w:lang w:val="en-US" w:eastAsia="zh-CN"/>
                    </w:rPr>
                  </w:pPr>
                </w:p>
              </w:tc>
              <w:tc>
                <w:tcPr>
                  <w:tcW w:w="1032" w:type="dxa"/>
                  <w:tcBorders>
                    <w:tl2br w:val="nil"/>
                    <w:tr2bl w:val="nil"/>
                  </w:tcBorders>
                  <w:noWrap w:val="0"/>
                  <w:vAlign w:val="center"/>
                </w:tcPr>
                <w:p w14:paraId="0031DE42">
                  <w:pPr>
                    <w:pStyle w:val="21"/>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20</w:t>
                  </w:r>
                </w:p>
              </w:tc>
              <w:tc>
                <w:tcPr>
                  <w:tcW w:w="2065" w:type="dxa"/>
                  <w:vMerge w:val="continue"/>
                  <w:tcBorders>
                    <w:tl2br w:val="nil"/>
                    <w:tr2bl w:val="nil"/>
                  </w:tcBorders>
                  <w:noWrap w:val="0"/>
                  <w:vAlign w:val="center"/>
                </w:tcPr>
                <w:p w14:paraId="75B0F532">
                  <w:pPr>
                    <w:pStyle w:val="21"/>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color w:val="000000"/>
                      <w:kern w:val="0"/>
                      <w:sz w:val="21"/>
                      <w:szCs w:val="21"/>
                    </w:rPr>
                  </w:pPr>
                </w:p>
              </w:tc>
            </w:tr>
            <w:tr w14:paraId="6443D47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72" w:hRule="exact"/>
                <w:jc w:val="center"/>
              </w:trPr>
              <w:tc>
                <w:tcPr>
                  <w:tcW w:w="765" w:type="dxa"/>
                  <w:tcBorders>
                    <w:tl2br w:val="nil"/>
                    <w:tr2bl w:val="nil"/>
                  </w:tcBorders>
                  <w:noWrap w:val="0"/>
                  <w:vAlign w:val="center"/>
                </w:tcPr>
                <w:p w14:paraId="36A9263E">
                  <w:pPr>
                    <w:pStyle w:val="21"/>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b/>
                      <w:bCs w:val="0"/>
                      <w:sz w:val="21"/>
                      <w:szCs w:val="21"/>
                      <w:lang w:val="en-US" w:eastAsia="zh-CN"/>
                    </w:rPr>
                    <w:t>类别</w:t>
                  </w:r>
                </w:p>
              </w:tc>
              <w:tc>
                <w:tcPr>
                  <w:tcW w:w="857" w:type="dxa"/>
                  <w:tcBorders>
                    <w:tl2br w:val="nil"/>
                    <w:tr2bl w:val="nil"/>
                  </w:tcBorders>
                  <w:noWrap w:val="0"/>
                  <w:vAlign w:val="center"/>
                </w:tcPr>
                <w:p w14:paraId="646C4B16">
                  <w:pPr>
                    <w:pStyle w:val="21"/>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textAlignment w:val="auto"/>
                    <w:rPr>
                      <w:rFonts w:hint="default" w:ascii="Times New Roman" w:hAnsi="Times New Roman" w:cs="Times New Roman"/>
                      <w:sz w:val="21"/>
                      <w:szCs w:val="21"/>
                      <w:lang w:val="en-US" w:eastAsia="zh-CN"/>
                    </w:rPr>
                  </w:pPr>
                  <w:r>
                    <w:rPr>
                      <w:rFonts w:hint="default" w:ascii="Times New Roman" w:hAnsi="Times New Roman" w:cs="Times New Roman"/>
                      <w:b/>
                      <w:bCs w:val="0"/>
                      <w:sz w:val="21"/>
                      <w:szCs w:val="21"/>
                      <w:lang w:val="en-US" w:eastAsia="zh-CN"/>
                    </w:rPr>
                    <w:t>污染物</w:t>
                  </w:r>
                </w:p>
              </w:tc>
              <w:tc>
                <w:tcPr>
                  <w:tcW w:w="1538" w:type="dxa"/>
                  <w:tcBorders>
                    <w:tl2br w:val="nil"/>
                    <w:tr2bl w:val="nil"/>
                  </w:tcBorders>
                  <w:noWrap w:val="0"/>
                  <w:vAlign w:val="center"/>
                </w:tcPr>
                <w:p w14:paraId="728AFCEA">
                  <w:pPr>
                    <w:pStyle w:val="21"/>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textAlignment w:val="auto"/>
                    <w:rPr>
                      <w:rFonts w:hint="eastAsia" w:ascii="Times New Roman" w:hAnsi="Times New Roman" w:cs="Times New Roman"/>
                      <w:b/>
                      <w:bCs w:val="0"/>
                      <w:sz w:val="21"/>
                      <w:szCs w:val="21"/>
                      <w:lang w:val="en-US" w:eastAsia="zh-CN"/>
                    </w:rPr>
                  </w:pPr>
                  <w:r>
                    <w:rPr>
                      <w:rFonts w:hint="eastAsia" w:ascii="Times New Roman" w:hAnsi="Times New Roman" w:cs="Times New Roman"/>
                      <w:b/>
                      <w:bCs w:val="0"/>
                      <w:sz w:val="21"/>
                      <w:szCs w:val="21"/>
                      <w:lang w:val="en-US" w:eastAsia="zh-CN"/>
                    </w:rPr>
                    <w:t>监测</w:t>
                  </w:r>
                </w:p>
                <w:p w14:paraId="496C931D">
                  <w:pPr>
                    <w:pStyle w:val="21"/>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textAlignment w:val="auto"/>
                    <w:rPr>
                      <w:rFonts w:hint="default" w:ascii="Times New Roman" w:hAnsi="Times New Roman" w:cs="Times New Roman"/>
                      <w:b w:val="0"/>
                      <w:bCs/>
                      <w:sz w:val="21"/>
                      <w:szCs w:val="21"/>
                      <w:lang w:val="en-US" w:eastAsia="zh-CN"/>
                    </w:rPr>
                  </w:pPr>
                  <w:r>
                    <w:rPr>
                      <w:rFonts w:hint="eastAsia" w:ascii="Times New Roman" w:hAnsi="Times New Roman" w:cs="Times New Roman"/>
                      <w:b/>
                      <w:bCs w:val="0"/>
                      <w:sz w:val="21"/>
                      <w:szCs w:val="21"/>
                      <w:lang w:val="en-US" w:eastAsia="zh-CN"/>
                    </w:rPr>
                    <w:t>点位</w:t>
                  </w:r>
                </w:p>
              </w:tc>
              <w:tc>
                <w:tcPr>
                  <w:tcW w:w="1032" w:type="dxa"/>
                  <w:tcBorders>
                    <w:tl2br w:val="nil"/>
                    <w:tr2bl w:val="nil"/>
                  </w:tcBorders>
                  <w:noWrap w:val="0"/>
                  <w:vAlign w:val="center"/>
                </w:tcPr>
                <w:p w14:paraId="789A0916">
                  <w:pPr>
                    <w:pStyle w:val="21"/>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textAlignment w:val="auto"/>
                    <w:rPr>
                      <w:rFonts w:hint="default" w:ascii="Times New Roman" w:hAnsi="Times New Roman" w:cs="Times New Roman"/>
                      <w:sz w:val="21"/>
                      <w:szCs w:val="21"/>
                      <w:lang w:val="en-US" w:eastAsia="zh-CN"/>
                    </w:rPr>
                  </w:pPr>
                  <w:r>
                    <w:rPr>
                      <w:rFonts w:hint="default" w:ascii="Times New Roman" w:hAnsi="Times New Roman" w:cs="Times New Roman"/>
                      <w:b/>
                      <w:bCs w:val="0"/>
                      <w:sz w:val="21"/>
                      <w:szCs w:val="21"/>
                      <w:lang w:val="en-US" w:eastAsia="zh-CN"/>
                    </w:rPr>
                    <w:t>浓度限值，</w:t>
                  </w:r>
                  <w:r>
                    <w:rPr>
                      <w:rFonts w:hint="eastAsia" w:ascii="Times New Roman" w:hAnsi="Times New Roman" w:cs="Times New Roman"/>
                      <w:b/>
                      <w:bCs w:val="0"/>
                      <w:sz w:val="21"/>
                      <w:szCs w:val="21"/>
                      <w:lang w:val="en-US" w:eastAsia="zh-CN"/>
                    </w:rPr>
                    <w:t>Kg</w:t>
                  </w:r>
                  <w:r>
                    <w:rPr>
                      <w:rFonts w:hint="default" w:ascii="Times New Roman" w:hAnsi="Times New Roman" w:cs="Times New Roman"/>
                      <w:b/>
                      <w:bCs w:val="0"/>
                      <w:sz w:val="21"/>
                      <w:szCs w:val="21"/>
                      <w:lang w:val="en-US" w:eastAsia="zh-CN"/>
                    </w:rPr>
                    <w:t>/</w:t>
                  </w:r>
                  <w:r>
                    <w:rPr>
                      <w:rFonts w:hint="eastAsia" w:ascii="Times New Roman" w:hAnsi="Times New Roman" w:cs="Times New Roman"/>
                      <w:b/>
                      <w:bCs w:val="0"/>
                      <w:sz w:val="21"/>
                      <w:szCs w:val="21"/>
                      <w:lang w:val="en-US" w:eastAsia="zh-CN"/>
                    </w:rPr>
                    <w:t>h</w:t>
                  </w:r>
                </w:p>
              </w:tc>
              <w:tc>
                <w:tcPr>
                  <w:tcW w:w="2065" w:type="dxa"/>
                  <w:tcBorders>
                    <w:tl2br w:val="nil"/>
                    <w:tr2bl w:val="nil"/>
                  </w:tcBorders>
                  <w:noWrap w:val="0"/>
                  <w:vAlign w:val="center"/>
                </w:tcPr>
                <w:p w14:paraId="014DE062">
                  <w:pPr>
                    <w:pStyle w:val="21"/>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textAlignment w:val="auto"/>
                    <w:rPr>
                      <w:rFonts w:hint="default" w:ascii="Times New Roman" w:hAnsi="Times New Roman" w:cs="Times New Roman"/>
                      <w:color w:val="000000"/>
                      <w:kern w:val="0"/>
                      <w:sz w:val="21"/>
                      <w:szCs w:val="21"/>
                    </w:rPr>
                  </w:pPr>
                  <w:r>
                    <w:rPr>
                      <w:rFonts w:hint="eastAsia" w:ascii="Times New Roman" w:hAnsi="Times New Roman" w:cs="Times New Roman"/>
                      <w:b/>
                      <w:bCs w:val="0"/>
                      <w:sz w:val="21"/>
                      <w:szCs w:val="21"/>
                      <w:lang w:val="en-US" w:eastAsia="zh-CN"/>
                    </w:rPr>
                    <w:t>标准</w:t>
                  </w:r>
                </w:p>
              </w:tc>
            </w:tr>
            <w:tr w14:paraId="3D7A1B8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95" w:hRule="exact"/>
                <w:jc w:val="center"/>
              </w:trPr>
              <w:tc>
                <w:tcPr>
                  <w:tcW w:w="765" w:type="dxa"/>
                  <w:vMerge w:val="restart"/>
                  <w:tcBorders>
                    <w:tl2br w:val="nil"/>
                    <w:tr2bl w:val="nil"/>
                  </w:tcBorders>
                  <w:noWrap w:val="0"/>
                  <w:vAlign w:val="center"/>
                </w:tcPr>
                <w:p w14:paraId="1DEC5EEC">
                  <w:pPr>
                    <w:pStyle w:val="21"/>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有组织废气</w:t>
                  </w:r>
                </w:p>
              </w:tc>
              <w:tc>
                <w:tcPr>
                  <w:tcW w:w="857" w:type="dxa"/>
                  <w:tcBorders>
                    <w:tl2br w:val="nil"/>
                    <w:tr2bl w:val="nil"/>
                  </w:tcBorders>
                  <w:noWrap w:val="0"/>
                  <w:vAlign w:val="center"/>
                </w:tcPr>
                <w:p w14:paraId="2BBA3D30">
                  <w:pPr>
                    <w:pStyle w:val="21"/>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氨</w:t>
                  </w:r>
                </w:p>
              </w:tc>
              <w:tc>
                <w:tcPr>
                  <w:tcW w:w="1538" w:type="dxa"/>
                  <w:vMerge w:val="restart"/>
                  <w:tcBorders>
                    <w:tl2br w:val="nil"/>
                    <w:tr2bl w:val="nil"/>
                  </w:tcBorders>
                  <w:noWrap w:val="0"/>
                  <w:vAlign w:val="center"/>
                </w:tcPr>
                <w:p w14:paraId="6579BB59">
                  <w:pPr>
                    <w:pStyle w:val="21"/>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b w:val="0"/>
                      <w:bCs/>
                      <w:sz w:val="21"/>
                      <w:szCs w:val="21"/>
                      <w:lang w:val="en-US" w:eastAsia="zh-CN"/>
                    </w:rPr>
                  </w:pPr>
                  <w:r>
                    <w:rPr>
                      <w:rFonts w:hint="eastAsia" w:ascii="Times New Roman" w:hAnsi="Times New Roman" w:cs="Times New Roman"/>
                      <w:color w:val="000000"/>
                      <w:szCs w:val="21"/>
                      <w:lang w:val="en-US" w:eastAsia="zh-CN"/>
                    </w:rPr>
                    <w:t>UV光解除臭+</w:t>
                  </w:r>
                  <w:r>
                    <w:rPr>
                      <w:rFonts w:hint="default" w:ascii="Times New Roman" w:hAnsi="Times New Roman" w:eastAsia="宋体" w:cs="Times New Roman"/>
                      <w:color w:val="000000"/>
                      <w:szCs w:val="21"/>
                      <w:lang w:eastAsia="zh-CN"/>
                    </w:rPr>
                    <w:t>活性炭吸附</w:t>
                  </w:r>
                  <w:r>
                    <w:rPr>
                      <w:rFonts w:hint="eastAsia" w:ascii="Times New Roman" w:hAnsi="Times New Roman" w:cs="Times New Roman"/>
                      <w:color w:val="000000"/>
                      <w:szCs w:val="21"/>
                      <w:lang w:eastAsia="zh-CN"/>
                    </w:rPr>
                    <w:t>一体机</w:t>
                  </w:r>
                  <w:r>
                    <w:rPr>
                      <w:rFonts w:hint="default" w:ascii="Times New Roman" w:hAnsi="Times New Roman" w:eastAsia="宋体" w:cs="Times New Roman"/>
                      <w:color w:val="000000"/>
                      <w:szCs w:val="21"/>
                      <w:lang w:eastAsia="zh-CN"/>
                    </w:rPr>
                    <w:t>DA00</w:t>
                  </w:r>
                  <w:r>
                    <w:rPr>
                      <w:rFonts w:hint="eastAsia" w:ascii="Times New Roman" w:hAnsi="Times New Roman" w:cs="Times New Roman"/>
                      <w:color w:val="000000"/>
                      <w:szCs w:val="21"/>
                      <w:lang w:val="en-US" w:eastAsia="zh-CN"/>
                    </w:rPr>
                    <w:t>2排口、污水处理站活性炭吸附除臭设备</w:t>
                  </w:r>
                  <w:r>
                    <w:rPr>
                      <w:rFonts w:hint="default" w:ascii="Times New Roman" w:hAnsi="Times New Roman" w:eastAsia="宋体" w:cs="Times New Roman"/>
                      <w:color w:val="000000"/>
                      <w:szCs w:val="21"/>
                      <w:lang w:eastAsia="zh-CN"/>
                    </w:rPr>
                    <w:t>DA00</w:t>
                  </w:r>
                  <w:r>
                    <w:rPr>
                      <w:rFonts w:hint="eastAsia" w:ascii="Times New Roman" w:hAnsi="Times New Roman" w:cs="Times New Roman"/>
                      <w:color w:val="000000"/>
                      <w:szCs w:val="21"/>
                      <w:lang w:val="en-US" w:eastAsia="zh-CN"/>
                    </w:rPr>
                    <w:t>3排口</w:t>
                  </w:r>
                </w:p>
              </w:tc>
              <w:tc>
                <w:tcPr>
                  <w:tcW w:w="1032" w:type="dxa"/>
                  <w:tcBorders>
                    <w:tl2br w:val="nil"/>
                    <w:tr2bl w:val="nil"/>
                  </w:tcBorders>
                  <w:noWrap w:val="0"/>
                  <w:vAlign w:val="center"/>
                </w:tcPr>
                <w:p w14:paraId="7A6BB459">
                  <w:pPr>
                    <w:pStyle w:val="21"/>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4.9</w:t>
                  </w:r>
                </w:p>
              </w:tc>
              <w:tc>
                <w:tcPr>
                  <w:tcW w:w="2065" w:type="dxa"/>
                  <w:vMerge w:val="restart"/>
                  <w:tcBorders>
                    <w:tl2br w:val="nil"/>
                    <w:tr2bl w:val="nil"/>
                  </w:tcBorders>
                  <w:noWrap w:val="0"/>
                  <w:vAlign w:val="center"/>
                </w:tcPr>
                <w:p w14:paraId="1C416CD9">
                  <w:pPr>
                    <w:pStyle w:val="21"/>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cs="Times New Roman"/>
                      <w:color w:val="auto"/>
                      <w:lang w:val="en-US" w:eastAsia="zh-CN"/>
                    </w:rPr>
                  </w:pPr>
                  <w:r>
                    <w:rPr>
                      <w:rFonts w:hint="eastAsia"/>
                      <w:bCs/>
                      <w:color w:val="auto"/>
                      <w:szCs w:val="21"/>
                      <w:lang w:val="en-US" w:eastAsia="zh-CN"/>
                    </w:rPr>
                    <w:t>《</w:t>
                  </w:r>
                  <w:r>
                    <w:rPr>
                      <w:rFonts w:hint="eastAsia" w:cs="Times New Roman"/>
                      <w:color w:val="auto"/>
                      <w:lang w:val="en-US" w:eastAsia="zh-CN"/>
                    </w:rPr>
                    <w:t>恶臭污染物排放标准》</w:t>
                  </w:r>
                </w:p>
                <w:p w14:paraId="778052E3">
                  <w:pPr>
                    <w:pStyle w:val="21"/>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cs="Times New Roman"/>
                      <w:color w:val="auto"/>
                      <w:lang w:val="en-US" w:eastAsia="zh-CN"/>
                    </w:rPr>
                  </w:pPr>
                  <w:r>
                    <w:rPr>
                      <w:rFonts w:hint="eastAsia" w:cs="Times New Roman"/>
                      <w:color w:val="auto"/>
                      <w:lang w:val="en-US" w:eastAsia="zh-CN"/>
                    </w:rPr>
                    <w:t>（GB14554-93)</w:t>
                  </w:r>
                </w:p>
                <w:p w14:paraId="498EA1E1">
                  <w:pPr>
                    <w:pStyle w:val="21"/>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color w:val="000000"/>
                      <w:kern w:val="0"/>
                      <w:sz w:val="21"/>
                      <w:szCs w:val="21"/>
                    </w:rPr>
                  </w:pPr>
                  <w:r>
                    <w:rPr>
                      <w:rFonts w:hint="eastAsia"/>
                      <w:bCs/>
                      <w:color w:val="auto"/>
                      <w:szCs w:val="21"/>
                      <w:lang w:val="en-US" w:eastAsia="zh-CN"/>
                    </w:rPr>
                    <w:t>表2</w:t>
                  </w:r>
                </w:p>
              </w:tc>
            </w:tr>
            <w:tr w14:paraId="7D0EC49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36" w:hRule="exact"/>
                <w:jc w:val="center"/>
              </w:trPr>
              <w:tc>
                <w:tcPr>
                  <w:tcW w:w="765" w:type="dxa"/>
                  <w:vMerge w:val="continue"/>
                  <w:tcBorders>
                    <w:tl2br w:val="nil"/>
                    <w:tr2bl w:val="nil"/>
                  </w:tcBorders>
                  <w:noWrap w:val="0"/>
                  <w:vAlign w:val="center"/>
                </w:tcPr>
                <w:p w14:paraId="4DB45F28">
                  <w:pPr>
                    <w:pStyle w:val="21"/>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sz w:val="21"/>
                      <w:szCs w:val="21"/>
                      <w:lang w:val="en-US" w:eastAsia="zh-CN"/>
                    </w:rPr>
                  </w:pPr>
                </w:p>
              </w:tc>
              <w:tc>
                <w:tcPr>
                  <w:tcW w:w="857" w:type="dxa"/>
                  <w:tcBorders>
                    <w:tl2br w:val="nil"/>
                    <w:tr2bl w:val="nil"/>
                  </w:tcBorders>
                  <w:noWrap w:val="0"/>
                  <w:vAlign w:val="center"/>
                </w:tcPr>
                <w:p w14:paraId="54150112">
                  <w:pPr>
                    <w:pStyle w:val="21"/>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硫化氢</w:t>
                  </w:r>
                </w:p>
              </w:tc>
              <w:tc>
                <w:tcPr>
                  <w:tcW w:w="1538" w:type="dxa"/>
                  <w:vMerge w:val="continue"/>
                  <w:tcBorders>
                    <w:tl2br w:val="nil"/>
                    <w:tr2bl w:val="nil"/>
                  </w:tcBorders>
                  <w:noWrap w:val="0"/>
                  <w:vAlign w:val="center"/>
                </w:tcPr>
                <w:p w14:paraId="074C7895">
                  <w:pPr>
                    <w:pStyle w:val="21"/>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b w:val="0"/>
                      <w:bCs/>
                      <w:sz w:val="21"/>
                      <w:szCs w:val="21"/>
                      <w:lang w:val="en-US" w:eastAsia="zh-CN"/>
                    </w:rPr>
                  </w:pPr>
                </w:p>
              </w:tc>
              <w:tc>
                <w:tcPr>
                  <w:tcW w:w="1032" w:type="dxa"/>
                  <w:tcBorders>
                    <w:tl2br w:val="nil"/>
                    <w:tr2bl w:val="nil"/>
                  </w:tcBorders>
                  <w:noWrap w:val="0"/>
                  <w:vAlign w:val="center"/>
                </w:tcPr>
                <w:p w14:paraId="11123F69">
                  <w:pPr>
                    <w:pStyle w:val="21"/>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0.33</w:t>
                  </w:r>
                </w:p>
              </w:tc>
              <w:tc>
                <w:tcPr>
                  <w:tcW w:w="2065" w:type="dxa"/>
                  <w:vMerge w:val="continue"/>
                  <w:tcBorders>
                    <w:tl2br w:val="nil"/>
                    <w:tr2bl w:val="nil"/>
                  </w:tcBorders>
                  <w:noWrap w:val="0"/>
                  <w:vAlign w:val="center"/>
                </w:tcPr>
                <w:p w14:paraId="517E98EB">
                  <w:pPr>
                    <w:pStyle w:val="21"/>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color w:val="000000"/>
                      <w:kern w:val="0"/>
                      <w:sz w:val="21"/>
                      <w:szCs w:val="21"/>
                    </w:rPr>
                  </w:pPr>
                </w:p>
              </w:tc>
            </w:tr>
            <w:tr w14:paraId="7C331D2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6" w:hRule="exact"/>
                <w:jc w:val="center"/>
              </w:trPr>
              <w:tc>
                <w:tcPr>
                  <w:tcW w:w="765" w:type="dxa"/>
                  <w:vMerge w:val="continue"/>
                  <w:tcBorders>
                    <w:tl2br w:val="nil"/>
                    <w:tr2bl w:val="nil"/>
                  </w:tcBorders>
                  <w:noWrap w:val="0"/>
                  <w:vAlign w:val="center"/>
                </w:tcPr>
                <w:p w14:paraId="34F9617C">
                  <w:pPr>
                    <w:pStyle w:val="21"/>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sz w:val="21"/>
                      <w:szCs w:val="21"/>
                      <w:lang w:val="en-US" w:eastAsia="zh-CN"/>
                    </w:rPr>
                  </w:pPr>
                </w:p>
              </w:tc>
              <w:tc>
                <w:tcPr>
                  <w:tcW w:w="857" w:type="dxa"/>
                  <w:tcBorders>
                    <w:tl2br w:val="nil"/>
                    <w:tr2bl w:val="nil"/>
                  </w:tcBorders>
                  <w:noWrap w:val="0"/>
                  <w:vAlign w:val="center"/>
                </w:tcPr>
                <w:p w14:paraId="36205838">
                  <w:pPr>
                    <w:pStyle w:val="21"/>
                    <w:keepNext w:val="0"/>
                    <w:keepLines w:val="0"/>
                    <w:pageBreakBefore w:val="0"/>
                    <w:widowControl/>
                    <w:kinsoku/>
                    <w:wordWrap/>
                    <w:overflowPunct/>
                    <w:topLinePunct w:val="0"/>
                    <w:autoSpaceDE/>
                    <w:autoSpaceDN/>
                    <w:bidi w:val="0"/>
                    <w:adjustRightInd/>
                    <w:snapToGrid/>
                    <w:spacing w:line="240" w:lineRule="exact"/>
                    <w:ind w:left="0" w:leftChars="0"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臭气浓度（无量纲）</w:t>
                  </w:r>
                </w:p>
              </w:tc>
              <w:tc>
                <w:tcPr>
                  <w:tcW w:w="1538" w:type="dxa"/>
                  <w:vMerge w:val="continue"/>
                  <w:tcBorders>
                    <w:tl2br w:val="nil"/>
                    <w:tr2bl w:val="nil"/>
                  </w:tcBorders>
                  <w:noWrap w:val="0"/>
                  <w:vAlign w:val="center"/>
                </w:tcPr>
                <w:p w14:paraId="4520DDC6">
                  <w:pPr>
                    <w:pStyle w:val="21"/>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b w:val="0"/>
                      <w:bCs/>
                      <w:sz w:val="21"/>
                      <w:szCs w:val="21"/>
                      <w:lang w:val="en-US" w:eastAsia="zh-CN"/>
                    </w:rPr>
                  </w:pPr>
                </w:p>
              </w:tc>
              <w:tc>
                <w:tcPr>
                  <w:tcW w:w="1032" w:type="dxa"/>
                  <w:tcBorders>
                    <w:tl2br w:val="nil"/>
                    <w:tr2bl w:val="nil"/>
                  </w:tcBorders>
                  <w:noWrap w:val="0"/>
                  <w:vAlign w:val="center"/>
                </w:tcPr>
                <w:p w14:paraId="4D93A1A0">
                  <w:pPr>
                    <w:pStyle w:val="21"/>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2000</w:t>
                  </w:r>
                </w:p>
              </w:tc>
              <w:tc>
                <w:tcPr>
                  <w:tcW w:w="2065" w:type="dxa"/>
                  <w:vMerge w:val="continue"/>
                  <w:tcBorders>
                    <w:tl2br w:val="nil"/>
                    <w:tr2bl w:val="nil"/>
                  </w:tcBorders>
                  <w:noWrap w:val="0"/>
                  <w:vAlign w:val="center"/>
                </w:tcPr>
                <w:p w14:paraId="70778708">
                  <w:pPr>
                    <w:pStyle w:val="21"/>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color w:val="000000"/>
                      <w:kern w:val="0"/>
                      <w:sz w:val="21"/>
                      <w:szCs w:val="21"/>
                    </w:rPr>
                  </w:pPr>
                </w:p>
              </w:tc>
            </w:tr>
          </w:tbl>
          <w:p w14:paraId="5E975614">
            <w:pPr>
              <w:pStyle w:val="20"/>
              <w:keepNext w:val="0"/>
              <w:keepLines w:val="0"/>
              <w:pageBreakBefore w:val="0"/>
              <w:widowControl w:val="0"/>
              <w:numPr>
                <w:ilvl w:val="0"/>
                <w:numId w:val="0"/>
              </w:numPr>
              <w:kinsoku/>
              <w:wordWrap/>
              <w:overflowPunct/>
              <w:topLinePunct w:val="0"/>
              <w:autoSpaceDE/>
              <w:autoSpaceDN/>
              <w:bidi w:val="0"/>
              <w:adjustRightInd/>
              <w:snapToGrid/>
              <w:spacing w:before="19" w:line="360" w:lineRule="auto"/>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2.废水</w:t>
            </w:r>
          </w:p>
          <w:p w14:paraId="5FB024A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废水执行《肉类加工工业水污染物排放标准》（GB 13457-92）中表3畜类屠宰加工二级标准限值。</w:t>
            </w:r>
          </w:p>
          <w:p w14:paraId="39AA0432">
            <w:pPr>
              <w:pStyle w:val="8"/>
              <w:jc w:val="center"/>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表1-2 废水排放限值要求</w:t>
            </w:r>
          </w:p>
          <w:tbl>
            <w:tblPr>
              <w:tblStyle w:val="16"/>
              <w:tblW w:w="6165" w:type="dxa"/>
              <w:tblInd w:w="73"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550"/>
              <w:gridCol w:w="3615"/>
            </w:tblGrid>
            <w:tr w14:paraId="4038D09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550" w:type="dxa"/>
                  <w:tcBorders>
                    <w:tl2br w:val="nil"/>
                    <w:tr2bl w:val="nil"/>
                  </w:tcBorders>
                  <w:noWrap w:val="0"/>
                  <w:vAlign w:val="center"/>
                </w:tcPr>
                <w:p w14:paraId="62C67F7B">
                  <w:pPr>
                    <w:pStyle w:val="21"/>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污染物</w:t>
                  </w:r>
                </w:p>
              </w:tc>
              <w:tc>
                <w:tcPr>
                  <w:tcW w:w="3615" w:type="dxa"/>
                  <w:tcBorders>
                    <w:tl2br w:val="nil"/>
                    <w:tr2bl w:val="nil"/>
                  </w:tcBorders>
                  <w:noWrap w:val="0"/>
                  <w:vAlign w:val="center"/>
                </w:tcPr>
                <w:p w14:paraId="5235F63F">
                  <w:pPr>
                    <w:pStyle w:val="21"/>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最高允许排放浓度</w:t>
                  </w:r>
                </w:p>
              </w:tc>
            </w:tr>
            <w:tr w14:paraId="4FDF6F8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550" w:type="dxa"/>
                  <w:tcBorders>
                    <w:tl2br w:val="nil"/>
                    <w:tr2bl w:val="nil"/>
                  </w:tcBorders>
                  <w:noWrap w:val="0"/>
                  <w:vAlign w:val="center"/>
                </w:tcPr>
                <w:p w14:paraId="74D1FF9F">
                  <w:pPr>
                    <w:pStyle w:val="21"/>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pH（无量纲）</w:t>
                  </w:r>
                </w:p>
              </w:tc>
              <w:tc>
                <w:tcPr>
                  <w:tcW w:w="3615" w:type="dxa"/>
                  <w:tcBorders>
                    <w:tl2br w:val="nil"/>
                    <w:tr2bl w:val="nil"/>
                  </w:tcBorders>
                  <w:noWrap w:val="0"/>
                  <w:vAlign w:val="center"/>
                </w:tcPr>
                <w:p w14:paraId="29CA2D97">
                  <w:pPr>
                    <w:pStyle w:val="21"/>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6~8.5</w:t>
                  </w:r>
                </w:p>
              </w:tc>
            </w:tr>
            <w:tr w14:paraId="41CE0B0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550" w:type="dxa"/>
                  <w:tcBorders>
                    <w:tl2br w:val="nil"/>
                    <w:tr2bl w:val="nil"/>
                  </w:tcBorders>
                  <w:noWrap w:val="0"/>
                  <w:vAlign w:val="center"/>
                </w:tcPr>
                <w:p w14:paraId="1228F43D">
                  <w:pPr>
                    <w:pStyle w:val="21"/>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五日生化需氧量（mg/L）</w:t>
                  </w:r>
                </w:p>
              </w:tc>
              <w:tc>
                <w:tcPr>
                  <w:tcW w:w="3615" w:type="dxa"/>
                  <w:tcBorders>
                    <w:tl2br w:val="nil"/>
                    <w:tr2bl w:val="nil"/>
                  </w:tcBorders>
                  <w:noWrap w:val="0"/>
                  <w:vAlign w:val="center"/>
                </w:tcPr>
                <w:p w14:paraId="604E00B7">
                  <w:pPr>
                    <w:pStyle w:val="21"/>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60</w:t>
                  </w:r>
                </w:p>
              </w:tc>
            </w:tr>
            <w:tr w14:paraId="35F9950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550" w:type="dxa"/>
                  <w:tcBorders>
                    <w:tl2br w:val="nil"/>
                    <w:tr2bl w:val="nil"/>
                  </w:tcBorders>
                  <w:noWrap w:val="0"/>
                  <w:vAlign w:val="center"/>
                </w:tcPr>
                <w:p w14:paraId="6288841D">
                  <w:pPr>
                    <w:pStyle w:val="21"/>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化学需氧量（mg/L）</w:t>
                  </w:r>
                </w:p>
              </w:tc>
              <w:tc>
                <w:tcPr>
                  <w:tcW w:w="3615" w:type="dxa"/>
                  <w:tcBorders>
                    <w:tl2br w:val="nil"/>
                    <w:tr2bl w:val="nil"/>
                  </w:tcBorders>
                  <w:noWrap w:val="0"/>
                  <w:vAlign w:val="center"/>
                </w:tcPr>
                <w:p w14:paraId="5ADFFCF1">
                  <w:pPr>
                    <w:pStyle w:val="21"/>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120</w:t>
                  </w:r>
                </w:p>
              </w:tc>
            </w:tr>
            <w:tr w14:paraId="6B54A23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550" w:type="dxa"/>
                  <w:tcBorders>
                    <w:tl2br w:val="nil"/>
                    <w:tr2bl w:val="nil"/>
                  </w:tcBorders>
                  <w:noWrap w:val="0"/>
                  <w:vAlign w:val="center"/>
                </w:tcPr>
                <w:p w14:paraId="058C7F59">
                  <w:pPr>
                    <w:pStyle w:val="21"/>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氨氮（mg/L）</w:t>
                  </w:r>
                </w:p>
              </w:tc>
              <w:tc>
                <w:tcPr>
                  <w:tcW w:w="3615" w:type="dxa"/>
                  <w:tcBorders>
                    <w:tl2br w:val="nil"/>
                    <w:tr2bl w:val="nil"/>
                  </w:tcBorders>
                  <w:noWrap w:val="0"/>
                  <w:vAlign w:val="center"/>
                </w:tcPr>
                <w:p w14:paraId="1745C06F">
                  <w:pPr>
                    <w:pStyle w:val="21"/>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25</w:t>
                  </w:r>
                </w:p>
              </w:tc>
            </w:tr>
            <w:tr w14:paraId="2722A54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550" w:type="dxa"/>
                  <w:tcBorders>
                    <w:tl2br w:val="nil"/>
                    <w:tr2bl w:val="nil"/>
                  </w:tcBorders>
                  <w:noWrap w:val="0"/>
                  <w:vAlign w:val="center"/>
                </w:tcPr>
                <w:p w14:paraId="4EE4A2D8">
                  <w:pPr>
                    <w:pStyle w:val="21"/>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悬浮物（mg/L）</w:t>
                  </w:r>
                </w:p>
              </w:tc>
              <w:tc>
                <w:tcPr>
                  <w:tcW w:w="3615" w:type="dxa"/>
                  <w:tcBorders>
                    <w:tl2br w:val="nil"/>
                    <w:tr2bl w:val="nil"/>
                  </w:tcBorders>
                  <w:noWrap w:val="0"/>
                  <w:vAlign w:val="center"/>
                </w:tcPr>
                <w:p w14:paraId="44A103D7">
                  <w:pPr>
                    <w:pStyle w:val="21"/>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120</w:t>
                  </w:r>
                </w:p>
              </w:tc>
            </w:tr>
            <w:tr w14:paraId="6D6E120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550" w:type="dxa"/>
                  <w:tcBorders>
                    <w:tl2br w:val="nil"/>
                    <w:tr2bl w:val="nil"/>
                  </w:tcBorders>
                  <w:noWrap w:val="0"/>
                  <w:vAlign w:val="center"/>
                </w:tcPr>
                <w:p w14:paraId="5FB784AF">
                  <w:pPr>
                    <w:pStyle w:val="21"/>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粪大肠菌群（MPN/L）</w:t>
                  </w:r>
                </w:p>
              </w:tc>
              <w:tc>
                <w:tcPr>
                  <w:tcW w:w="3615" w:type="dxa"/>
                  <w:tcBorders>
                    <w:tl2br w:val="nil"/>
                    <w:tr2bl w:val="nil"/>
                  </w:tcBorders>
                  <w:noWrap w:val="0"/>
                  <w:vAlign w:val="center"/>
                </w:tcPr>
                <w:p w14:paraId="439DE369">
                  <w:pPr>
                    <w:pStyle w:val="21"/>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w:t>
                  </w:r>
                </w:p>
              </w:tc>
            </w:tr>
            <w:tr w14:paraId="33FCA83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550" w:type="dxa"/>
                  <w:tcBorders>
                    <w:tl2br w:val="nil"/>
                    <w:tr2bl w:val="nil"/>
                  </w:tcBorders>
                  <w:noWrap w:val="0"/>
                  <w:vAlign w:val="center"/>
                </w:tcPr>
                <w:p w14:paraId="1682541E">
                  <w:pPr>
                    <w:pStyle w:val="21"/>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动植物油（mg/L）</w:t>
                  </w:r>
                </w:p>
              </w:tc>
              <w:tc>
                <w:tcPr>
                  <w:tcW w:w="3615" w:type="dxa"/>
                  <w:tcBorders>
                    <w:tl2br w:val="nil"/>
                    <w:tr2bl w:val="nil"/>
                  </w:tcBorders>
                  <w:noWrap w:val="0"/>
                  <w:vAlign w:val="center"/>
                </w:tcPr>
                <w:p w14:paraId="70CDEE04">
                  <w:pPr>
                    <w:pStyle w:val="21"/>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20</w:t>
                  </w:r>
                </w:p>
              </w:tc>
            </w:tr>
            <w:tr w14:paraId="7B8EF19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550" w:type="dxa"/>
                  <w:tcBorders>
                    <w:tl2br w:val="nil"/>
                    <w:tr2bl w:val="nil"/>
                  </w:tcBorders>
                  <w:noWrap w:val="0"/>
                  <w:vAlign w:val="center"/>
                </w:tcPr>
                <w:p w14:paraId="44E5E0DB">
                  <w:pPr>
                    <w:pStyle w:val="21"/>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总磷（mg/L）</w:t>
                  </w:r>
                </w:p>
              </w:tc>
              <w:tc>
                <w:tcPr>
                  <w:tcW w:w="3615" w:type="dxa"/>
                  <w:tcBorders>
                    <w:tl2br w:val="nil"/>
                    <w:tr2bl w:val="nil"/>
                  </w:tcBorders>
                  <w:noWrap w:val="0"/>
                  <w:vAlign w:val="center"/>
                </w:tcPr>
                <w:p w14:paraId="5E29A5AF">
                  <w:pPr>
                    <w:pStyle w:val="21"/>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w:t>
                  </w:r>
                </w:p>
              </w:tc>
            </w:tr>
            <w:tr w14:paraId="7213324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550" w:type="dxa"/>
                  <w:tcBorders>
                    <w:tl2br w:val="nil"/>
                    <w:tr2bl w:val="nil"/>
                  </w:tcBorders>
                  <w:noWrap w:val="0"/>
                  <w:vAlign w:val="center"/>
                </w:tcPr>
                <w:p w14:paraId="6FD8AE03">
                  <w:pPr>
                    <w:pStyle w:val="21"/>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总氮（mg/L）</w:t>
                  </w:r>
                </w:p>
              </w:tc>
              <w:tc>
                <w:tcPr>
                  <w:tcW w:w="3615" w:type="dxa"/>
                  <w:tcBorders>
                    <w:tl2br w:val="nil"/>
                    <w:tr2bl w:val="nil"/>
                  </w:tcBorders>
                  <w:noWrap w:val="0"/>
                  <w:vAlign w:val="center"/>
                </w:tcPr>
                <w:p w14:paraId="3A7448C2">
                  <w:pPr>
                    <w:pStyle w:val="21"/>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w:t>
                  </w:r>
                </w:p>
              </w:tc>
            </w:tr>
            <w:tr w14:paraId="409FEB9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550" w:type="dxa"/>
                  <w:tcBorders>
                    <w:tl2br w:val="nil"/>
                    <w:tr2bl w:val="nil"/>
                  </w:tcBorders>
                  <w:noWrap w:val="0"/>
                  <w:vAlign w:val="center"/>
                </w:tcPr>
                <w:p w14:paraId="1E5F57A9">
                  <w:pPr>
                    <w:pStyle w:val="21"/>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阴离子表面活性剂（mg/L）</w:t>
                  </w:r>
                </w:p>
              </w:tc>
              <w:tc>
                <w:tcPr>
                  <w:tcW w:w="3615" w:type="dxa"/>
                  <w:tcBorders>
                    <w:tl2br w:val="nil"/>
                    <w:tr2bl w:val="nil"/>
                  </w:tcBorders>
                  <w:noWrap w:val="0"/>
                  <w:vAlign w:val="center"/>
                </w:tcPr>
                <w:p w14:paraId="0583908A">
                  <w:pPr>
                    <w:pStyle w:val="21"/>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w:t>
                  </w:r>
                </w:p>
              </w:tc>
            </w:tr>
          </w:tbl>
          <w:p w14:paraId="5C79F698">
            <w:pPr>
              <w:pStyle w:val="22"/>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3.噪声</w:t>
            </w:r>
          </w:p>
          <w:p w14:paraId="1CC6408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lang w:val="en-US" w:eastAsia="zh-CN"/>
              </w:rPr>
              <w:t>厂界噪声达到</w:t>
            </w:r>
            <w:r>
              <w:rPr>
                <w:rFonts w:hint="eastAsia" w:ascii="宋体" w:hAnsi="宋体" w:eastAsia="宋体" w:cs="宋体"/>
                <w:sz w:val="24"/>
                <w:szCs w:val="24"/>
              </w:rPr>
              <w:t>《</w:t>
            </w:r>
            <w:r>
              <w:rPr>
                <w:rFonts w:hint="eastAsia" w:ascii="宋体" w:hAnsi="宋体" w:eastAsia="宋体" w:cs="宋体"/>
                <w:sz w:val="24"/>
                <w:szCs w:val="24"/>
                <w:lang w:eastAsia="zh-CN"/>
              </w:rPr>
              <w:t>工业企业厂界环境噪声排放标准</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12348-2008</w:t>
            </w:r>
            <w:r>
              <w:rPr>
                <w:rFonts w:hint="eastAsia" w:ascii="宋体" w:hAnsi="宋体" w:eastAsia="宋体" w:cs="宋体"/>
                <w:sz w:val="24"/>
                <w:szCs w:val="24"/>
                <w:lang w:eastAsia="zh-CN"/>
              </w:rPr>
              <w:t>）表</w:t>
            </w:r>
            <w:r>
              <w:rPr>
                <w:rFonts w:hint="eastAsia" w:ascii="宋体" w:hAnsi="宋体" w:eastAsia="宋体" w:cs="宋体"/>
                <w:sz w:val="24"/>
                <w:szCs w:val="24"/>
                <w:lang w:val="en-US" w:eastAsia="zh-CN"/>
              </w:rPr>
              <w:t>1工业企业厂界环境噪声排放限值二类标准；</w:t>
            </w:r>
            <w:r>
              <w:rPr>
                <w:rFonts w:hint="eastAsia" w:ascii="宋体" w:hAnsi="宋体" w:eastAsia="宋体" w:cs="宋体"/>
                <w:color w:val="auto"/>
                <w:sz w:val="24"/>
                <w:szCs w:val="24"/>
                <w:highlight w:val="none"/>
              </w:rPr>
              <w:t>（昼间6</w:t>
            </w:r>
            <w:r>
              <w:rPr>
                <w:rFonts w:hint="eastAsia" w:ascii="宋体" w:hAnsi="宋体" w:eastAsia="宋体" w:cs="宋体"/>
                <w:color w:val="auto"/>
                <w:sz w:val="24"/>
                <w:szCs w:val="24"/>
                <w:highlight w:val="none"/>
                <w:lang w:val="en-US" w:eastAsia="zh-CN"/>
              </w:rPr>
              <w:t>0dB（A）</w:t>
            </w:r>
            <w:r>
              <w:rPr>
                <w:rFonts w:hint="eastAsia" w:ascii="宋体" w:hAnsi="宋体" w:eastAsia="宋体" w:cs="宋体"/>
                <w:color w:val="auto"/>
                <w:sz w:val="24"/>
                <w:szCs w:val="24"/>
                <w:highlight w:val="none"/>
              </w:rPr>
              <w:t>，夜间</w:t>
            </w:r>
            <w:r>
              <w:rPr>
                <w:rFonts w:hint="eastAsia" w:ascii="宋体" w:hAnsi="宋体" w:eastAsia="宋体" w:cs="宋体"/>
                <w:color w:val="auto"/>
                <w:sz w:val="24"/>
                <w:szCs w:val="24"/>
                <w:highlight w:val="none"/>
                <w:lang w:val="en-US" w:eastAsia="zh-CN"/>
              </w:rPr>
              <w:t>50</w:t>
            </w:r>
            <w:r>
              <w:rPr>
                <w:rFonts w:hint="eastAsia" w:ascii="宋体" w:hAnsi="宋体" w:eastAsia="宋体" w:cs="宋体"/>
                <w:color w:val="auto"/>
                <w:sz w:val="24"/>
                <w:szCs w:val="24"/>
                <w:highlight w:val="none"/>
              </w:rPr>
              <w:t>dB</w:t>
            </w:r>
            <w:r>
              <w:rPr>
                <w:rFonts w:hint="eastAsia" w:ascii="宋体" w:hAnsi="宋体" w:eastAsia="宋体" w:cs="宋体"/>
                <w:color w:val="auto"/>
                <w:sz w:val="24"/>
                <w:szCs w:val="24"/>
                <w:highlight w:val="none"/>
                <w:lang w:val="en-US" w:eastAsia="zh-CN"/>
              </w:rPr>
              <w:t>（A）</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p>
          <w:p w14:paraId="0E408CF0">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sz w:val="24"/>
                <w:szCs w:val="24"/>
                <w:lang w:val="en-US" w:eastAsia="zh-CN"/>
              </w:rPr>
            </w:pPr>
            <w:r>
              <w:rPr>
                <w:rFonts w:hint="eastAsia" w:ascii="宋体" w:hAnsi="宋体" w:eastAsia="宋体" w:cs="宋体"/>
                <w:b/>
                <w:bCs/>
                <w:sz w:val="24"/>
                <w:szCs w:val="24"/>
                <w:lang w:val="en-US" w:eastAsia="zh-CN"/>
              </w:rPr>
              <w:t>4.</w:t>
            </w:r>
            <w:r>
              <w:rPr>
                <w:rFonts w:hint="default" w:ascii="宋体" w:hAnsi="宋体" w:eastAsia="宋体" w:cs="宋体"/>
                <w:sz w:val="24"/>
                <w:szCs w:val="24"/>
                <w:lang w:val="en-US" w:eastAsia="zh-CN"/>
              </w:rPr>
              <w:fldChar w:fldCharType="begin"/>
            </w:r>
            <w:r>
              <w:rPr>
                <w:rFonts w:hint="default" w:ascii="宋体" w:hAnsi="宋体" w:eastAsia="宋体" w:cs="宋体"/>
                <w:sz w:val="24"/>
                <w:szCs w:val="24"/>
                <w:lang w:val="en-US" w:eastAsia="zh-CN"/>
              </w:rPr>
              <w:instrText xml:space="preserve"> HYPERLINK "http://www.mee.gov.cn/ywgz/fgbz/bz/bzwb/gthw/gtfwwrkzbz/202012/W020201218695845325455.pdf" </w:instrText>
            </w:r>
            <w:r>
              <w:rPr>
                <w:rFonts w:hint="default" w:ascii="宋体" w:hAnsi="宋体" w:eastAsia="宋体" w:cs="宋体"/>
                <w:sz w:val="24"/>
                <w:szCs w:val="24"/>
                <w:lang w:val="en-US" w:eastAsia="zh-CN"/>
              </w:rPr>
              <w:fldChar w:fldCharType="separate"/>
            </w:r>
            <w:r>
              <w:rPr>
                <w:rFonts w:hint="default" w:ascii="宋体" w:hAnsi="宋体" w:eastAsia="宋体" w:cs="宋体"/>
                <w:sz w:val="24"/>
                <w:szCs w:val="24"/>
                <w:lang w:val="en-US" w:eastAsia="zh-CN"/>
              </w:rPr>
              <w:t>《一般工业固体废物贮存和填埋污染控制标准》（GB18599-2020）</w:t>
            </w:r>
            <w:r>
              <w:rPr>
                <w:rFonts w:hint="default" w:ascii="宋体" w:hAnsi="宋体" w:eastAsia="宋体" w:cs="宋体"/>
                <w:sz w:val="24"/>
                <w:szCs w:val="24"/>
                <w:lang w:val="en-US" w:eastAsia="zh-CN"/>
              </w:rPr>
              <w:fldChar w:fldCharType="end"/>
            </w:r>
            <w:r>
              <w:rPr>
                <w:rFonts w:hint="default" w:ascii="宋体" w:hAnsi="宋体" w:eastAsia="宋体" w:cs="宋体"/>
                <w:sz w:val="24"/>
                <w:szCs w:val="24"/>
                <w:lang w:val="en-US" w:eastAsia="zh-CN"/>
              </w:rPr>
              <w:t>；</w:t>
            </w:r>
          </w:p>
          <w:p w14:paraId="4C2E26C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sz w:val="24"/>
                <w:szCs w:val="24"/>
                <w:lang w:val="en-US" w:eastAsia="zh-CN"/>
              </w:rPr>
            </w:pPr>
            <w:r>
              <w:rPr>
                <w:rFonts w:hint="eastAsia" w:ascii="宋体" w:hAnsi="宋体" w:eastAsia="宋体" w:cs="宋体"/>
                <w:b/>
                <w:bCs/>
                <w:sz w:val="24"/>
                <w:szCs w:val="24"/>
                <w:lang w:val="en-US" w:eastAsia="zh-CN"/>
              </w:rPr>
              <w:t>5.</w:t>
            </w:r>
            <w:r>
              <w:rPr>
                <w:rFonts w:hint="default" w:ascii="宋体" w:hAnsi="宋体" w:eastAsia="宋体" w:cs="宋体"/>
                <w:sz w:val="24"/>
                <w:szCs w:val="24"/>
                <w:lang w:val="en-US" w:eastAsia="zh-CN"/>
              </w:rPr>
              <w:t>《固体废物分类与代码目录》（公告2024年第4号），2024年1月19日；</w:t>
            </w:r>
          </w:p>
          <w:p w14:paraId="7D64335E">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cs="宋体"/>
                <w:b w:val="0"/>
                <w:bCs w:val="0"/>
                <w:color w:val="auto"/>
                <w:sz w:val="24"/>
                <w:szCs w:val="24"/>
                <w:lang w:val="en-US" w:eastAsia="zh-CN"/>
              </w:rPr>
            </w:pPr>
            <w:r>
              <w:rPr>
                <w:rFonts w:hint="eastAsia" w:ascii="宋体" w:hAnsi="宋体" w:eastAsia="宋体" w:cs="宋体"/>
                <w:b/>
                <w:bCs/>
                <w:sz w:val="24"/>
                <w:szCs w:val="24"/>
                <w:lang w:val="en-US" w:eastAsia="zh-CN"/>
              </w:rPr>
              <w:t>6.</w:t>
            </w:r>
            <w:r>
              <w:rPr>
                <w:rFonts w:hint="default" w:ascii="宋体" w:hAnsi="宋体" w:eastAsia="宋体" w:cs="宋体"/>
                <w:sz w:val="24"/>
                <w:szCs w:val="24"/>
                <w:lang w:val="en-US" w:eastAsia="zh-CN"/>
              </w:rPr>
              <w:t>《危险废物贮存污染控制标准》（GB18597-2023）。</w:t>
            </w:r>
          </w:p>
        </w:tc>
      </w:tr>
      <w:tr w14:paraId="1D3E08D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555" w:hRule="atLeast"/>
          <w:jc w:val="center"/>
        </w:trPr>
        <w:tc>
          <w:tcPr>
            <w:tcW w:w="1171" w:type="pct"/>
            <w:noWrap w:val="0"/>
            <w:vAlign w:val="center"/>
          </w:tcPr>
          <w:p w14:paraId="2CBFA9D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批复总量控制指标</w:t>
            </w:r>
          </w:p>
        </w:tc>
        <w:tc>
          <w:tcPr>
            <w:tcW w:w="3828" w:type="pct"/>
            <w:gridSpan w:val="5"/>
            <w:noWrap w:val="0"/>
            <w:vAlign w:val="center"/>
          </w:tcPr>
          <w:p w14:paraId="744A4AB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无</w:t>
            </w:r>
          </w:p>
        </w:tc>
      </w:tr>
      <w:tr w14:paraId="5F37E09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819" w:hRule="atLeast"/>
          <w:jc w:val="center"/>
        </w:trPr>
        <w:tc>
          <w:tcPr>
            <w:tcW w:w="5000" w:type="pct"/>
            <w:gridSpan w:val="6"/>
            <w:noWrap w:val="0"/>
            <w:vAlign w:val="center"/>
          </w:tcPr>
          <w:p w14:paraId="4553EAB3">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pacing w:val="9"/>
                <w:sz w:val="24"/>
                <w:szCs w:val="24"/>
              </w:rPr>
            </w:pPr>
            <w:r>
              <w:rPr>
                <w:rFonts w:hint="eastAsia" w:ascii="宋体" w:hAnsi="宋体" w:eastAsia="宋体" w:cs="宋体"/>
                <w:color w:val="000000"/>
                <w:sz w:val="24"/>
                <w:szCs w:val="24"/>
                <w:highlight w:val="none"/>
                <w:lang w:eastAsia="zh-CN"/>
              </w:rPr>
              <w:t>伽师县嘉腾养殖农民专业合作社屠宰加工厂</w:t>
            </w:r>
            <w:r>
              <w:rPr>
                <w:rFonts w:hint="eastAsia" w:ascii="宋体" w:hAnsi="宋体" w:eastAsia="宋体" w:cs="宋体"/>
                <w:spacing w:val="-1"/>
                <w:sz w:val="24"/>
                <w:szCs w:val="24"/>
              </w:rPr>
              <w:t>为屠宰项目</w:t>
            </w:r>
            <w:r>
              <w:rPr>
                <w:rFonts w:hint="eastAsia" w:ascii="宋体" w:hAnsi="宋体" w:eastAsia="宋体" w:cs="宋体"/>
                <w:spacing w:val="-1"/>
                <w:sz w:val="24"/>
                <w:szCs w:val="24"/>
                <w:lang w:eastAsia="zh-CN"/>
              </w:rPr>
              <w:t>，</w:t>
            </w:r>
            <w:r>
              <w:rPr>
                <w:rFonts w:hint="eastAsia" w:ascii="宋体" w:hAnsi="宋体" w:eastAsia="宋体" w:cs="宋体"/>
                <w:spacing w:val="11"/>
                <w:sz w:val="24"/>
                <w:szCs w:val="24"/>
              </w:rPr>
              <w:t>建设项目</w:t>
            </w:r>
            <w:r>
              <w:rPr>
                <w:rFonts w:hint="eastAsia" w:ascii="宋体" w:hAnsi="宋体" w:eastAsia="宋体" w:cs="宋体"/>
                <w:spacing w:val="5"/>
                <w:sz w:val="24"/>
                <w:szCs w:val="24"/>
              </w:rPr>
              <w:t>行业类别</w:t>
            </w:r>
            <w:r>
              <w:rPr>
                <w:rFonts w:hint="eastAsia" w:ascii="宋体" w:hAnsi="宋体" w:eastAsia="宋体" w:cs="宋体"/>
                <w:spacing w:val="5"/>
                <w:sz w:val="24"/>
                <w:szCs w:val="24"/>
                <w:lang w:eastAsia="zh-CN"/>
              </w:rPr>
              <w:t>（</w:t>
            </w:r>
            <w:r>
              <w:rPr>
                <w:rFonts w:hint="eastAsia" w:ascii="宋体" w:hAnsi="宋体" w:eastAsia="宋体" w:cs="宋体"/>
                <w:spacing w:val="-2"/>
                <w:sz w:val="24"/>
                <w:szCs w:val="24"/>
              </w:rPr>
              <w:t>十、农副食品加工业</w:t>
            </w:r>
            <w:r>
              <w:rPr>
                <w:rFonts w:hint="eastAsia" w:ascii="宋体" w:hAnsi="宋体" w:eastAsia="宋体" w:cs="宋体"/>
                <w:sz w:val="24"/>
                <w:szCs w:val="24"/>
              </w:rPr>
              <w:t>13-18、屠宰及肉类加工</w:t>
            </w:r>
            <w:r>
              <w:rPr>
                <w:rFonts w:hint="eastAsia" w:ascii="宋体" w:hAnsi="宋体" w:eastAsia="宋体" w:cs="宋体"/>
                <w:spacing w:val="-7"/>
                <w:sz w:val="24"/>
                <w:szCs w:val="24"/>
              </w:rPr>
              <w:t>135</w:t>
            </w:r>
            <w:r>
              <w:rPr>
                <w:rFonts w:hint="eastAsia" w:ascii="宋体" w:hAnsi="宋体" w:eastAsia="宋体" w:cs="宋体"/>
                <w:spacing w:val="-7"/>
                <w:sz w:val="24"/>
                <w:szCs w:val="24"/>
                <w:lang w:eastAsia="zh-CN"/>
              </w:rPr>
              <w:t>），</w:t>
            </w:r>
            <w:r>
              <w:rPr>
                <w:rFonts w:hint="eastAsia" w:ascii="宋体" w:hAnsi="宋体" w:eastAsia="宋体" w:cs="宋体"/>
                <w:spacing w:val="2"/>
                <w:sz w:val="24"/>
                <w:szCs w:val="24"/>
              </w:rPr>
              <w:t>国民经济</w:t>
            </w:r>
            <w:r>
              <w:rPr>
                <w:rFonts w:hint="eastAsia" w:ascii="宋体" w:hAnsi="宋体" w:eastAsia="宋体" w:cs="宋体"/>
                <w:spacing w:val="5"/>
                <w:sz w:val="24"/>
                <w:szCs w:val="24"/>
              </w:rPr>
              <w:t>行业类别</w:t>
            </w:r>
            <w:r>
              <w:rPr>
                <w:rFonts w:hint="eastAsia" w:ascii="宋体" w:hAnsi="宋体" w:eastAsia="宋体" w:cs="宋体"/>
                <w:spacing w:val="5"/>
                <w:sz w:val="24"/>
                <w:szCs w:val="24"/>
                <w:lang w:eastAsia="zh-CN"/>
              </w:rPr>
              <w:t>（</w:t>
            </w:r>
            <w:r>
              <w:rPr>
                <w:rFonts w:hint="eastAsia" w:ascii="宋体" w:hAnsi="宋体" w:eastAsia="宋体" w:cs="宋体"/>
                <w:spacing w:val="2"/>
                <w:sz w:val="24"/>
                <w:szCs w:val="24"/>
              </w:rPr>
              <w:t>牲畜屠宰C1351</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lang w:val="en-US" w:eastAsia="zh-CN"/>
              </w:rPr>
              <w:t>本项目位于</w:t>
            </w:r>
            <w:r>
              <w:rPr>
                <w:rFonts w:hint="eastAsia" w:ascii="宋体" w:hAnsi="宋体" w:eastAsia="宋体" w:cs="宋体"/>
                <w:sz w:val="24"/>
                <w:szCs w:val="24"/>
              </w:rPr>
              <w:t>伽师县英买里乡巴格托格拉克(4)村，中心地理坐标为：东</w:t>
            </w:r>
            <w:r>
              <w:rPr>
                <w:rFonts w:hint="eastAsia" w:ascii="宋体" w:hAnsi="宋体" w:eastAsia="宋体" w:cs="宋体"/>
                <w:spacing w:val="-12"/>
                <w:sz w:val="24"/>
                <w:szCs w:val="24"/>
              </w:rPr>
              <w:t>经7</w:t>
            </w:r>
            <w:r>
              <w:rPr>
                <w:rFonts w:hint="eastAsia" w:ascii="宋体" w:hAnsi="宋体" w:eastAsia="宋体" w:cs="宋体"/>
                <w:spacing w:val="-11"/>
                <w:sz w:val="24"/>
                <w:szCs w:val="24"/>
              </w:rPr>
              <w:t>6°54'33.240”,北纬39°</w:t>
            </w:r>
            <w:r>
              <w:rPr>
                <w:rFonts w:hint="eastAsia" w:ascii="宋体" w:hAnsi="宋体" w:eastAsia="宋体" w:cs="宋体"/>
                <w:spacing w:val="-12"/>
                <w:sz w:val="24"/>
                <w:szCs w:val="24"/>
              </w:rPr>
              <w:t>26'55.631"。项目区东侧、西侧和南侧、北侧均为</w:t>
            </w:r>
            <w:r>
              <w:rPr>
                <w:rFonts w:hint="eastAsia" w:ascii="宋体" w:hAnsi="宋体" w:eastAsia="宋体" w:cs="宋体"/>
                <w:spacing w:val="-10"/>
                <w:sz w:val="24"/>
                <w:szCs w:val="24"/>
              </w:rPr>
              <w:t>荒</w:t>
            </w:r>
            <w:r>
              <w:rPr>
                <w:rFonts w:hint="eastAsia" w:ascii="宋体" w:hAnsi="宋体" w:eastAsia="宋体" w:cs="宋体"/>
                <w:sz w:val="24"/>
                <w:szCs w:val="24"/>
              </w:rPr>
              <w:t xml:space="preserve"> 地，项目距离最近居民点为巴格托格拉克村，距离约1500m。</w:t>
            </w:r>
            <w:r>
              <w:rPr>
                <w:rFonts w:hint="eastAsia" w:ascii="宋体" w:hAnsi="宋体" w:eastAsia="宋体" w:cs="宋体"/>
                <w:spacing w:val="6"/>
                <w:sz w:val="24"/>
                <w:szCs w:val="24"/>
              </w:rPr>
              <w:t>总用地面积为11641.27m²,总建筑面积为6727m²。其中：</w:t>
            </w:r>
            <w:r>
              <w:rPr>
                <w:rFonts w:hint="eastAsia" w:ascii="宋体" w:hAnsi="宋体" w:eastAsia="宋体" w:cs="宋体"/>
                <w:spacing w:val="10"/>
                <w:sz w:val="24"/>
                <w:szCs w:val="24"/>
              </w:rPr>
              <w:t>待宰车间面积为2000m²,屠宰车间面积为2534.28m²,分割车间面积为60m²,</w:t>
            </w:r>
            <w:r>
              <w:rPr>
                <w:rFonts w:hint="eastAsia" w:ascii="宋体" w:hAnsi="宋体" w:eastAsia="宋体" w:cs="宋体"/>
                <w:spacing w:val="14"/>
                <w:sz w:val="24"/>
                <w:szCs w:val="24"/>
              </w:rPr>
              <w:t xml:space="preserve"> </w:t>
            </w:r>
            <w:r>
              <w:rPr>
                <w:rFonts w:hint="eastAsia" w:ascii="宋体" w:hAnsi="宋体" w:eastAsia="宋体" w:cs="宋体"/>
                <w:spacing w:val="9"/>
                <w:sz w:val="24"/>
                <w:szCs w:val="24"/>
              </w:rPr>
              <w:t>冷库面积为90.84m²,化验室面积为30.195m²,生活区面积为2011.68m²。</w:t>
            </w:r>
          </w:p>
          <w:p w14:paraId="75FFDF78">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2021年12月，委托新疆中科同创环境科技有限公司</w:t>
            </w:r>
            <w:r>
              <w:rPr>
                <w:rFonts w:hint="eastAsia" w:ascii="宋体" w:hAnsi="宋体" w:eastAsia="宋体" w:cs="宋体"/>
                <w:color w:val="000000"/>
                <w:sz w:val="24"/>
                <w:szCs w:val="24"/>
                <w:highlight w:val="none"/>
                <w:lang w:eastAsia="zh-CN"/>
              </w:rPr>
              <w:t>编制完成《伽师县嘉腾养殖农民专业合作社屠宰加工厂项目环境影响报告表》；</w:t>
            </w:r>
            <w:r>
              <w:rPr>
                <w:rFonts w:hint="eastAsia" w:ascii="宋体" w:hAnsi="宋体" w:eastAsia="宋体" w:cs="宋体"/>
                <w:color w:val="000000"/>
                <w:sz w:val="24"/>
                <w:szCs w:val="24"/>
                <w:highlight w:val="none"/>
                <w:lang w:val="en-US" w:eastAsia="zh-CN"/>
              </w:rPr>
              <w:t>2022年4月8日，喀什地区生态环境局以</w:t>
            </w:r>
            <w:r>
              <w:rPr>
                <w:rFonts w:hint="eastAsia" w:ascii="宋体" w:hAnsi="宋体" w:eastAsia="宋体" w:cs="宋体"/>
                <w:color w:val="000000"/>
                <w:sz w:val="24"/>
                <w:szCs w:val="24"/>
                <w:highlight w:val="none"/>
                <w:lang w:eastAsia="zh-CN"/>
              </w:rPr>
              <w:t>喀地环评字〔2022〕34号号文件对环境影响报告表予以批复。</w:t>
            </w:r>
          </w:p>
          <w:p w14:paraId="127A325D">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本次验收范围为</w:t>
            </w:r>
            <w:r>
              <w:rPr>
                <w:rFonts w:hint="eastAsia" w:ascii="宋体" w:hAnsi="宋体" w:eastAsia="宋体" w:cs="宋体"/>
                <w:color w:val="000000"/>
                <w:sz w:val="24"/>
                <w:szCs w:val="24"/>
                <w:highlight w:val="none"/>
                <w:lang w:eastAsia="zh-CN"/>
              </w:rPr>
              <w:t>伽师县嘉腾养殖农民专业合作社屠宰加工厂</w:t>
            </w:r>
            <w:r>
              <w:rPr>
                <w:rFonts w:hint="eastAsia" w:ascii="宋体" w:hAnsi="宋体" w:eastAsia="宋体" w:cs="宋体"/>
                <w:color w:val="000000"/>
                <w:sz w:val="24"/>
                <w:szCs w:val="24"/>
                <w:highlight w:val="none"/>
                <w:lang w:val="en-US" w:eastAsia="zh-CN"/>
              </w:rPr>
              <w:t>生产线及其配套设施。</w:t>
            </w:r>
          </w:p>
          <w:p w14:paraId="13E72081">
            <w:pPr>
              <w:pStyle w:val="20"/>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项目位置</w:t>
            </w:r>
          </w:p>
          <w:p w14:paraId="1EDD8423">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位于伽师县英买里乡巴格托格拉克(4)村，中心地理坐标为：E76°54′33.240″，N39°26′55.631″，项目区东侧、西侧和南侧、北侧均为荒地，项目距离最近居民点为巴格托格拉克村，距离约1500m。本项目地理位置见图1.1，厂区平面布置见图1.2、车间平面布置见图1.3。</w:t>
            </w:r>
          </w:p>
          <w:p w14:paraId="0FBBB828">
            <w:pPr>
              <w:pStyle w:val="11"/>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eastAsia="zh-CN"/>
              </w:rPr>
              <w:t>项目</w:t>
            </w:r>
            <w:r>
              <w:rPr>
                <w:rFonts w:hint="eastAsia" w:ascii="宋体" w:hAnsi="宋体" w:eastAsia="宋体" w:cs="宋体"/>
                <w:b/>
                <w:bCs/>
                <w:color w:val="auto"/>
                <w:sz w:val="24"/>
                <w:szCs w:val="24"/>
              </w:rPr>
              <w:t>建设内容</w:t>
            </w:r>
          </w:p>
          <w:p w14:paraId="4C74B28B">
            <w:pPr>
              <w:pStyle w:val="11"/>
              <w:keepNext w:val="0"/>
              <w:keepLines w:val="0"/>
              <w:pageBreakBefore w:val="0"/>
              <w:widowControl w:val="0"/>
              <w:kinsoku/>
              <w:wordWrap/>
              <w:overflowPunct/>
              <w:topLinePunct w:val="0"/>
              <w:autoSpaceDE/>
              <w:autoSpaceDN/>
              <w:bidi w:val="0"/>
              <w:adjustRightInd/>
              <w:snapToGrid/>
              <w:spacing w:after="0" w:afterLines="0" w:line="360" w:lineRule="auto"/>
              <w:ind w:left="0" w:leftChars="0" w:right="0" w:rightChars="0" w:firstLine="480" w:firstLineChars="200"/>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项目规划范围总用地面积为11641.27m²,总建筑面积为6727m²。其中：待宰车间面积为2000m²,屠宰车间面积为2534.28m²,分割车间面积为60m², 冷库面积为90.84m²,化验室面积为30.195m²,生活区面积为2011.68m²。本项目主要建设内容见表1-1，主要设备见表1-2。</w:t>
            </w:r>
          </w:p>
          <w:p w14:paraId="0FA51F2A">
            <w:pPr>
              <w:rPr>
                <w:rFonts w:hint="default" w:ascii="Times New Roman" w:hAnsi="Times New Roman" w:cs="Times New Roman"/>
                <w:b/>
                <w:color w:val="auto"/>
                <w:kern w:val="0"/>
                <w:sz w:val="24"/>
                <w:highlight w:val="none"/>
              </w:rPr>
            </w:pPr>
            <w:r>
              <w:rPr>
                <w:rFonts w:hint="default" w:ascii="Times New Roman" w:hAnsi="Times New Roman" w:cs="Times New Roman"/>
                <w:b/>
                <w:color w:val="auto"/>
                <w:kern w:val="0"/>
                <w:sz w:val="24"/>
                <w:highlight w:val="none"/>
              </w:rPr>
              <w:t>表1-</w:t>
            </w:r>
            <w:r>
              <w:rPr>
                <w:rFonts w:hint="default" w:ascii="Times New Roman" w:hAnsi="Times New Roman" w:cs="Times New Roman"/>
                <w:b/>
                <w:color w:val="auto"/>
                <w:kern w:val="0"/>
                <w:sz w:val="24"/>
                <w:highlight w:val="none"/>
                <w:lang w:val="en-US" w:eastAsia="zh-CN"/>
              </w:rPr>
              <w:t>1</w:t>
            </w:r>
            <w:r>
              <w:rPr>
                <w:rFonts w:hint="default" w:ascii="Times New Roman" w:hAnsi="Times New Roman" w:cs="Times New Roman"/>
                <w:b/>
                <w:color w:val="auto"/>
                <w:kern w:val="0"/>
                <w:sz w:val="24"/>
                <w:highlight w:val="none"/>
              </w:rPr>
              <w:t xml:space="preserve">                </w:t>
            </w:r>
            <w:r>
              <w:rPr>
                <w:rFonts w:hint="default" w:ascii="Times New Roman" w:hAnsi="Times New Roman" w:cs="Times New Roman"/>
                <w:b/>
                <w:color w:val="auto"/>
                <w:kern w:val="0"/>
                <w:sz w:val="24"/>
                <w:highlight w:val="none"/>
                <w:lang w:val="en-US" w:eastAsia="zh-CN"/>
              </w:rPr>
              <w:t xml:space="preserve">   </w:t>
            </w:r>
            <w:r>
              <w:rPr>
                <w:rFonts w:hint="default" w:ascii="Times New Roman" w:hAnsi="Times New Roman" w:cs="Times New Roman"/>
                <w:b/>
                <w:color w:val="auto"/>
                <w:kern w:val="0"/>
                <w:sz w:val="24"/>
                <w:highlight w:val="none"/>
              </w:rPr>
              <w:t>主要</w:t>
            </w:r>
            <w:r>
              <w:rPr>
                <w:rFonts w:hint="default" w:ascii="Times New Roman" w:hAnsi="Times New Roman" w:cs="Times New Roman"/>
                <w:b/>
                <w:color w:val="auto"/>
                <w:kern w:val="0"/>
                <w:sz w:val="24"/>
                <w:highlight w:val="none"/>
                <w:lang w:eastAsia="zh-CN"/>
              </w:rPr>
              <w:t>建设内容对照</w:t>
            </w:r>
            <w:r>
              <w:rPr>
                <w:rFonts w:hint="default" w:ascii="Times New Roman" w:hAnsi="Times New Roman" w:cs="Times New Roman"/>
                <w:b/>
                <w:color w:val="auto"/>
                <w:kern w:val="0"/>
                <w:sz w:val="24"/>
                <w:highlight w:val="none"/>
              </w:rPr>
              <w:t>一览表</w:t>
            </w:r>
          </w:p>
          <w:tbl>
            <w:tblPr>
              <w:tblStyle w:val="15"/>
              <w:tblW w:w="502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064"/>
              <w:gridCol w:w="2723"/>
              <w:gridCol w:w="2722"/>
              <w:gridCol w:w="1261"/>
            </w:tblGrid>
            <w:tr w14:paraId="2B2F5A5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91" w:type="pct"/>
                  <w:noWrap w:val="0"/>
                  <w:vAlign w:val="center"/>
                </w:tcPr>
                <w:p w14:paraId="49AF8481">
                  <w:pPr>
                    <w:pStyle w:val="24"/>
                    <w:adjustRightInd/>
                    <w:snapToGrid/>
                    <w:spacing w:line="240" w:lineRule="auto"/>
                    <w:ind w:left="-105" w:leftChars="-50" w:right="-105" w:rightChars="-50"/>
                    <w:rPr>
                      <w:rFonts w:hint="eastAsia" w:ascii="宋体" w:hAnsi="宋体" w:eastAsia="宋体" w:cs="宋体"/>
                      <w:b/>
                      <w:bCs/>
                      <w:snapToGrid w:val="0"/>
                      <w:color w:val="auto"/>
                      <w:sz w:val="21"/>
                      <w:szCs w:val="21"/>
                    </w:rPr>
                  </w:pPr>
                  <w:r>
                    <w:rPr>
                      <w:rFonts w:hint="eastAsia" w:ascii="宋体" w:hAnsi="宋体" w:eastAsia="宋体" w:cs="宋体"/>
                      <w:b/>
                      <w:bCs/>
                      <w:snapToGrid w:val="0"/>
                      <w:color w:val="auto"/>
                      <w:sz w:val="21"/>
                      <w:szCs w:val="21"/>
                    </w:rPr>
                    <w:t>工程</w:t>
                  </w:r>
                </w:p>
                <w:p w14:paraId="62CEB35C">
                  <w:pPr>
                    <w:pStyle w:val="24"/>
                    <w:adjustRightInd/>
                    <w:snapToGrid/>
                    <w:spacing w:line="240" w:lineRule="auto"/>
                    <w:ind w:left="-105" w:leftChars="-50" w:right="-105" w:rightChars="-50"/>
                    <w:rPr>
                      <w:rFonts w:hint="eastAsia" w:ascii="宋体" w:hAnsi="宋体" w:eastAsia="宋体" w:cs="宋体"/>
                      <w:b/>
                      <w:bCs/>
                      <w:snapToGrid w:val="0"/>
                      <w:color w:val="auto"/>
                      <w:sz w:val="21"/>
                      <w:szCs w:val="21"/>
                    </w:rPr>
                  </w:pPr>
                  <w:r>
                    <w:rPr>
                      <w:rFonts w:hint="eastAsia" w:ascii="宋体" w:hAnsi="宋体" w:eastAsia="宋体" w:cs="宋体"/>
                      <w:b/>
                      <w:bCs/>
                      <w:snapToGrid w:val="0"/>
                      <w:color w:val="auto"/>
                      <w:sz w:val="21"/>
                      <w:szCs w:val="21"/>
                    </w:rPr>
                    <w:t>类别</w:t>
                  </w:r>
                </w:p>
              </w:tc>
              <w:tc>
                <w:tcPr>
                  <w:tcW w:w="630" w:type="pct"/>
                  <w:noWrap w:val="0"/>
                  <w:vAlign w:val="center"/>
                </w:tcPr>
                <w:p w14:paraId="4BFCA3BF">
                  <w:pPr>
                    <w:pStyle w:val="24"/>
                    <w:adjustRightInd/>
                    <w:snapToGrid/>
                    <w:spacing w:line="240" w:lineRule="auto"/>
                    <w:ind w:left="-105" w:leftChars="-50" w:right="-105" w:rightChars="-50"/>
                    <w:rPr>
                      <w:rFonts w:hint="eastAsia" w:ascii="宋体" w:hAnsi="宋体" w:eastAsia="宋体" w:cs="宋体"/>
                      <w:b/>
                      <w:bCs/>
                      <w:snapToGrid w:val="0"/>
                      <w:color w:val="auto"/>
                      <w:sz w:val="21"/>
                      <w:szCs w:val="21"/>
                      <w:lang w:eastAsia="zh-CN"/>
                    </w:rPr>
                  </w:pPr>
                  <w:r>
                    <w:rPr>
                      <w:rFonts w:hint="eastAsia" w:ascii="宋体" w:hAnsi="宋体" w:eastAsia="宋体" w:cs="宋体"/>
                      <w:b/>
                      <w:bCs/>
                      <w:snapToGrid w:val="0"/>
                      <w:color w:val="auto"/>
                      <w:sz w:val="21"/>
                      <w:szCs w:val="21"/>
                    </w:rPr>
                    <w:t>建设</w:t>
                  </w:r>
                </w:p>
                <w:p w14:paraId="79244A28">
                  <w:pPr>
                    <w:pStyle w:val="24"/>
                    <w:adjustRightInd/>
                    <w:snapToGrid/>
                    <w:spacing w:line="240" w:lineRule="auto"/>
                    <w:ind w:left="-105" w:leftChars="-50" w:right="-105" w:rightChars="-50"/>
                    <w:rPr>
                      <w:rFonts w:hint="eastAsia" w:ascii="宋体" w:hAnsi="宋体" w:eastAsia="宋体" w:cs="宋体"/>
                      <w:b/>
                      <w:bCs/>
                      <w:snapToGrid w:val="0"/>
                      <w:color w:val="auto"/>
                      <w:sz w:val="21"/>
                      <w:szCs w:val="21"/>
                    </w:rPr>
                  </w:pPr>
                  <w:r>
                    <w:rPr>
                      <w:rFonts w:hint="eastAsia" w:ascii="宋体" w:hAnsi="宋体" w:eastAsia="宋体" w:cs="宋体"/>
                      <w:b/>
                      <w:bCs/>
                      <w:snapToGrid w:val="0"/>
                      <w:color w:val="auto"/>
                      <w:sz w:val="21"/>
                      <w:szCs w:val="21"/>
                    </w:rPr>
                    <w:t>内容</w:t>
                  </w:r>
                </w:p>
              </w:tc>
              <w:tc>
                <w:tcPr>
                  <w:tcW w:w="1615" w:type="pct"/>
                  <w:noWrap w:val="0"/>
                  <w:vAlign w:val="center"/>
                </w:tcPr>
                <w:p w14:paraId="381818FA">
                  <w:pPr>
                    <w:pStyle w:val="24"/>
                    <w:adjustRightInd/>
                    <w:snapToGrid/>
                    <w:spacing w:line="240" w:lineRule="auto"/>
                    <w:ind w:left="0" w:leftChars="0" w:right="0" w:rightChars="0"/>
                    <w:rPr>
                      <w:rFonts w:hint="eastAsia" w:ascii="宋体" w:hAnsi="宋体" w:eastAsia="宋体" w:cs="宋体"/>
                      <w:b/>
                      <w:bCs/>
                      <w:snapToGrid w:val="0"/>
                      <w:color w:val="auto"/>
                      <w:sz w:val="21"/>
                      <w:szCs w:val="21"/>
                    </w:rPr>
                  </w:pPr>
                  <w:r>
                    <w:rPr>
                      <w:rFonts w:hint="eastAsia" w:ascii="宋体" w:hAnsi="宋体" w:eastAsia="宋体" w:cs="宋体"/>
                      <w:b/>
                      <w:bCs/>
                      <w:snapToGrid w:val="0"/>
                      <w:color w:val="auto"/>
                      <w:sz w:val="21"/>
                      <w:szCs w:val="21"/>
                    </w:rPr>
                    <w:t>环评设计工程内容</w:t>
                  </w:r>
                </w:p>
              </w:tc>
              <w:tc>
                <w:tcPr>
                  <w:tcW w:w="1614" w:type="pct"/>
                  <w:noWrap w:val="0"/>
                  <w:vAlign w:val="center"/>
                </w:tcPr>
                <w:p w14:paraId="36CE9A90">
                  <w:pPr>
                    <w:pStyle w:val="24"/>
                    <w:adjustRightInd/>
                    <w:snapToGrid/>
                    <w:spacing w:line="240" w:lineRule="auto"/>
                    <w:ind w:left="0" w:leftChars="0" w:right="0" w:rightChars="0"/>
                    <w:rPr>
                      <w:rFonts w:hint="eastAsia" w:ascii="宋体" w:hAnsi="宋体" w:eastAsia="宋体" w:cs="宋体"/>
                      <w:b/>
                      <w:bCs/>
                      <w:snapToGrid w:val="0"/>
                      <w:color w:val="auto"/>
                      <w:sz w:val="21"/>
                      <w:szCs w:val="21"/>
                      <w:highlight w:val="none"/>
                      <w:lang w:eastAsia="zh-CN"/>
                    </w:rPr>
                  </w:pPr>
                  <w:r>
                    <w:rPr>
                      <w:rFonts w:hint="eastAsia" w:ascii="宋体" w:hAnsi="宋体" w:eastAsia="宋体" w:cs="宋体"/>
                      <w:b/>
                      <w:bCs/>
                      <w:snapToGrid w:val="0"/>
                      <w:color w:val="auto"/>
                      <w:sz w:val="21"/>
                      <w:szCs w:val="21"/>
                      <w:highlight w:val="none"/>
                    </w:rPr>
                    <w:t>实际工程内容</w:t>
                  </w:r>
                </w:p>
              </w:tc>
              <w:tc>
                <w:tcPr>
                  <w:tcW w:w="747" w:type="pct"/>
                  <w:noWrap w:val="0"/>
                  <w:vAlign w:val="center"/>
                </w:tcPr>
                <w:p w14:paraId="31940E60">
                  <w:pPr>
                    <w:pStyle w:val="24"/>
                    <w:adjustRightInd/>
                    <w:snapToGrid/>
                    <w:spacing w:line="240" w:lineRule="auto"/>
                    <w:ind w:left="0" w:leftChars="0" w:right="0" w:rightChars="0"/>
                    <w:rPr>
                      <w:rFonts w:hint="eastAsia" w:ascii="宋体" w:hAnsi="宋体" w:eastAsia="宋体" w:cs="宋体"/>
                      <w:b/>
                      <w:bCs/>
                      <w:snapToGrid w:val="0"/>
                      <w:color w:val="auto"/>
                      <w:sz w:val="21"/>
                      <w:szCs w:val="21"/>
                      <w:highlight w:val="none"/>
                    </w:rPr>
                  </w:pPr>
                  <w:r>
                    <w:rPr>
                      <w:rFonts w:hint="eastAsia" w:ascii="宋体" w:hAnsi="宋体" w:eastAsia="宋体" w:cs="宋体"/>
                      <w:b/>
                      <w:bCs/>
                      <w:snapToGrid w:val="0"/>
                      <w:color w:val="auto"/>
                      <w:sz w:val="21"/>
                      <w:szCs w:val="21"/>
                      <w:highlight w:val="none"/>
                    </w:rPr>
                    <w:t>变动</w:t>
                  </w:r>
                </w:p>
                <w:p w14:paraId="15639549">
                  <w:pPr>
                    <w:pStyle w:val="24"/>
                    <w:adjustRightInd/>
                    <w:snapToGrid/>
                    <w:spacing w:line="240" w:lineRule="auto"/>
                    <w:ind w:left="0" w:leftChars="0" w:right="0" w:rightChars="0"/>
                    <w:rPr>
                      <w:rFonts w:hint="eastAsia" w:ascii="宋体" w:hAnsi="宋体" w:eastAsia="宋体" w:cs="宋体"/>
                      <w:b/>
                      <w:bCs/>
                      <w:snapToGrid w:val="0"/>
                      <w:color w:val="auto"/>
                      <w:sz w:val="21"/>
                      <w:szCs w:val="21"/>
                      <w:highlight w:val="none"/>
                    </w:rPr>
                  </w:pPr>
                  <w:r>
                    <w:rPr>
                      <w:rFonts w:hint="eastAsia" w:ascii="宋体" w:hAnsi="宋体" w:eastAsia="宋体" w:cs="宋体"/>
                      <w:b/>
                      <w:bCs/>
                      <w:snapToGrid w:val="0"/>
                      <w:color w:val="auto"/>
                      <w:sz w:val="21"/>
                      <w:szCs w:val="21"/>
                      <w:highlight w:val="none"/>
                    </w:rPr>
                    <w:t>情况</w:t>
                  </w:r>
                </w:p>
              </w:tc>
            </w:tr>
            <w:tr w14:paraId="55E71B0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91" w:type="pct"/>
                  <w:vMerge w:val="restart"/>
                  <w:noWrap w:val="0"/>
                  <w:vAlign w:val="center"/>
                </w:tcPr>
                <w:p w14:paraId="76310821">
                  <w:pPr>
                    <w:spacing w:line="320" w:lineRule="exact"/>
                    <w:jc w:val="center"/>
                    <w:rPr>
                      <w:rFonts w:hint="eastAsia" w:ascii="宋体" w:hAnsi="宋体" w:eastAsia="宋体" w:cs="宋体"/>
                      <w:snapToGrid w:val="0"/>
                      <w:color w:val="auto"/>
                      <w:sz w:val="21"/>
                      <w:szCs w:val="21"/>
                    </w:rPr>
                  </w:pPr>
                  <w:r>
                    <w:rPr>
                      <w:rFonts w:hint="eastAsia" w:ascii="宋体" w:hAnsi="宋体" w:eastAsia="宋体" w:cs="宋体"/>
                      <w:color w:val="auto"/>
                      <w:sz w:val="21"/>
                      <w:szCs w:val="21"/>
                    </w:rPr>
                    <w:t>主体工程</w:t>
                  </w:r>
                </w:p>
              </w:tc>
              <w:tc>
                <w:tcPr>
                  <w:tcW w:w="630" w:type="pct"/>
                  <w:shd w:val="clear" w:color="auto" w:fill="auto"/>
                  <w:noWrap w:val="0"/>
                  <w:vAlign w:val="center"/>
                </w:tcPr>
                <w:p w14:paraId="61A4388D">
                  <w:pPr>
                    <w:pStyle w:val="20"/>
                    <w:spacing w:before="170" w:line="219"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spacing w:val="6"/>
                      <w:sz w:val="21"/>
                      <w:szCs w:val="21"/>
                    </w:rPr>
                    <w:t>屠宰区</w:t>
                  </w:r>
                </w:p>
              </w:tc>
              <w:tc>
                <w:tcPr>
                  <w:tcW w:w="1615" w:type="pct"/>
                  <w:shd w:val="clear" w:color="auto" w:fill="auto"/>
                  <w:noWrap w:val="0"/>
                  <w:vAlign w:val="center"/>
                </w:tcPr>
                <w:p w14:paraId="72F6275F">
                  <w:pPr>
                    <w:jc w:val="center"/>
                    <w:rPr>
                      <w:rFonts w:hint="eastAsia" w:ascii="宋体" w:hAnsi="宋体" w:eastAsia="宋体" w:cs="宋体"/>
                      <w:color w:val="auto"/>
                      <w:sz w:val="21"/>
                      <w:szCs w:val="21"/>
                      <w:lang w:val="en-US" w:eastAsia="zh-CN"/>
                    </w:rPr>
                  </w:pPr>
                  <w:r>
                    <w:rPr>
                      <w:rFonts w:hint="eastAsia" w:ascii="宋体" w:hAnsi="宋体" w:eastAsia="宋体" w:cs="宋体"/>
                      <w:sz w:val="21"/>
                      <w:szCs w:val="21"/>
                    </w:rPr>
                    <w:t>一栋一层砖混结构(屠宰车间、分割车间、冷库、化验</w:t>
                  </w:r>
                  <w:r>
                    <w:rPr>
                      <w:rFonts w:hint="eastAsia" w:ascii="宋体" w:hAnsi="宋体" w:eastAsia="宋体" w:cs="宋体"/>
                      <w:spacing w:val="8"/>
                      <w:sz w:val="21"/>
                      <w:szCs w:val="21"/>
                    </w:rPr>
                    <w:t xml:space="preserve"> 室),建筑面积为2715.315m²</w:t>
                  </w:r>
                </w:p>
              </w:tc>
              <w:tc>
                <w:tcPr>
                  <w:tcW w:w="1614" w:type="pct"/>
                  <w:shd w:val="clear" w:color="auto" w:fill="auto"/>
                  <w:noWrap w:val="0"/>
                  <w:vAlign w:val="center"/>
                </w:tcPr>
                <w:p w14:paraId="79D60FF2">
                  <w:pPr>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sz w:val="21"/>
                      <w:szCs w:val="21"/>
                    </w:rPr>
                    <w:t>一栋一层砖混结构(屠宰车间</w:t>
                  </w:r>
                  <w:r>
                    <w:rPr>
                      <w:rFonts w:hint="eastAsia" w:ascii="宋体" w:hAnsi="宋体" w:eastAsia="宋体" w:cs="宋体"/>
                      <w:sz w:val="21"/>
                      <w:szCs w:val="21"/>
                      <w:lang w:val="en-US" w:eastAsia="zh-CN"/>
                    </w:rPr>
                    <w:t>设计一间实际加设一间宰牛车间</w:t>
                  </w:r>
                  <w:r>
                    <w:rPr>
                      <w:rFonts w:hint="eastAsia" w:ascii="宋体" w:hAnsi="宋体" w:eastAsia="宋体" w:cs="宋体"/>
                      <w:sz w:val="21"/>
                      <w:szCs w:val="21"/>
                    </w:rPr>
                    <w:t>、分割车间、冷库、化验</w:t>
                  </w:r>
                  <w:r>
                    <w:rPr>
                      <w:rFonts w:hint="eastAsia" w:ascii="宋体" w:hAnsi="宋体" w:eastAsia="宋体" w:cs="宋体"/>
                      <w:spacing w:val="8"/>
                      <w:sz w:val="21"/>
                      <w:szCs w:val="21"/>
                    </w:rPr>
                    <w:t xml:space="preserve"> 室),建筑面积为2715.315m²</w:t>
                  </w:r>
                  <w:r>
                    <w:rPr>
                      <w:rFonts w:hint="eastAsia" w:ascii="宋体" w:hAnsi="宋体" w:eastAsia="宋体" w:cs="宋体"/>
                      <w:color w:val="auto"/>
                      <w:kern w:val="2"/>
                      <w:sz w:val="21"/>
                      <w:szCs w:val="21"/>
                      <w:highlight w:val="none"/>
                      <w:lang w:val="en-US" w:eastAsia="zh-CN" w:bidi="ar-SA"/>
                    </w:rPr>
                    <w:t xml:space="preserve"> </w:t>
                  </w:r>
                </w:p>
              </w:tc>
              <w:tc>
                <w:tcPr>
                  <w:tcW w:w="747" w:type="pct"/>
                  <w:noWrap w:val="0"/>
                  <w:vAlign w:val="center"/>
                </w:tcPr>
                <w:p w14:paraId="42FB2778">
                  <w:pPr>
                    <w:jc w:val="center"/>
                    <w:rPr>
                      <w:rFonts w:hint="default"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加设一间宰牛车间，其余无变动</w:t>
                  </w:r>
                </w:p>
              </w:tc>
            </w:tr>
            <w:tr w14:paraId="21EBFD5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91" w:type="pct"/>
                  <w:vMerge w:val="continue"/>
                  <w:noWrap w:val="0"/>
                  <w:vAlign w:val="center"/>
                </w:tcPr>
                <w:p w14:paraId="4D501A4D">
                  <w:pPr>
                    <w:spacing w:line="320" w:lineRule="exact"/>
                    <w:jc w:val="center"/>
                    <w:rPr>
                      <w:rFonts w:hint="eastAsia" w:ascii="宋体" w:hAnsi="宋体" w:eastAsia="宋体" w:cs="宋体"/>
                      <w:color w:val="auto"/>
                      <w:sz w:val="21"/>
                      <w:szCs w:val="21"/>
                    </w:rPr>
                  </w:pPr>
                </w:p>
              </w:tc>
              <w:tc>
                <w:tcPr>
                  <w:tcW w:w="630" w:type="pct"/>
                  <w:shd w:val="clear" w:color="auto" w:fill="auto"/>
                  <w:noWrap w:val="0"/>
                  <w:vAlign w:val="center"/>
                </w:tcPr>
                <w:p w14:paraId="74A73EF6">
                  <w:pPr>
                    <w:pStyle w:val="20"/>
                    <w:spacing w:before="91" w:line="219" w:lineRule="auto"/>
                    <w:jc w:val="center"/>
                    <w:rPr>
                      <w:rFonts w:hint="eastAsia" w:ascii="宋体" w:hAnsi="宋体" w:eastAsia="宋体" w:cs="宋体"/>
                      <w:bCs/>
                      <w:color w:val="auto"/>
                      <w:sz w:val="21"/>
                      <w:szCs w:val="21"/>
                      <w:lang w:val="en-US" w:eastAsia="zh-CN"/>
                    </w:rPr>
                  </w:pPr>
                  <w:r>
                    <w:rPr>
                      <w:rFonts w:hint="eastAsia" w:ascii="宋体" w:hAnsi="宋体" w:eastAsia="宋体" w:cs="宋体"/>
                      <w:spacing w:val="5"/>
                      <w:sz w:val="21"/>
                      <w:szCs w:val="21"/>
                    </w:rPr>
                    <w:t>待宰车间</w:t>
                  </w:r>
                </w:p>
              </w:tc>
              <w:tc>
                <w:tcPr>
                  <w:tcW w:w="1615" w:type="pct"/>
                  <w:shd w:val="clear" w:color="auto" w:fill="auto"/>
                  <w:noWrap w:val="0"/>
                  <w:vAlign w:val="center"/>
                </w:tcPr>
                <w:p w14:paraId="47B15B89">
                  <w:pPr>
                    <w:jc w:val="center"/>
                    <w:rPr>
                      <w:rFonts w:hint="eastAsia" w:ascii="宋体" w:hAnsi="宋体" w:eastAsia="宋体" w:cs="宋体"/>
                      <w:color w:val="auto"/>
                      <w:sz w:val="21"/>
                      <w:szCs w:val="21"/>
                      <w:lang w:eastAsia="zh-CN"/>
                    </w:rPr>
                  </w:pPr>
                  <w:r>
                    <w:rPr>
                      <w:rFonts w:hint="eastAsia" w:ascii="宋体" w:hAnsi="宋体" w:eastAsia="宋体" w:cs="宋体"/>
                      <w:spacing w:val="7"/>
                      <w:sz w:val="21"/>
                      <w:szCs w:val="21"/>
                    </w:rPr>
                    <w:t>一栋一层彩钢结构，建筑面积为2000m²</w:t>
                  </w:r>
                </w:p>
              </w:tc>
              <w:tc>
                <w:tcPr>
                  <w:tcW w:w="1614" w:type="pct"/>
                  <w:shd w:val="clear" w:color="auto" w:fill="auto"/>
                  <w:noWrap w:val="0"/>
                  <w:vAlign w:val="center"/>
                </w:tcPr>
                <w:p w14:paraId="7A47D387">
                  <w:pPr>
                    <w:jc w:val="center"/>
                    <w:rPr>
                      <w:rFonts w:hint="eastAsia" w:ascii="宋体" w:hAnsi="宋体" w:eastAsia="宋体" w:cs="宋体"/>
                      <w:color w:val="auto"/>
                      <w:sz w:val="21"/>
                      <w:szCs w:val="21"/>
                      <w:lang w:eastAsia="zh-CN"/>
                    </w:rPr>
                  </w:pPr>
                  <w:r>
                    <w:rPr>
                      <w:rFonts w:hint="eastAsia" w:ascii="宋体" w:hAnsi="宋体" w:eastAsia="宋体" w:cs="宋体"/>
                      <w:spacing w:val="7"/>
                      <w:sz w:val="21"/>
                      <w:szCs w:val="21"/>
                    </w:rPr>
                    <w:t>一栋一层彩钢结构，建筑面积为2000m²</w:t>
                  </w:r>
                </w:p>
              </w:tc>
              <w:tc>
                <w:tcPr>
                  <w:tcW w:w="747" w:type="pct"/>
                  <w:noWrap w:val="0"/>
                  <w:vAlign w:val="center"/>
                </w:tcPr>
                <w:p w14:paraId="540E7F17">
                  <w:pPr>
                    <w:jc w:val="center"/>
                    <w:rPr>
                      <w:rFonts w:hint="default"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无变动</w:t>
                  </w:r>
                </w:p>
              </w:tc>
            </w:tr>
            <w:tr w14:paraId="25B25C7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91" w:type="pct"/>
                  <w:noWrap w:val="0"/>
                  <w:vAlign w:val="center"/>
                </w:tcPr>
                <w:p w14:paraId="1845B5A5">
                  <w:pPr>
                    <w:spacing w:line="320" w:lineRule="exact"/>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储运工程</w:t>
                  </w:r>
                </w:p>
              </w:tc>
              <w:tc>
                <w:tcPr>
                  <w:tcW w:w="630" w:type="pct"/>
                  <w:shd w:val="clear" w:color="auto" w:fill="auto"/>
                  <w:noWrap w:val="0"/>
                  <w:vAlign w:val="center"/>
                </w:tcPr>
                <w:p w14:paraId="3CAF70CD">
                  <w:pPr>
                    <w:pStyle w:val="5"/>
                    <w:adjustRightInd/>
                    <w:spacing w:line="260" w:lineRule="exact"/>
                    <w:ind w:firstLine="0" w:firstLineChars="0"/>
                    <w:jc w:val="center"/>
                    <w:textAlignment w:val="auto"/>
                    <w:rPr>
                      <w:rFonts w:hint="eastAsia" w:ascii="宋体" w:hAnsi="宋体" w:eastAsia="宋体" w:cs="宋体"/>
                      <w:bCs/>
                      <w:color w:val="auto"/>
                      <w:kern w:val="0"/>
                      <w:sz w:val="21"/>
                      <w:szCs w:val="21"/>
                      <w:lang w:val="en-US" w:eastAsia="zh-CN" w:bidi="en-US"/>
                    </w:rPr>
                  </w:pPr>
                  <w:r>
                    <w:rPr>
                      <w:rFonts w:hint="eastAsia" w:ascii="宋体" w:hAnsi="宋体" w:eastAsia="宋体" w:cs="宋体"/>
                      <w:spacing w:val="7"/>
                      <w:sz w:val="21"/>
                      <w:szCs w:val="21"/>
                    </w:rPr>
                    <w:t>冷库</w:t>
                  </w:r>
                </w:p>
              </w:tc>
              <w:tc>
                <w:tcPr>
                  <w:tcW w:w="1615" w:type="pct"/>
                  <w:shd w:val="clear" w:color="auto" w:fill="auto"/>
                  <w:noWrap w:val="0"/>
                  <w:vAlign w:val="center"/>
                </w:tcPr>
                <w:p w14:paraId="4E84F226">
                  <w:pPr>
                    <w:jc w:val="center"/>
                    <w:rPr>
                      <w:rFonts w:hint="eastAsia" w:ascii="宋体" w:hAnsi="宋体" w:eastAsia="宋体" w:cs="宋体"/>
                      <w:color w:val="auto"/>
                      <w:sz w:val="21"/>
                      <w:szCs w:val="21"/>
                      <w:lang w:val="en-US" w:eastAsia="zh-CN"/>
                    </w:rPr>
                  </w:pPr>
                  <w:r>
                    <w:rPr>
                      <w:rFonts w:hint="eastAsia" w:ascii="宋体" w:hAnsi="宋体" w:eastAsia="宋体" w:cs="宋体"/>
                      <w:sz w:val="21"/>
                      <w:szCs w:val="21"/>
                    </w:rPr>
                    <w:t>冷库位于屠宰区一栋一层砖混结构厂房内的东面，面积</w:t>
                  </w:r>
                  <w:r>
                    <w:rPr>
                      <w:rFonts w:hint="eastAsia" w:ascii="宋体" w:hAnsi="宋体" w:eastAsia="宋体" w:cs="宋体"/>
                      <w:spacing w:val="31"/>
                      <w:sz w:val="21"/>
                      <w:szCs w:val="21"/>
                    </w:rPr>
                    <w:t>为90m²</w:t>
                  </w:r>
                </w:p>
              </w:tc>
              <w:tc>
                <w:tcPr>
                  <w:tcW w:w="1614" w:type="pct"/>
                  <w:shd w:val="clear" w:color="auto" w:fill="auto"/>
                  <w:noWrap w:val="0"/>
                  <w:vAlign w:val="center"/>
                </w:tcPr>
                <w:p w14:paraId="778E6748">
                  <w:pPr>
                    <w:jc w:val="center"/>
                    <w:rPr>
                      <w:rFonts w:hint="eastAsia" w:ascii="宋体" w:hAnsi="宋体" w:eastAsia="宋体" w:cs="宋体"/>
                      <w:color w:val="auto"/>
                      <w:kern w:val="2"/>
                      <w:sz w:val="21"/>
                      <w:szCs w:val="21"/>
                      <w:lang w:val="en-US" w:eastAsia="zh-CN" w:bidi="ar-SA"/>
                    </w:rPr>
                  </w:pPr>
                  <w:r>
                    <w:rPr>
                      <w:rFonts w:hint="eastAsia" w:ascii="宋体" w:hAnsi="宋体" w:eastAsia="宋体" w:cs="宋体"/>
                      <w:sz w:val="21"/>
                      <w:szCs w:val="21"/>
                    </w:rPr>
                    <w:t>冷库位于屠宰区一栋一层砖混结构厂房内的东面，面积</w:t>
                  </w:r>
                  <w:r>
                    <w:rPr>
                      <w:rFonts w:hint="eastAsia" w:ascii="宋体" w:hAnsi="宋体" w:eastAsia="宋体" w:cs="宋体"/>
                      <w:spacing w:val="31"/>
                      <w:sz w:val="21"/>
                      <w:szCs w:val="21"/>
                    </w:rPr>
                    <w:t>为90m²</w:t>
                  </w:r>
                </w:p>
              </w:tc>
              <w:tc>
                <w:tcPr>
                  <w:tcW w:w="747" w:type="pct"/>
                  <w:noWrap w:val="0"/>
                  <w:vAlign w:val="center"/>
                </w:tcPr>
                <w:p w14:paraId="323A0AD1">
                  <w:pPr>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无变动</w:t>
                  </w:r>
                </w:p>
              </w:tc>
            </w:tr>
            <w:tr w14:paraId="783D70F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91" w:type="pct"/>
                  <w:shd w:val="clear" w:color="auto" w:fill="auto"/>
                  <w:noWrap w:val="0"/>
                  <w:vAlign w:val="center"/>
                </w:tcPr>
                <w:p w14:paraId="30C62C8B">
                  <w:pPr>
                    <w:spacing w:line="26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sz w:val="21"/>
                      <w:szCs w:val="21"/>
                      <w:lang w:eastAsia="zh-CN"/>
                    </w:rPr>
                    <w:t>辅助工程</w:t>
                  </w:r>
                </w:p>
              </w:tc>
              <w:tc>
                <w:tcPr>
                  <w:tcW w:w="630" w:type="pct"/>
                  <w:shd w:val="clear" w:color="auto" w:fill="auto"/>
                  <w:noWrap w:val="0"/>
                  <w:vAlign w:val="center"/>
                </w:tcPr>
                <w:p w14:paraId="7D237B9B">
                  <w:pPr>
                    <w:pStyle w:val="5"/>
                    <w:adjustRightInd/>
                    <w:spacing w:line="260" w:lineRule="exact"/>
                    <w:ind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spacing w:val="3"/>
                      <w:sz w:val="21"/>
                      <w:szCs w:val="21"/>
                    </w:rPr>
                    <w:t>宿舍和办公区</w:t>
                  </w:r>
                </w:p>
              </w:tc>
              <w:tc>
                <w:tcPr>
                  <w:tcW w:w="1615" w:type="pct"/>
                  <w:shd w:val="clear" w:color="auto" w:fill="auto"/>
                  <w:noWrap w:val="0"/>
                  <w:vAlign w:val="center"/>
                </w:tcPr>
                <w:p w14:paraId="3A5DAE1E">
                  <w:pPr>
                    <w:jc w:val="center"/>
                    <w:rPr>
                      <w:rFonts w:hint="eastAsia" w:ascii="宋体" w:hAnsi="宋体" w:eastAsia="宋体" w:cs="宋体"/>
                      <w:color w:val="auto"/>
                      <w:sz w:val="21"/>
                      <w:szCs w:val="21"/>
                      <w:lang w:val="en-US" w:eastAsia="zh-CN"/>
                    </w:rPr>
                  </w:pPr>
                  <w:r>
                    <w:rPr>
                      <w:rFonts w:hint="eastAsia" w:ascii="宋体" w:hAnsi="宋体" w:eastAsia="宋体" w:cs="宋体"/>
                      <w:spacing w:val="7"/>
                      <w:sz w:val="21"/>
                      <w:szCs w:val="21"/>
                    </w:rPr>
                    <w:t>一栋砖混结构的平房，建筑面积2011.</w:t>
                  </w:r>
                  <w:r>
                    <w:rPr>
                      <w:rFonts w:hint="eastAsia" w:ascii="宋体" w:hAnsi="宋体" w:eastAsia="宋体" w:cs="宋体"/>
                      <w:spacing w:val="6"/>
                      <w:sz w:val="21"/>
                      <w:szCs w:val="21"/>
                    </w:rPr>
                    <w:t>68m²</w:t>
                  </w:r>
                </w:p>
              </w:tc>
              <w:tc>
                <w:tcPr>
                  <w:tcW w:w="1614" w:type="pct"/>
                  <w:noWrap w:val="0"/>
                  <w:vAlign w:val="center"/>
                </w:tcPr>
                <w:p w14:paraId="1632DCAC">
                  <w:pPr>
                    <w:pStyle w:val="26"/>
                    <w:jc w:val="center"/>
                    <w:rPr>
                      <w:rFonts w:hint="eastAsia" w:ascii="宋体" w:hAnsi="宋体" w:eastAsia="宋体" w:cs="宋体"/>
                      <w:color w:val="auto"/>
                      <w:kern w:val="2"/>
                      <w:sz w:val="21"/>
                      <w:szCs w:val="21"/>
                      <w:lang w:val="en-US" w:eastAsia="zh-CN" w:bidi="ar-SA"/>
                    </w:rPr>
                  </w:pPr>
                  <w:r>
                    <w:rPr>
                      <w:rFonts w:hint="eastAsia" w:ascii="宋体" w:hAnsi="宋体" w:eastAsia="宋体" w:cs="宋体"/>
                      <w:spacing w:val="7"/>
                      <w:sz w:val="21"/>
                      <w:szCs w:val="21"/>
                    </w:rPr>
                    <w:t>一栋砖混结构的平房，建筑面积2011.</w:t>
                  </w:r>
                  <w:r>
                    <w:rPr>
                      <w:rFonts w:hint="eastAsia" w:ascii="宋体" w:hAnsi="宋体" w:eastAsia="宋体" w:cs="宋体"/>
                      <w:spacing w:val="6"/>
                      <w:sz w:val="21"/>
                      <w:szCs w:val="21"/>
                    </w:rPr>
                    <w:t>68m²</w:t>
                  </w:r>
                </w:p>
              </w:tc>
              <w:tc>
                <w:tcPr>
                  <w:tcW w:w="747" w:type="pct"/>
                  <w:noWrap w:val="0"/>
                  <w:vAlign w:val="center"/>
                </w:tcPr>
                <w:p w14:paraId="793BD299">
                  <w:pPr>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无变动</w:t>
                  </w:r>
                </w:p>
              </w:tc>
            </w:tr>
            <w:tr w14:paraId="1F271BA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91" w:type="pct"/>
                  <w:vMerge w:val="restart"/>
                  <w:noWrap w:val="0"/>
                  <w:vAlign w:val="center"/>
                </w:tcPr>
                <w:p w14:paraId="7A739A64">
                  <w:pPr>
                    <w:pStyle w:val="24"/>
                    <w:adjustRightInd/>
                    <w:snapToGrid/>
                    <w:spacing w:line="240" w:lineRule="auto"/>
                    <w:ind w:left="0" w:leftChars="0" w:right="0" w:rightChars="0"/>
                    <w:rPr>
                      <w:rFonts w:hint="eastAsia" w:ascii="宋体" w:hAnsi="宋体" w:eastAsia="宋体" w:cs="宋体"/>
                      <w:snapToGrid w:val="0"/>
                      <w:color w:val="auto"/>
                      <w:sz w:val="21"/>
                      <w:szCs w:val="21"/>
                    </w:rPr>
                  </w:pPr>
                  <w:r>
                    <w:rPr>
                      <w:rFonts w:hint="eastAsia" w:ascii="宋体" w:hAnsi="宋体" w:eastAsia="宋体" w:cs="宋体"/>
                      <w:snapToGrid w:val="0"/>
                      <w:color w:val="auto"/>
                      <w:sz w:val="21"/>
                      <w:szCs w:val="21"/>
                    </w:rPr>
                    <w:t>公用</w:t>
                  </w:r>
                </w:p>
                <w:p w14:paraId="5E426676">
                  <w:pPr>
                    <w:pStyle w:val="24"/>
                    <w:adjustRightInd/>
                    <w:snapToGrid/>
                    <w:spacing w:line="240" w:lineRule="auto"/>
                    <w:ind w:left="0" w:leftChars="0" w:right="0" w:rightChars="0"/>
                    <w:rPr>
                      <w:rFonts w:hint="eastAsia" w:ascii="宋体" w:hAnsi="宋体" w:eastAsia="宋体" w:cs="宋体"/>
                      <w:snapToGrid w:val="0"/>
                      <w:color w:val="auto"/>
                      <w:sz w:val="21"/>
                      <w:szCs w:val="21"/>
                    </w:rPr>
                  </w:pPr>
                  <w:r>
                    <w:rPr>
                      <w:rFonts w:hint="eastAsia" w:ascii="宋体" w:hAnsi="宋体" w:eastAsia="宋体" w:cs="宋体"/>
                      <w:snapToGrid w:val="0"/>
                      <w:color w:val="auto"/>
                      <w:sz w:val="21"/>
                      <w:szCs w:val="21"/>
                    </w:rPr>
                    <w:t>工程</w:t>
                  </w:r>
                </w:p>
              </w:tc>
              <w:tc>
                <w:tcPr>
                  <w:tcW w:w="630" w:type="pct"/>
                  <w:noWrap w:val="0"/>
                  <w:vAlign w:val="center"/>
                </w:tcPr>
                <w:p w14:paraId="72CA61D6">
                  <w:pPr>
                    <w:pStyle w:val="20"/>
                    <w:spacing w:line="240" w:lineRule="auto"/>
                    <w:ind w:left="0" w:leftChars="0"/>
                    <w:jc w:val="center"/>
                    <w:rPr>
                      <w:rFonts w:hint="eastAsia" w:ascii="宋体" w:hAnsi="宋体" w:eastAsia="宋体" w:cs="宋体"/>
                      <w:color w:val="auto"/>
                      <w:sz w:val="21"/>
                      <w:szCs w:val="21"/>
                    </w:rPr>
                  </w:pPr>
                  <w:r>
                    <w:rPr>
                      <w:rFonts w:hint="eastAsia" w:ascii="宋体" w:hAnsi="宋体" w:eastAsia="宋体" w:cs="宋体"/>
                      <w:spacing w:val="-3"/>
                      <w:sz w:val="21"/>
                      <w:szCs w:val="21"/>
                    </w:rPr>
                    <w:t>供水</w:t>
                  </w:r>
                </w:p>
              </w:tc>
              <w:tc>
                <w:tcPr>
                  <w:tcW w:w="1615" w:type="pct"/>
                  <w:shd w:val="clear" w:color="auto" w:fill="auto"/>
                  <w:noWrap w:val="0"/>
                  <w:vAlign w:val="center"/>
                </w:tcPr>
                <w:p w14:paraId="6BCFC1B0">
                  <w:pPr>
                    <w:pStyle w:val="20"/>
                    <w:spacing w:line="240" w:lineRule="auto"/>
                    <w:ind w:left="0" w:leftChars="0"/>
                    <w:jc w:val="center"/>
                    <w:rPr>
                      <w:rFonts w:hint="eastAsia" w:ascii="宋体" w:hAnsi="宋体" w:eastAsia="宋体" w:cs="宋体"/>
                      <w:color w:val="auto"/>
                      <w:sz w:val="21"/>
                      <w:szCs w:val="21"/>
                      <w:lang w:val="en-US" w:eastAsia="zh-CN"/>
                    </w:rPr>
                  </w:pPr>
                  <w:r>
                    <w:rPr>
                      <w:rFonts w:hint="eastAsia" w:ascii="宋体" w:hAnsi="宋体" w:eastAsia="宋体" w:cs="宋体"/>
                      <w:spacing w:val="1"/>
                      <w:sz w:val="21"/>
                      <w:szCs w:val="21"/>
                    </w:rPr>
                    <w:t>市政供水管网供给</w:t>
                  </w:r>
                </w:p>
              </w:tc>
              <w:tc>
                <w:tcPr>
                  <w:tcW w:w="1614" w:type="pct"/>
                  <w:shd w:val="clear" w:color="auto" w:fill="auto"/>
                  <w:noWrap w:val="0"/>
                  <w:vAlign w:val="center"/>
                </w:tcPr>
                <w:p w14:paraId="032A38C3">
                  <w:pPr>
                    <w:jc w:val="center"/>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因市政供水无法输送至企业，本企业根据企业用汗水规划与当地水文地质条件，企业在厂区内指定位置开凿了水源井，该取水井已办理相关手续。</w:t>
                  </w:r>
                </w:p>
              </w:tc>
              <w:tc>
                <w:tcPr>
                  <w:tcW w:w="747" w:type="pct"/>
                  <w:noWrap w:val="0"/>
                  <w:vAlign w:val="center"/>
                </w:tcPr>
                <w:p w14:paraId="1EE0F7AF">
                  <w:pPr>
                    <w:jc w:val="center"/>
                    <w:rPr>
                      <w:rFonts w:hint="default" w:ascii="宋体" w:hAnsi="宋体" w:eastAsia="宋体" w:cs="宋体"/>
                      <w:color w:val="auto"/>
                      <w:kern w:val="0"/>
                      <w:sz w:val="21"/>
                      <w:szCs w:val="21"/>
                      <w:lang w:val="en-US"/>
                    </w:rPr>
                  </w:pPr>
                  <w:r>
                    <w:rPr>
                      <w:rFonts w:hint="eastAsia" w:ascii="宋体" w:hAnsi="宋体" w:eastAsia="宋体" w:cs="宋体"/>
                      <w:color w:val="auto"/>
                      <w:kern w:val="0"/>
                      <w:sz w:val="21"/>
                      <w:szCs w:val="21"/>
                      <w:lang w:val="en-US" w:eastAsia="zh-CN"/>
                    </w:rPr>
                    <w:t>由市政供水变成厂区内取水井取水。</w:t>
                  </w:r>
                </w:p>
              </w:tc>
            </w:tr>
            <w:tr w14:paraId="5A8E55A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91" w:type="pct"/>
                  <w:vMerge w:val="continue"/>
                  <w:noWrap w:val="0"/>
                  <w:vAlign w:val="center"/>
                </w:tcPr>
                <w:p w14:paraId="10D24067">
                  <w:pPr>
                    <w:pStyle w:val="24"/>
                    <w:adjustRightInd/>
                    <w:snapToGrid/>
                    <w:spacing w:line="240" w:lineRule="auto"/>
                    <w:ind w:left="0" w:leftChars="0" w:right="0" w:rightChars="0"/>
                    <w:rPr>
                      <w:rFonts w:hint="eastAsia" w:ascii="宋体" w:hAnsi="宋体" w:eastAsia="宋体" w:cs="宋体"/>
                      <w:snapToGrid w:val="0"/>
                      <w:color w:val="auto"/>
                      <w:sz w:val="21"/>
                      <w:szCs w:val="21"/>
                    </w:rPr>
                  </w:pPr>
                </w:p>
              </w:tc>
              <w:tc>
                <w:tcPr>
                  <w:tcW w:w="630" w:type="pct"/>
                  <w:noWrap w:val="0"/>
                  <w:vAlign w:val="center"/>
                </w:tcPr>
                <w:p w14:paraId="6E4B96AD">
                  <w:pPr>
                    <w:spacing w:line="240" w:lineRule="auto"/>
                    <w:ind w:left="0"/>
                    <w:jc w:val="center"/>
                    <w:rPr>
                      <w:rFonts w:hint="eastAsia" w:ascii="宋体" w:hAnsi="宋体" w:eastAsia="宋体" w:cs="宋体"/>
                      <w:sz w:val="21"/>
                      <w:szCs w:val="21"/>
                    </w:rPr>
                  </w:pPr>
                </w:p>
                <w:p w14:paraId="6B265719">
                  <w:pPr>
                    <w:pStyle w:val="20"/>
                    <w:spacing w:line="240" w:lineRule="auto"/>
                    <w:ind w:left="0" w:leftChars="0"/>
                    <w:jc w:val="center"/>
                    <w:rPr>
                      <w:rFonts w:hint="eastAsia" w:ascii="宋体" w:hAnsi="宋体" w:eastAsia="宋体" w:cs="宋体"/>
                      <w:color w:val="auto"/>
                      <w:sz w:val="21"/>
                      <w:szCs w:val="21"/>
                    </w:rPr>
                  </w:pPr>
                  <w:r>
                    <w:rPr>
                      <w:rFonts w:hint="eastAsia" w:ascii="宋体" w:hAnsi="宋体" w:eastAsia="宋体" w:cs="宋体"/>
                      <w:spacing w:val="-3"/>
                      <w:sz w:val="21"/>
                      <w:szCs w:val="21"/>
                    </w:rPr>
                    <w:t>排水</w:t>
                  </w:r>
                </w:p>
              </w:tc>
              <w:tc>
                <w:tcPr>
                  <w:tcW w:w="1615" w:type="pct"/>
                  <w:shd w:val="clear" w:color="auto" w:fill="auto"/>
                  <w:noWrap w:val="0"/>
                  <w:vAlign w:val="center"/>
                </w:tcPr>
                <w:p w14:paraId="3EE75E80">
                  <w:pPr>
                    <w:pStyle w:val="20"/>
                    <w:spacing w:line="240" w:lineRule="auto"/>
                    <w:ind w:left="0"/>
                    <w:jc w:val="center"/>
                    <w:rPr>
                      <w:rFonts w:hint="eastAsia" w:ascii="宋体" w:hAnsi="宋体" w:eastAsia="宋体" w:cs="宋体"/>
                      <w:color w:val="auto"/>
                      <w:sz w:val="21"/>
                      <w:szCs w:val="21"/>
                      <w:lang w:val="en-US" w:eastAsia="zh-CN"/>
                    </w:rPr>
                  </w:pPr>
                  <w:r>
                    <w:rPr>
                      <w:rFonts w:hint="eastAsia" w:ascii="宋体" w:hAnsi="宋体" w:eastAsia="宋体" w:cs="宋体"/>
                      <w:sz w:val="21"/>
                      <w:szCs w:val="21"/>
                    </w:rPr>
                    <w:t>屠宰废水和生活废水经厂区自建的污水处理设施处理后</w:t>
                  </w:r>
                  <w:r>
                    <w:rPr>
                      <w:rFonts w:hint="eastAsia" w:ascii="宋体" w:hAnsi="宋体" w:eastAsia="宋体" w:cs="宋体"/>
                      <w:spacing w:val="1"/>
                      <w:sz w:val="21"/>
                      <w:szCs w:val="21"/>
                    </w:rPr>
                    <w:t>达到《肉类加工工业水污染物排放标准》(</w:t>
                  </w:r>
                  <w:r>
                    <w:rPr>
                      <w:rFonts w:hint="eastAsia" w:ascii="宋体" w:hAnsi="宋体" w:eastAsia="宋体" w:cs="宋体"/>
                      <w:sz w:val="21"/>
                      <w:szCs w:val="21"/>
                    </w:rPr>
                    <w:t>GB</w:t>
                  </w:r>
                  <w:r>
                    <w:rPr>
                      <w:rFonts w:hint="eastAsia" w:ascii="宋体" w:hAnsi="宋体" w:eastAsia="宋体" w:cs="宋体"/>
                      <w:spacing w:val="1"/>
                      <w:sz w:val="21"/>
                      <w:szCs w:val="21"/>
                    </w:rPr>
                    <w:t>13457-92)</w:t>
                  </w:r>
                  <w:r>
                    <w:rPr>
                      <w:rFonts w:hint="eastAsia" w:ascii="宋体" w:hAnsi="宋体" w:eastAsia="宋体" w:cs="宋体"/>
                      <w:spacing w:val="-1"/>
                      <w:sz w:val="21"/>
                      <w:szCs w:val="21"/>
                    </w:rPr>
                    <w:t>表3一级标准，定期拉运至伽师县纺织服装产业园区污</w:t>
                  </w:r>
                  <w:r>
                    <w:rPr>
                      <w:rFonts w:hint="eastAsia" w:ascii="宋体" w:hAnsi="宋体" w:eastAsia="宋体" w:cs="宋体"/>
                      <w:spacing w:val="3"/>
                      <w:sz w:val="21"/>
                      <w:szCs w:val="21"/>
                    </w:rPr>
                    <w:t>水处理厂</w:t>
                  </w:r>
                </w:p>
              </w:tc>
              <w:tc>
                <w:tcPr>
                  <w:tcW w:w="1614" w:type="pct"/>
                  <w:shd w:val="clear" w:color="auto" w:fill="auto"/>
                  <w:noWrap w:val="0"/>
                  <w:vAlign w:val="center"/>
                </w:tcPr>
                <w:p w14:paraId="7D283543">
                  <w:pPr>
                    <w:jc w:val="center"/>
                    <w:rPr>
                      <w:rFonts w:hint="eastAsia" w:ascii="宋体" w:hAnsi="宋体" w:eastAsia="宋体" w:cs="宋体"/>
                      <w:color w:val="auto"/>
                      <w:kern w:val="2"/>
                      <w:sz w:val="21"/>
                      <w:szCs w:val="21"/>
                      <w:lang w:val="en-US" w:eastAsia="zh-CN" w:bidi="ar-SA"/>
                    </w:rPr>
                  </w:pPr>
                  <w:r>
                    <w:rPr>
                      <w:rFonts w:hint="eastAsia" w:ascii="宋体" w:hAnsi="宋体" w:eastAsia="宋体" w:cs="宋体"/>
                      <w:sz w:val="21"/>
                      <w:szCs w:val="21"/>
                    </w:rPr>
                    <w:t>屠宰废水和生活废水经厂区自建的污水处理设施处理后</w:t>
                  </w:r>
                  <w:r>
                    <w:rPr>
                      <w:rFonts w:hint="eastAsia" w:ascii="宋体" w:hAnsi="宋体" w:eastAsia="宋体" w:cs="宋体"/>
                      <w:spacing w:val="1"/>
                      <w:sz w:val="21"/>
                      <w:szCs w:val="21"/>
                    </w:rPr>
                    <w:t>达到《肉类加工工业水污染物排放标准》(</w:t>
                  </w:r>
                  <w:r>
                    <w:rPr>
                      <w:rFonts w:hint="eastAsia" w:ascii="宋体" w:hAnsi="宋体" w:eastAsia="宋体" w:cs="宋体"/>
                      <w:sz w:val="21"/>
                      <w:szCs w:val="21"/>
                    </w:rPr>
                    <w:t>GB</w:t>
                  </w:r>
                  <w:r>
                    <w:rPr>
                      <w:rFonts w:hint="eastAsia" w:ascii="宋体" w:hAnsi="宋体" w:eastAsia="宋体" w:cs="宋体"/>
                      <w:spacing w:val="1"/>
                      <w:sz w:val="21"/>
                      <w:szCs w:val="21"/>
                    </w:rPr>
                    <w:t>13457-92)</w:t>
                  </w:r>
                  <w:r>
                    <w:rPr>
                      <w:rFonts w:hint="eastAsia" w:ascii="宋体" w:hAnsi="宋体" w:eastAsia="宋体" w:cs="宋体"/>
                      <w:spacing w:val="-1"/>
                      <w:sz w:val="21"/>
                      <w:szCs w:val="21"/>
                    </w:rPr>
                    <w:t>表3一级标准，定期拉运至伽师县纺织服装产业园区污</w:t>
                  </w:r>
                  <w:r>
                    <w:rPr>
                      <w:rFonts w:hint="eastAsia" w:ascii="宋体" w:hAnsi="宋体" w:eastAsia="宋体" w:cs="宋体"/>
                      <w:spacing w:val="3"/>
                      <w:sz w:val="21"/>
                      <w:szCs w:val="21"/>
                    </w:rPr>
                    <w:t>水处理厂</w:t>
                  </w:r>
                </w:p>
              </w:tc>
              <w:tc>
                <w:tcPr>
                  <w:tcW w:w="747" w:type="pct"/>
                  <w:noWrap w:val="0"/>
                  <w:vAlign w:val="center"/>
                </w:tcPr>
                <w:p w14:paraId="6D8DDC98">
                  <w:pPr>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val="en-US" w:eastAsia="zh-CN"/>
                    </w:rPr>
                    <w:t>无变动</w:t>
                  </w:r>
                </w:p>
              </w:tc>
            </w:tr>
            <w:tr w14:paraId="74D526A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91" w:type="pct"/>
                  <w:vMerge w:val="continue"/>
                  <w:noWrap w:val="0"/>
                  <w:vAlign w:val="center"/>
                </w:tcPr>
                <w:p w14:paraId="0EF2B230">
                  <w:pPr>
                    <w:pStyle w:val="24"/>
                    <w:adjustRightInd/>
                    <w:snapToGrid/>
                    <w:spacing w:line="240" w:lineRule="auto"/>
                    <w:ind w:left="0" w:leftChars="0" w:right="0" w:rightChars="0"/>
                    <w:rPr>
                      <w:rFonts w:hint="eastAsia" w:ascii="宋体" w:hAnsi="宋体" w:eastAsia="宋体" w:cs="宋体"/>
                      <w:snapToGrid w:val="0"/>
                      <w:color w:val="auto"/>
                      <w:sz w:val="21"/>
                      <w:szCs w:val="21"/>
                    </w:rPr>
                  </w:pPr>
                </w:p>
              </w:tc>
              <w:tc>
                <w:tcPr>
                  <w:tcW w:w="630" w:type="pct"/>
                  <w:noWrap w:val="0"/>
                  <w:vAlign w:val="center"/>
                </w:tcPr>
                <w:p w14:paraId="27D3E91D">
                  <w:pPr>
                    <w:pStyle w:val="20"/>
                    <w:spacing w:line="240" w:lineRule="auto"/>
                    <w:ind w:left="0" w:leftChars="0"/>
                    <w:jc w:val="center"/>
                    <w:rPr>
                      <w:rFonts w:hint="eastAsia" w:ascii="宋体" w:hAnsi="宋体" w:eastAsia="宋体" w:cs="宋体"/>
                      <w:color w:val="auto"/>
                      <w:sz w:val="21"/>
                      <w:szCs w:val="21"/>
                    </w:rPr>
                  </w:pPr>
                  <w:r>
                    <w:rPr>
                      <w:rFonts w:hint="eastAsia" w:ascii="宋体" w:hAnsi="宋体" w:eastAsia="宋体" w:cs="宋体"/>
                      <w:spacing w:val="6"/>
                      <w:sz w:val="21"/>
                      <w:szCs w:val="21"/>
                    </w:rPr>
                    <w:t>供电</w:t>
                  </w:r>
                </w:p>
              </w:tc>
              <w:tc>
                <w:tcPr>
                  <w:tcW w:w="1615" w:type="pct"/>
                  <w:shd w:val="clear" w:color="auto" w:fill="auto"/>
                  <w:noWrap w:val="0"/>
                  <w:vAlign w:val="center"/>
                </w:tcPr>
                <w:p w14:paraId="43090A2D">
                  <w:pPr>
                    <w:pStyle w:val="20"/>
                    <w:spacing w:line="240" w:lineRule="auto"/>
                    <w:ind w:left="0" w:leftChars="0"/>
                    <w:jc w:val="center"/>
                    <w:rPr>
                      <w:rFonts w:hint="eastAsia" w:ascii="宋体" w:hAnsi="宋体" w:eastAsia="宋体" w:cs="宋体"/>
                      <w:color w:val="auto"/>
                      <w:sz w:val="21"/>
                      <w:szCs w:val="21"/>
                      <w:lang w:val="en-US" w:eastAsia="zh-CN"/>
                    </w:rPr>
                  </w:pPr>
                  <w:r>
                    <w:rPr>
                      <w:rFonts w:hint="eastAsia" w:ascii="宋体" w:hAnsi="宋体" w:eastAsia="宋体" w:cs="宋体"/>
                      <w:spacing w:val="1"/>
                      <w:sz w:val="21"/>
                      <w:szCs w:val="21"/>
                    </w:rPr>
                    <w:t>市政供电所供给</w:t>
                  </w:r>
                </w:p>
              </w:tc>
              <w:tc>
                <w:tcPr>
                  <w:tcW w:w="1614" w:type="pct"/>
                  <w:shd w:val="clear" w:color="auto" w:fill="auto"/>
                  <w:noWrap w:val="0"/>
                  <w:vAlign w:val="center"/>
                </w:tcPr>
                <w:p w14:paraId="78179981">
                  <w:pPr>
                    <w:jc w:val="center"/>
                    <w:rPr>
                      <w:rFonts w:hint="eastAsia" w:ascii="宋体" w:hAnsi="宋体" w:eastAsia="宋体" w:cs="宋体"/>
                      <w:color w:val="auto"/>
                      <w:kern w:val="2"/>
                      <w:sz w:val="21"/>
                      <w:szCs w:val="21"/>
                      <w:lang w:val="en-US" w:eastAsia="zh-CN" w:bidi="ar-SA"/>
                    </w:rPr>
                  </w:pPr>
                  <w:r>
                    <w:rPr>
                      <w:rFonts w:hint="eastAsia" w:ascii="宋体" w:hAnsi="宋体" w:eastAsia="宋体" w:cs="宋体"/>
                      <w:spacing w:val="1"/>
                      <w:sz w:val="21"/>
                      <w:szCs w:val="21"/>
                    </w:rPr>
                    <w:t>市政供电所供给</w:t>
                  </w:r>
                </w:p>
              </w:tc>
              <w:tc>
                <w:tcPr>
                  <w:tcW w:w="747" w:type="pct"/>
                  <w:noWrap w:val="0"/>
                  <w:vAlign w:val="center"/>
                </w:tcPr>
                <w:p w14:paraId="3D1AA1D2">
                  <w:pPr>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val="en-US" w:eastAsia="zh-CN"/>
                    </w:rPr>
                    <w:t>无变动</w:t>
                  </w:r>
                </w:p>
              </w:tc>
            </w:tr>
            <w:tr w14:paraId="1C001A6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91" w:type="pct"/>
                  <w:vMerge w:val="continue"/>
                  <w:noWrap w:val="0"/>
                  <w:vAlign w:val="center"/>
                </w:tcPr>
                <w:p w14:paraId="2F68746D">
                  <w:pPr>
                    <w:pStyle w:val="24"/>
                    <w:adjustRightInd/>
                    <w:snapToGrid/>
                    <w:spacing w:line="240" w:lineRule="auto"/>
                    <w:ind w:left="0" w:leftChars="0" w:right="0" w:rightChars="0"/>
                    <w:rPr>
                      <w:rFonts w:hint="eastAsia" w:ascii="宋体" w:hAnsi="宋体" w:eastAsia="宋体" w:cs="宋体"/>
                      <w:snapToGrid w:val="0"/>
                      <w:color w:val="auto"/>
                      <w:sz w:val="21"/>
                      <w:szCs w:val="21"/>
                    </w:rPr>
                  </w:pPr>
                </w:p>
              </w:tc>
              <w:tc>
                <w:tcPr>
                  <w:tcW w:w="630" w:type="pct"/>
                  <w:noWrap w:val="0"/>
                  <w:vAlign w:val="center"/>
                </w:tcPr>
                <w:p w14:paraId="0483BF92">
                  <w:pPr>
                    <w:pStyle w:val="20"/>
                    <w:spacing w:line="240" w:lineRule="auto"/>
                    <w:ind w:left="0" w:leftChars="0"/>
                    <w:jc w:val="center"/>
                    <w:rPr>
                      <w:rFonts w:hint="eastAsia" w:ascii="宋体" w:hAnsi="宋体" w:eastAsia="宋体" w:cs="宋体"/>
                      <w:color w:val="auto"/>
                      <w:sz w:val="21"/>
                      <w:szCs w:val="21"/>
                      <w:lang w:val="en-US" w:eastAsia="zh-CN"/>
                    </w:rPr>
                  </w:pPr>
                  <w:r>
                    <w:rPr>
                      <w:rFonts w:hint="eastAsia" w:ascii="宋体" w:hAnsi="宋体" w:eastAsia="宋体" w:cs="宋体"/>
                      <w:spacing w:val="-3"/>
                      <w:sz w:val="21"/>
                      <w:szCs w:val="21"/>
                    </w:rPr>
                    <w:t>供暖</w:t>
                  </w:r>
                </w:p>
              </w:tc>
              <w:tc>
                <w:tcPr>
                  <w:tcW w:w="1615" w:type="pct"/>
                  <w:shd w:val="clear" w:color="auto" w:fill="auto"/>
                  <w:noWrap w:val="0"/>
                  <w:vAlign w:val="center"/>
                </w:tcPr>
                <w:p w14:paraId="64D956A4">
                  <w:pPr>
                    <w:pStyle w:val="20"/>
                    <w:spacing w:line="240" w:lineRule="auto"/>
                    <w:ind w:left="0"/>
                    <w:jc w:val="center"/>
                    <w:rPr>
                      <w:rFonts w:hint="eastAsia" w:ascii="宋体" w:hAnsi="宋体" w:eastAsia="宋体" w:cs="宋体"/>
                      <w:color w:val="auto"/>
                      <w:sz w:val="21"/>
                      <w:szCs w:val="21"/>
                      <w:lang w:val="en-US" w:eastAsia="zh-CN"/>
                    </w:rPr>
                  </w:pPr>
                  <w:r>
                    <w:rPr>
                      <w:rFonts w:hint="eastAsia" w:ascii="宋体" w:hAnsi="宋体" w:eastAsia="宋体" w:cs="宋体"/>
                      <w:sz w:val="21"/>
                      <w:szCs w:val="21"/>
                    </w:rPr>
                    <w:t>冬季采用电采暖的方式对项目的宿舍和办公区进行供暖。</w:t>
                  </w:r>
                </w:p>
              </w:tc>
              <w:tc>
                <w:tcPr>
                  <w:tcW w:w="1614" w:type="pct"/>
                  <w:shd w:val="clear" w:color="auto" w:fill="auto"/>
                  <w:noWrap w:val="0"/>
                  <w:vAlign w:val="center"/>
                </w:tcPr>
                <w:p w14:paraId="67EF37BF">
                  <w:pPr>
                    <w:jc w:val="center"/>
                    <w:rPr>
                      <w:rFonts w:hint="eastAsia" w:ascii="宋体" w:hAnsi="宋体" w:eastAsia="宋体" w:cs="宋体"/>
                      <w:color w:val="auto"/>
                      <w:kern w:val="2"/>
                      <w:sz w:val="21"/>
                      <w:szCs w:val="21"/>
                      <w:lang w:val="en-US" w:eastAsia="zh-CN" w:bidi="ar-SA"/>
                    </w:rPr>
                  </w:pPr>
                  <w:r>
                    <w:rPr>
                      <w:rFonts w:hint="eastAsia" w:ascii="宋体" w:hAnsi="宋体" w:eastAsia="宋体" w:cs="宋体"/>
                      <w:sz w:val="21"/>
                      <w:szCs w:val="21"/>
                    </w:rPr>
                    <w:t>冬季采用电采暖的方式对项目的宿舍和办公区进行供暖。</w:t>
                  </w:r>
                </w:p>
              </w:tc>
              <w:tc>
                <w:tcPr>
                  <w:tcW w:w="747" w:type="pct"/>
                  <w:noWrap w:val="0"/>
                  <w:vAlign w:val="center"/>
                </w:tcPr>
                <w:p w14:paraId="5AFB022A">
                  <w:pPr>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无变动</w:t>
                  </w:r>
                </w:p>
              </w:tc>
            </w:tr>
            <w:tr w14:paraId="62B4FF9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20" w:hRule="atLeast"/>
                <w:jc w:val="center"/>
              </w:trPr>
              <w:tc>
                <w:tcPr>
                  <w:tcW w:w="391" w:type="pct"/>
                  <w:vMerge w:val="restart"/>
                  <w:noWrap w:val="0"/>
                  <w:vAlign w:val="center"/>
                </w:tcPr>
                <w:p w14:paraId="3E2C1E55">
                  <w:pPr>
                    <w:pStyle w:val="24"/>
                    <w:adjustRightInd/>
                    <w:snapToGrid/>
                    <w:spacing w:line="240" w:lineRule="auto"/>
                    <w:ind w:left="0" w:leftChars="0" w:right="0" w:rightChars="0"/>
                    <w:rPr>
                      <w:rFonts w:hint="eastAsia" w:ascii="宋体" w:hAnsi="宋体" w:eastAsia="宋体" w:cs="宋体"/>
                      <w:snapToGrid w:val="0"/>
                      <w:color w:val="auto"/>
                      <w:sz w:val="21"/>
                      <w:szCs w:val="21"/>
                    </w:rPr>
                  </w:pPr>
                  <w:r>
                    <w:rPr>
                      <w:rFonts w:hint="eastAsia" w:ascii="宋体" w:hAnsi="宋体" w:eastAsia="宋体" w:cs="宋体"/>
                      <w:snapToGrid w:val="0"/>
                      <w:color w:val="auto"/>
                      <w:sz w:val="21"/>
                      <w:szCs w:val="21"/>
                    </w:rPr>
                    <w:t>环保</w:t>
                  </w:r>
                </w:p>
                <w:p w14:paraId="30445A97">
                  <w:pPr>
                    <w:pStyle w:val="24"/>
                    <w:adjustRightInd/>
                    <w:snapToGrid/>
                    <w:spacing w:line="240" w:lineRule="auto"/>
                    <w:ind w:left="0" w:leftChars="0" w:right="0" w:rightChars="0"/>
                    <w:rPr>
                      <w:rFonts w:hint="eastAsia" w:ascii="宋体" w:hAnsi="宋体" w:eastAsia="宋体" w:cs="宋体"/>
                      <w:snapToGrid w:val="0"/>
                      <w:color w:val="auto"/>
                      <w:sz w:val="21"/>
                      <w:szCs w:val="21"/>
                    </w:rPr>
                  </w:pPr>
                  <w:r>
                    <w:rPr>
                      <w:rFonts w:hint="eastAsia" w:ascii="宋体" w:hAnsi="宋体" w:eastAsia="宋体" w:cs="宋体"/>
                      <w:snapToGrid w:val="0"/>
                      <w:color w:val="auto"/>
                      <w:sz w:val="21"/>
                      <w:szCs w:val="21"/>
                    </w:rPr>
                    <w:t>工程</w:t>
                  </w:r>
                </w:p>
              </w:tc>
              <w:tc>
                <w:tcPr>
                  <w:tcW w:w="630" w:type="pct"/>
                  <w:shd w:val="clear" w:color="auto" w:fill="auto"/>
                  <w:noWrap w:val="0"/>
                  <w:vAlign w:val="center"/>
                </w:tcPr>
                <w:p w14:paraId="42E6F5F1">
                  <w:pPr>
                    <w:spacing w:line="240" w:lineRule="auto"/>
                    <w:ind w:left="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sz w:val="21"/>
                      <w:szCs w:val="21"/>
                    </w:rPr>
                    <w:t>废气治理</w:t>
                  </w:r>
                </w:p>
              </w:tc>
              <w:tc>
                <w:tcPr>
                  <w:tcW w:w="1615" w:type="pct"/>
                  <w:shd w:val="clear" w:color="auto" w:fill="auto"/>
                  <w:noWrap w:val="0"/>
                  <w:vAlign w:val="center"/>
                </w:tcPr>
                <w:p w14:paraId="7769A0BA">
                  <w:pPr>
                    <w:pStyle w:val="20"/>
                    <w:spacing w:line="240" w:lineRule="auto"/>
                    <w:ind w:left="0"/>
                    <w:jc w:val="center"/>
                    <w:rPr>
                      <w:rFonts w:hint="eastAsia" w:ascii="宋体" w:hAnsi="宋体" w:eastAsia="宋体" w:cs="宋体"/>
                      <w:sz w:val="21"/>
                      <w:szCs w:val="21"/>
                    </w:rPr>
                  </w:pPr>
                  <w:r>
                    <w:rPr>
                      <w:rFonts w:hint="eastAsia" w:ascii="宋体" w:hAnsi="宋体" w:eastAsia="宋体" w:cs="宋体"/>
                      <w:spacing w:val="-1"/>
                      <w:sz w:val="21"/>
                      <w:szCs w:val="21"/>
                    </w:rPr>
                    <w:t>加强绿化；待宰间及时清运粪便，屠宰车间对设备和地</w:t>
                  </w:r>
                </w:p>
                <w:p w14:paraId="04E57AEA">
                  <w:pPr>
                    <w:pStyle w:val="20"/>
                    <w:spacing w:line="240" w:lineRule="auto"/>
                    <w:ind w:left="0"/>
                    <w:jc w:val="center"/>
                    <w:rPr>
                      <w:rFonts w:hint="eastAsia" w:ascii="宋体" w:hAnsi="宋体" w:eastAsia="宋体" w:cs="宋体"/>
                      <w:color w:val="auto"/>
                      <w:sz w:val="21"/>
                      <w:szCs w:val="21"/>
                      <w:lang w:val="en-US" w:eastAsia="zh-CN"/>
                    </w:rPr>
                  </w:pPr>
                  <w:r>
                    <w:rPr>
                      <w:rFonts w:hint="eastAsia" w:ascii="宋体" w:hAnsi="宋体" w:eastAsia="宋体" w:cs="宋体"/>
                      <w:sz w:val="21"/>
                      <w:szCs w:val="21"/>
                    </w:rPr>
                    <w:t>面进行冲洗和消毒；待宰间和屠宰车间定期喷洒生物除臭剂；污水处理站周围种植绿化带。</w:t>
                  </w:r>
                </w:p>
              </w:tc>
              <w:tc>
                <w:tcPr>
                  <w:tcW w:w="1614" w:type="pct"/>
                  <w:shd w:val="clear" w:color="auto" w:fill="auto"/>
                  <w:noWrap w:val="0"/>
                  <w:vAlign w:val="center"/>
                </w:tcPr>
                <w:p w14:paraId="380E6585">
                  <w:pPr>
                    <w:pStyle w:val="20"/>
                    <w:spacing w:line="240" w:lineRule="auto"/>
                    <w:ind w:lef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spacing w:val="-1"/>
                      <w:sz w:val="21"/>
                      <w:szCs w:val="21"/>
                    </w:rPr>
                    <w:t>废气项目待宰车间、屠宰车间、固废储存区产生的恶臭 经 “UV光解除臭+活性炭吸附一体机”工艺处理后，通过15m 高排气筒排放；污水处理设施(格栅井、调节池、污泥脱水池)产 生的恶臭，采用加盖封闭式设计，通过风机抽吸作用，将恶臭气 体收集后引至活性炭吸附除臭设备处理，通过15m 高排气筒排放；</w:t>
                  </w:r>
                </w:p>
              </w:tc>
              <w:tc>
                <w:tcPr>
                  <w:tcW w:w="747" w:type="pct"/>
                  <w:noWrap w:val="0"/>
                  <w:vAlign w:val="center"/>
                </w:tcPr>
                <w:p w14:paraId="6F0645C9">
                  <w:pPr>
                    <w:jc w:val="center"/>
                    <w:rPr>
                      <w:rFonts w:hint="eastAsia" w:ascii="宋体" w:hAnsi="宋体" w:eastAsia="宋体" w:cs="宋体"/>
                      <w:snapToGrid w:val="0"/>
                      <w:color w:val="auto"/>
                      <w:sz w:val="21"/>
                      <w:szCs w:val="21"/>
                      <w:lang w:val="en-US"/>
                    </w:rPr>
                  </w:pPr>
                  <w:r>
                    <w:rPr>
                      <w:rFonts w:hint="eastAsia" w:ascii="宋体" w:hAnsi="宋体" w:eastAsia="宋体" w:cs="宋体"/>
                      <w:color w:val="auto"/>
                      <w:kern w:val="0"/>
                      <w:sz w:val="21"/>
                      <w:szCs w:val="21"/>
                      <w:lang w:val="en-US" w:eastAsia="zh-CN"/>
                    </w:rPr>
                    <w:t>无变动</w:t>
                  </w:r>
                </w:p>
              </w:tc>
            </w:tr>
            <w:tr w14:paraId="4A5EC90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91" w:type="pct"/>
                  <w:vMerge w:val="continue"/>
                  <w:noWrap w:val="0"/>
                  <w:vAlign w:val="center"/>
                </w:tcPr>
                <w:p w14:paraId="422814A0">
                  <w:pPr>
                    <w:pStyle w:val="24"/>
                    <w:adjustRightInd/>
                    <w:snapToGrid/>
                    <w:spacing w:line="240" w:lineRule="auto"/>
                    <w:ind w:left="0" w:leftChars="0" w:right="0" w:rightChars="0"/>
                    <w:rPr>
                      <w:rFonts w:hint="eastAsia" w:ascii="宋体" w:hAnsi="宋体" w:eastAsia="宋体" w:cs="宋体"/>
                      <w:snapToGrid w:val="0"/>
                      <w:color w:val="auto"/>
                      <w:sz w:val="21"/>
                      <w:szCs w:val="21"/>
                    </w:rPr>
                  </w:pPr>
                </w:p>
              </w:tc>
              <w:tc>
                <w:tcPr>
                  <w:tcW w:w="630" w:type="pct"/>
                  <w:shd w:val="clear" w:color="auto" w:fill="auto"/>
                  <w:noWrap w:val="0"/>
                  <w:vAlign w:val="center"/>
                </w:tcPr>
                <w:p w14:paraId="6F0A4784">
                  <w:pPr>
                    <w:spacing w:line="240" w:lineRule="auto"/>
                    <w:ind w:left="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sz w:val="21"/>
                      <w:szCs w:val="21"/>
                    </w:rPr>
                    <w:t>废水治理</w:t>
                  </w:r>
                </w:p>
              </w:tc>
              <w:tc>
                <w:tcPr>
                  <w:tcW w:w="1615" w:type="pct"/>
                  <w:shd w:val="clear" w:color="auto" w:fill="auto"/>
                  <w:noWrap w:val="0"/>
                  <w:vAlign w:val="center"/>
                </w:tcPr>
                <w:p w14:paraId="51BA88A3">
                  <w:pPr>
                    <w:pStyle w:val="20"/>
                    <w:spacing w:line="240" w:lineRule="auto"/>
                    <w:ind w:left="0"/>
                    <w:jc w:val="center"/>
                    <w:rPr>
                      <w:rFonts w:hint="eastAsia" w:ascii="宋体" w:hAnsi="宋体" w:eastAsia="宋体" w:cs="宋体"/>
                      <w:color w:val="auto"/>
                      <w:sz w:val="21"/>
                      <w:szCs w:val="21"/>
                      <w:lang w:val="en-US" w:eastAsia="zh-CN"/>
                    </w:rPr>
                  </w:pPr>
                  <w:r>
                    <w:rPr>
                      <w:rFonts w:hint="eastAsia" w:ascii="宋体" w:hAnsi="宋体" w:eastAsia="宋体" w:cs="宋体"/>
                      <w:sz w:val="21"/>
                      <w:szCs w:val="21"/>
                    </w:rPr>
                    <w:t>屠宰废水和生活废水经厂区自建的污水处理设施处理后</w:t>
                  </w:r>
                  <w:r>
                    <w:rPr>
                      <w:rFonts w:hint="eastAsia" w:ascii="宋体" w:hAnsi="宋体" w:eastAsia="宋体" w:cs="宋体"/>
                      <w:spacing w:val="1"/>
                      <w:sz w:val="21"/>
                      <w:szCs w:val="21"/>
                    </w:rPr>
                    <w:t>达到《肉类加工工业水污染物排放标准》(</w:t>
                  </w:r>
                  <w:r>
                    <w:rPr>
                      <w:rFonts w:hint="eastAsia" w:ascii="宋体" w:hAnsi="宋体" w:eastAsia="宋体" w:cs="宋体"/>
                      <w:sz w:val="21"/>
                      <w:szCs w:val="21"/>
                    </w:rPr>
                    <w:t>GB</w:t>
                  </w:r>
                  <w:r>
                    <w:rPr>
                      <w:rFonts w:hint="eastAsia" w:ascii="宋体" w:hAnsi="宋体" w:eastAsia="宋体" w:cs="宋体"/>
                      <w:spacing w:val="1"/>
                      <w:sz w:val="21"/>
                      <w:szCs w:val="21"/>
                    </w:rPr>
                    <w:t>13457-92)</w:t>
                  </w:r>
                  <w:r>
                    <w:rPr>
                      <w:rFonts w:hint="eastAsia" w:ascii="宋体" w:hAnsi="宋体" w:eastAsia="宋体" w:cs="宋体"/>
                      <w:sz w:val="21"/>
                      <w:szCs w:val="21"/>
                    </w:rPr>
                    <w:t>表3一级标准后，定期拉运至伽师县纺织服装产业园区</w:t>
                  </w:r>
                  <w:r>
                    <w:rPr>
                      <w:rFonts w:hint="eastAsia" w:ascii="宋体" w:hAnsi="宋体" w:eastAsia="宋体" w:cs="宋体"/>
                      <w:spacing w:val="18"/>
                      <w:sz w:val="21"/>
                      <w:szCs w:val="21"/>
                    </w:rPr>
                    <w:t>污水处理厂；</w:t>
                  </w:r>
                </w:p>
              </w:tc>
              <w:tc>
                <w:tcPr>
                  <w:tcW w:w="1614" w:type="pct"/>
                  <w:noWrap w:val="0"/>
                  <w:vAlign w:val="center"/>
                </w:tcPr>
                <w:p w14:paraId="30C0B559">
                  <w:pPr>
                    <w:spacing w:line="240" w:lineRule="auto"/>
                    <w:ind w:left="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sz w:val="21"/>
                      <w:szCs w:val="21"/>
                    </w:rPr>
                    <w:t>屠宰废水和生活废水经厂区自建的污水处理设施处理后</w:t>
                  </w:r>
                  <w:r>
                    <w:rPr>
                      <w:rFonts w:hint="eastAsia" w:ascii="宋体" w:hAnsi="宋体" w:eastAsia="宋体" w:cs="宋体"/>
                      <w:spacing w:val="1"/>
                      <w:sz w:val="21"/>
                      <w:szCs w:val="21"/>
                    </w:rPr>
                    <w:t>达到《肉类加工工业水污染物排放标准》(</w:t>
                  </w:r>
                  <w:r>
                    <w:rPr>
                      <w:rFonts w:hint="eastAsia" w:ascii="宋体" w:hAnsi="宋体" w:eastAsia="宋体" w:cs="宋体"/>
                      <w:sz w:val="21"/>
                      <w:szCs w:val="21"/>
                    </w:rPr>
                    <w:t>GB</w:t>
                  </w:r>
                  <w:r>
                    <w:rPr>
                      <w:rFonts w:hint="eastAsia" w:ascii="宋体" w:hAnsi="宋体" w:eastAsia="宋体" w:cs="宋体"/>
                      <w:spacing w:val="1"/>
                      <w:sz w:val="21"/>
                      <w:szCs w:val="21"/>
                    </w:rPr>
                    <w:t>13457-92)</w:t>
                  </w:r>
                  <w:r>
                    <w:rPr>
                      <w:rFonts w:hint="eastAsia" w:ascii="宋体" w:hAnsi="宋体" w:eastAsia="宋体" w:cs="宋体"/>
                      <w:sz w:val="21"/>
                      <w:szCs w:val="21"/>
                    </w:rPr>
                    <w:t>表3一级标准后，定期拉运至伽师县纺织服装产业园区</w:t>
                  </w:r>
                  <w:r>
                    <w:rPr>
                      <w:rFonts w:hint="eastAsia" w:ascii="宋体" w:hAnsi="宋体" w:eastAsia="宋体" w:cs="宋体"/>
                      <w:spacing w:val="18"/>
                      <w:sz w:val="21"/>
                      <w:szCs w:val="21"/>
                    </w:rPr>
                    <w:t>污水处理厂；</w:t>
                  </w:r>
                </w:p>
              </w:tc>
              <w:tc>
                <w:tcPr>
                  <w:tcW w:w="747" w:type="pct"/>
                  <w:noWrap w:val="0"/>
                  <w:vAlign w:val="center"/>
                </w:tcPr>
                <w:p w14:paraId="1840F8CF">
                  <w:pPr>
                    <w:jc w:val="center"/>
                    <w:rPr>
                      <w:rFonts w:hint="eastAsia" w:ascii="宋体" w:hAnsi="宋体" w:eastAsia="宋体" w:cs="宋体"/>
                      <w:snapToGrid w:val="0"/>
                      <w:color w:val="auto"/>
                      <w:sz w:val="21"/>
                      <w:szCs w:val="21"/>
                      <w:lang w:eastAsia="zh-CN"/>
                    </w:rPr>
                  </w:pPr>
                  <w:r>
                    <w:rPr>
                      <w:rFonts w:hint="eastAsia" w:ascii="宋体" w:hAnsi="宋体" w:eastAsia="宋体" w:cs="宋体"/>
                      <w:color w:val="auto"/>
                      <w:kern w:val="0"/>
                      <w:sz w:val="21"/>
                      <w:szCs w:val="21"/>
                      <w:lang w:val="en-US" w:eastAsia="zh-CN"/>
                    </w:rPr>
                    <w:t>无变动</w:t>
                  </w:r>
                </w:p>
              </w:tc>
            </w:tr>
            <w:tr w14:paraId="39B079A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91" w:type="pct"/>
                  <w:vMerge w:val="continue"/>
                  <w:noWrap w:val="0"/>
                  <w:vAlign w:val="center"/>
                </w:tcPr>
                <w:p w14:paraId="03622BE0">
                  <w:pPr>
                    <w:pStyle w:val="24"/>
                    <w:adjustRightInd/>
                    <w:snapToGrid/>
                    <w:spacing w:line="240" w:lineRule="auto"/>
                    <w:ind w:left="0" w:leftChars="0" w:right="0" w:rightChars="0"/>
                    <w:rPr>
                      <w:rFonts w:hint="eastAsia" w:ascii="宋体" w:hAnsi="宋体" w:eastAsia="宋体" w:cs="宋体"/>
                      <w:snapToGrid w:val="0"/>
                      <w:color w:val="auto"/>
                      <w:sz w:val="21"/>
                      <w:szCs w:val="21"/>
                    </w:rPr>
                  </w:pPr>
                </w:p>
              </w:tc>
              <w:tc>
                <w:tcPr>
                  <w:tcW w:w="630" w:type="pct"/>
                  <w:shd w:val="clear" w:color="auto" w:fill="auto"/>
                  <w:noWrap w:val="0"/>
                  <w:vAlign w:val="center"/>
                </w:tcPr>
                <w:p w14:paraId="6FF44B95">
                  <w:pPr>
                    <w:spacing w:line="240" w:lineRule="auto"/>
                    <w:ind w:left="0"/>
                    <w:jc w:val="center"/>
                    <w:rPr>
                      <w:rFonts w:hint="eastAsia" w:ascii="宋体" w:hAnsi="宋体" w:eastAsia="宋体" w:cs="宋体"/>
                      <w:color w:val="auto"/>
                      <w:sz w:val="21"/>
                      <w:szCs w:val="21"/>
                      <w:lang w:eastAsia="zh-CN"/>
                    </w:rPr>
                  </w:pPr>
                  <w:r>
                    <w:rPr>
                      <w:rFonts w:hint="eastAsia" w:ascii="宋体" w:hAnsi="宋体" w:eastAsia="宋体" w:cs="宋体"/>
                      <w:sz w:val="21"/>
                      <w:szCs w:val="21"/>
                    </w:rPr>
                    <w:t>噪声治理</w:t>
                  </w:r>
                </w:p>
              </w:tc>
              <w:tc>
                <w:tcPr>
                  <w:tcW w:w="1615" w:type="pct"/>
                  <w:shd w:val="clear" w:color="auto" w:fill="auto"/>
                  <w:noWrap w:val="0"/>
                  <w:vAlign w:val="center"/>
                </w:tcPr>
                <w:p w14:paraId="6FE7683A">
                  <w:pPr>
                    <w:spacing w:line="240" w:lineRule="auto"/>
                    <w:ind w:left="0"/>
                    <w:jc w:val="center"/>
                    <w:rPr>
                      <w:rFonts w:hint="eastAsia" w:ascii="宋体" w:hAnsi="宋体" w:eastAsia="宋体" w:cs="宋体"/>
                      <w:color w:val="auto"/>
                      <w:sz w:val="21"/>
                      <w:szCs w:val="21"/>
                      <w:lang w:val="en-US" w:eastAsia="zh-CN"/>
                    </w:rPr>
                  </w:pPr>
                  <w:r>
                    <w:rPr>
                      <w:rFonts w:hint="eastAsia" w:ascii="宋体" w:hAnsi="宋体" w:eastAsia="宋体" w:cs="宋体"/>
                      <w:spacing w:val="-1"/>
                      <w:sz w:val="21"/>
                      <w:szCs w:val="21"/>
                    </w:rPr>
                    <w:t>采用了隔声、减振或加消声器；安装减震垫、消声器或</w:t>
                  </w:r>
                  <w:r>
                    <w:rPr>
                      <w:rFonts w:hint="eastAsia" w:ascii="宋体" w:hAnsi="宋体" w:eastAsia="宋体" w:cs="宋体"/>
                      <w:spacing w:val="15"/>
                      <w:sz w:val="21"/>
                      <w:szCs w:val="21"/>
                    </w:rPr>
                    <w:t xml:space="preserve"> </w:t>
                  </w:r>
                  <w:r>
                    <w:rPr>
                      <w:rFonts w:hint="eastAsia" w:ascii="宋体" w:hAnsi="宋体" w:eastAsia="宋体" w:cs="宋体"/>
                      <w:spacing w:val="2"/>
                      <w:sz w:val="21"/>
                      <w:szCs w:val="21"/>
                    </w:rPr>
                    <w:t>者隔声门窗</w:t>
                  </w:r>
                </w:p>
              </w:tc>
              <w:tc>
                <w:tcPr>
                  <w:tcW w:w="1614" w:type="pct"/>
                  <w:noWrap w:val="0"/>
                  <w:vAlign w:val="center"/>
                </w:tcPr>
                <w:p w14:paraId="2FCE1E01">
                  <w:pPr>
                    <w:spacing w:line="240" w:lineRule="auto"/>
                    <w:ind w:left="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spacing w:val="-1"/>
                      <w:sz w:val="21"/>
                      <w:szCs w:val="21"/>
                    </w:rPr>
                    <w:t>采用了隔声、减振或加消声器；安装减震垫、消声器或</w:t>
                  </w:r>
                  <w:r>
                    <w:rPr>
                      <w:rFonts w:hint="eastAsia" w:ascii="宋体" w:hAnsi="宋体" w:eastAsia="宋体" w:cs="宋体"/>
                      <w:spacing w:val="15"/>
                      <w:sz w:val="21"/>
                      <w:szCs w:val="21"/>
                    </w:rPr>
                    <w:t xml:space="preserve"> </w:t>
                  </w:r>
                  <w:r>
                    <w:rPr>
                      <w:rFonts w:hint="eastAsia" w:ascii="宋体" w:hAnsi="宋体" w:eastAsia="宋体" w:cs="宋体"/>
                      <w:spacing w:val="2"/>
                      <w:sz w:val="21"/>
                      <w:szCs w:val="21"/>
                    </w:rPr>
                    <w:t>者隔声门窗</w:t>
                  </w:r>
                </w:p>
              </w:tc>
              <w:tc>
                <w:tcPr>
                  <w:tcW w:w="747" w:type="pct"/>
                  <w:noWrap w:val="0"/>
                  <w:vAlign w:val="center"/>
                </w:tcPr>
                <w:p w14:paraId="288C8DF2">
                  <w:pPr>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无变动</w:t>
                  </w:r>
                </w:p>
              </w:tc>
            </w:tr>
            <w:tr w14:paraId="72224B5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91" w:type="pct"/>
                  <w:vMerge w:val="continue"/>
                  <w:noWrap w:val="0"/>
                  <w:vAlign w:val="center"/>
                </w:tcPr>
                <w:p w14:paraId="7C8DFB8C">
                  <w:pPr>
                    <w:pStyle w:val="24"/>
                    <w:adjustRightInd/>
                    <w:snapToGrid/>
                    <w:spacing w:line="240" w:lineRule="auto"/>
                    <w:ind w:left="0" w:leftChars="0" w:right="0" w:rightChars="0"/>
                    <w:rPr>
                      <w:rFonts w:hint="eastAsia" w:ascii="宋体" w:hAnsi="宋体" w:eastAsia="宋体" w:cs="宋体"/>
                      <w:snapToGrid w:val="0"/>
                      <w:color w:val="auto"/>
                      <w:sz w:val="21"/>
                      <w:szCs w:val="21"/>
                    </w:rPr>
                  </w:pPr>
                </w:p>
              </w:tc>
              <w:tc>
                <w:tcPr>
                  <w:tcW w:w="630" w:type="pct"/>
                  <w:shd w:val="clear" w:color="auto" w:fill="auto"/>
                  <w:noWrap w:val="0"/>
                  <w:vAlign w:val="center"/>
                </w:tcPr>
                <w:p w14:paraId="416053E0">
                  <w:pPr>
                    <w:spacing w:line="240" w:lineRule="auto"/>
                    <w:ind w:left="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eastAsia="zh-CN"/>
                    </w:rPr>
                    <w:t>固废</w:t>
                  </w:r>
                </w:p>
              </w:tc>
              <w:tc>
                <w:tcPr>
                  <w:tcW w:w="1615" w:type="pct"/>
                  <w:shd w:val="clear" w:color="auto" w:fill="auto"/>
                  <w:noWrap w:val="0"/>
                  <w:vAlign w:val="center"/>
                </w:tcPr>
                <w:p w14:paraId="6BAC6D9A">
                  <w:pPr>
                    <w:pStyle w:val="20"/>
                    <w:spacing w:line="240" w:lineRule="auto"/>
                    <w:ind w:left="0"/>
                    <w:jc w:val="center"/>
                    <w:rPr>
                      <w:rFonts w:hint="eastAsia" w:ascii="宋体" w:hAnsi="宋体" w:eastAsia="宋体" w:cs="宋体"/>
                      <w:sz w:val="21"/>
                      <w:szCs w:val="21"/>
                    </w:rPr>
                  </w:pPr>
                  <w:r>
                    <w:rPr>
                      <w:rFonts w:hint="eastAsia" w:ascii="宋体" w:hAnsi="宋体" w:eastAsia="宋体" w:cs="宋体"/>
                      <w:spacing w:val="-1"/>
                      <w:sz w:val="21"/>
                      <w:szCs w:val="21"/>
                    </w:rPr>
                    <w:t>污泥、粪便和牛、羊只肠胃内容物及废弃物外售给肥料</w:t>
                  </w:r>
                </w:p>
                <w:p w14:paraId="3CEB2502">
                  <w:pPr>
                    <w:pStyle w:val="20"/>
                    <w:spacing w:line="240" w:lineRule="auto"/>
                    <w:ind w:left="0"/>
                    <w:jc w:val="center"/>
                    <w:rPr>
                      <w:rFonts w:hint="eastAsia" w:ascii="宋体" w:hAnsi="宋体" w:eastAsia="宋体" w:cs="宋体"/>
                      <w:color w:val="auto"/>
                      <w:sz w:val="21"/>
                      <w:szCs w:val="21"/>
                      <w:lang w:val="en-US" w:eastAsia="zh-CN"/>
                    </w:rPr>
                  </w:pPr>
                  <w:r>
                    <w:rPr>
                      <w:rFonts w:hint="eastAsia" w:ascii="宋体" w:hAnsi="宋体" w:eastAsia="宋体" w:cs="宋体"/>
                      <w:sz w:val="21"/>
                      <w:szCs w:val="21"/>
                    </w:rPr>
                    <w:t>厂进行加工；牛、羊毛和牛、羊血外售；生活垃圾送至乡镇垃圾收集站。</w:t>
                  </w:r>
                </w:p>
              </w:tc>
              <w:tc>
                <w:tcPr>
                  <w:tcW w:w="1614" w:type="pct"/>
                  <w:noWrap w:val="0"/>
                  <w:vAlign w:val="center"/>
                </w:tcPr>
                <w:p w14:paraId="2571CCF7">
                  <w:pPr>
                    <w:pStyle w:val="20"/>
                    <w:spacing w:line="240" w:lineRule="auto"/>
                    <w:ind w:left="0"/>
                    <w:jc w:val="both"/>
                    <w:rPr>
                      <w:rFonts w:hint="eastAsia" w:ascii="宋体" w:hAnsi="宋体" w:eastAsia="宋体" w:cs="宋体"/>
                      <w:color w:val="auto"/>
                      <w:sz w:val="21"/>
                      <w:szCs w:val="21"/>
                      <w:lang w:eastAsia="zh-CN"/>
                    </w:rPr>
                  </w:pPr>
                  <w:r>
                    <w:rPr>
                      <w:rFonts w:hint="eastAsia" w:ascii="宋体" w:hAnsi="宋体" w:eastAsia="宋体" w:cs="宋体"/>
                      <w:spacing w:val="-1"/>
                      <w:sz w:val="21"/>
                      <w:szCs w:val="21"/>
                    </w:rPr>
                    <w:t>本项目运营期固体废物主要为粪便、下脚料(不可食用内脏及胴体、碎肉渣等)、未消化饲料(蓄类胃内容物)、牛 羊血、牛羊皮、病死牛羊等。项目采用干清法对粪便及时处理， 外售用于制成有机肥料；下脚料收集后按照《病害动物和病害动物产品生物安全处理规程》(GB16548-2006);  未消化饲料用密封 桶装置于固废暂存间，外售用于制作饲料；牛羊血、牛羊皮集中收集后作为副产品外售；病死牛羊根据《病死及病害动物无害化处理技术规范》要求，统一收集并交当地畜牧防疫站指定的单位进行处理；污水处理站产生的污泥、生活垃圾分类收集后交由环卫部门统一清运处理；废活性炭严格按照《危险废物贮存污染控制标准》(GB18597-2001)  相关规定，采用专门的容器进行集中收集，并按规定设置警示标志，定期交由危废资质单位</w:t>
                  </w:r>
                  <w:r>
                    <w:rPr>
                      <w:rFonts w:hint="eastAsia" w:ascii="宋体" w:hAnsi="宋体" w:eastAsia="宋体" w:cs="宋体"/>
                      <w:spacing w:val="-1"/>
                      <w:sz w:val="21"/>
                      <w:szCs w:val="21"/>
                      <w:lang w:eastAsia="zh-CN"/>
                    </w:rPr>
                    <w:t>新疆国兴环保科技有限责任公司</w:t>
                  </w:r>
                  <w:r>
                    <w:rPr>
                      <w:rFonts w:hint="eastAsia" w:ascii="宋体" w:hAnsi="宋体" w:eastAsia="宋体" w:cs="宋体"/>
                      <w:spacing w:val="-1"/>
                      <w:sz w:val="21"/>
                      <w:szCs w:val="21"/>
                    </w:rPr>
                    <w:t>处理。</w:t>
                  </w:r>
                </w:p>
              </w:tc>
              <w:tc>
                <w:tcPr>
                  <w:tcW w:w="747" w:type="pct"/>
                  <w:noWrap w:val="0"/>
                  <w:vAlign w:val="center"/>
                </w:tcPr>
                <w:p w14:paraId="2D793432">
                  <w:pPr>
                    <w:jc w:val="center"/>
                    <w:rPr>
                      <w:rFonts w:hint="default"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无变动</w:t>
                  </w:r>
                </w:p>
              </w:tc>
            </w:tr>
          </w:tbl>
          <w:p w14:paraId="52C72EDB">
            <w:pPr>
              <w:rPr>
                <w:rFonts w:hint="default" w:ascii="Times New Roman" w:hAnsi="Times New Roman" w:cs="Times New Roman"/>
                <w:b/>
                <w:color w:val="auto"/>
                <w:kern w:val="0"/>
                <w:sz w:val="24"/>
                <w:highlight w:val="none"/>
              </w:rPr>
            </w:pPr>
          </w:p>
          <w:p w14:paraId="52A43848">
            <w:pPr>
              <w:rPr>
                <w:rFonts w:hint="default" w:ascii="Times New Roman" w:hAnsi="Times New Roman" w:cs="Times New Roman"/>
                <w:b/>
                <w:color w:val="auto"/>
                <w:kern w:val="0"/>
                <w:sz w:val="24"/>
                <w:highlight w:val="none"/>
              </w:rPr>
            </w:pPr>
            <w:r>
              <w:rPr>
                <w:rFonts w:hint="default" w:ascii="Times New Roman" w:hAnsi="Times New Roman" w:cs="Times New Roman"/>
                <w:b/>
                <w:color w:val="auto"/>
                <w:kern w:val="0"/>
                <w:sz w:val="24"/>
                <w:highlight w:val="none"/>
              </w:rPr>
              <w:t>表1-</w:t>
            </w:r>
            <w:r>
              <w:rPr>
                <w:rFonts w:hint="default" w:ascii="Times New Roman" w:hAnsi="Times New Roman" w:cs="Times New Roman"/>
                <w:b/>
                <w:color w:val="auto"/>
                <w:kern w:val="0"/>
                <w:sz w:val="24"/>
                <w:highlight w:val="none"/>
                <w:lang w:val="en-US" w:eastAsia="zh-CN"/>
              </w:rPr>
              <w:t>2</w:t>
            </w:r>
            <w:r>
              <w:rPr>
                <w:rFonts w:hint="default" w:ascii="Times New Roman" w:hAnsi="Times New Roman" w:cs="Times New Roman"/>
                <w:b/>
                <w:color w:val="auto"/>
                <w:kern w:val="0"/>
                <w:sz w:val="24"/>
                <w:highlight w:val="none"/>
              </w:rPr>
              <w:t xml:space="preserve">                        主要</w:t>
            </w:r>
            <w:r>
              <w:rPr>
                <w:rFonts w:hint="default" w:ascii="Times New Roman" w:hAnsi="Times New Roman" w:cs="Times New Roman"/>
                <w:b/>
                <w:color w:val="auto"/>
                <w:kern w:val="0"/>
                <w:sz w:val="24"/>
                <w:highlight w:val="none"/>
                <w:lang w:eastAsia="zh-CN"/>
              </w:rPr>
              <w:t>设备</w:t>
            </w:r>
            <w:r>
              <w:rPr>
                <w:rFonts w:hint="default" w:ascii="Times New Roman" w:hAnsi="Times New Roman" w:cs="Times New Roman"/>
                <w:b/>
                <w:color w:val="auto"/>
                <w:kern w:val="0"/>
                <w:sz w:val="24"/>
                <w:highlight w:val="none"/>
              </w:rPr>
              <w:t>一览表</w:t>
            </w:r>
          </w:p>
          <w:tbl>
            <w:tblPr>
              <w:tblStyle w:val="15"/>
              <w:tblW w:w="8406"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575"/>
              <w:gridCol w:w="2197"/>
              <w:gridCol w:w="1034"/>
              <w:gridCol w:w="1200"/>
              <w:gridCol w:w="1066"/>
              <w:gridCol w:w="2334"/>
            </w:tblGrid>
            <w:tr w14:paraId="54AC18C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5" w:type="dxa"/>
                  <w:tcBorders>
                    <w:tl2br w:val="nil"/>
                    <w:tr2bl w:val="nil"/>
                  </w:tcBorders>
                  <w:noWrap w:val="0"/>
                  <w:vAlign w:val="center"/>
                </w:tcPr>
                <w:p w14:paraId="659207EC">
                  <w:pPr>
                    <w:pStyle w:val="24"/>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sz w:val="21"/>
                      <w:szCs w:val="21"/>
                      <w:highlight w:val="none"/>
                    </w:rPr>
                  </w:pPr>
                  <w:r>
                    <w:rPr>
                      <w:rFonts w:hint="eastAsia" w:ascii="宋体" w:hAnsi="宋体" w:eastAsia="宋体" w:cs="宋体"/>
                      <w:b/>
                      <w:bCs/>
                      <w:snapToGrid w:val="0"/>
                      <w:color w:val="auto"/>
                      <w:sz w:val="21"/>
                      <w:szCs w:val="21"/>
                      <w:highlight w:val="none"/>
                    </w:rPr>
                    <w:t>序号</w:t>
                  </w:r>
                </w:p>
              </w:tc>
              <w:tc>
                <w:tcPr>
                  <w:tcW w:w="2197" w:type="dxa"/>
                  <w:tcBorders>
                    <w:tl2br w:val="nil"/>
                    <w:tr2bl w:val="nil"/>
                  </w:tcBorders>
                  <w:noWrap w:val="0"/>
                  <w:vAlign w:val="center"/>
                </w:tcPr>
                <w:p w14:paraId="3C415C95">
                  <w:pPr>
                    <w:pStyle w:val="24"/>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sz w:val="21"/>
                      <w:szCs w:val="21"/>
                      <w:highlight w:val="none"/>
                    </w:rPr>
                  </w:pPr>
                  <w:r>
                    <w:rPr>
                      <w:rFonts w:hint="eastAsia" w:ascii="宋体" w:hAnsi="宋体" w:eastAsia="宋体" w:cs="宋体"/>
                      <w:b/>
                      <w:bCs/>
                      <w:snapToGrid w:val="0"/>
                      <w:color w:val="auto"/>
                      <w:sz w:val="21"/>
                      <w:szCs w:val="21"/>
                      <w:highlight w:val="none"/>
                    </w:rPr>
                    <w:t>设备名称</w:t>
                  </w:r>
                </w:p>
              </w:tc>
              <w:tc>
                <w:tcPr>
                  <w:tcW w:w="1034" w:type="dxa"/>
                  <w:tcBorders>
                    <w:tl2br w:val="nil"/>
                    <w:tr2bl w:val="nil"/>
                  </w:tcBorders>
                  <w:noWrap w:val="0"/>
                  <w:vAlign w:val="center"/>
                </w:tcPr>
                <w:p w14:paraId="747D05E8">
                  <w:pPr>
                    <w:pStyle w:val="24"/>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sz w:val="21"/>
                      <w:szCs w:val="21"/>
                      <w:highlight w:val="none"/>
                      <w:lang w:val="en-US" w:eastAsia="zh-CN"/>
                    </w:rPr>
                  </w:pPr>
                  <w:r>
                    <w:rPr>
                      <w:rFonts w:hint="eastAsia" w:ascii="宋体" w:hAnsi="宋体" w:eastAsia="宋体" w:cs="宋体"/>
                      <w:b/>
                      <w:bCs/>
                      <w:snapToGrid w:val="0"/>
                      <w:color w:val="auto"/>
                      <w:sz w:val="21"/>
                      <w:szCs w:val="21"/>
                      <w:highlight w:val="none"/>
                      <w:lang w:val="en-US" w:eastAsia="zh-CN"/>
                    </w:rPr>
                    <w:t>单位</w:t>
                  </w:r>
                </w:p>
              </w:tc>
              <w:tc>
                <w:tcPr>
                  <w:tcW w:w="1200" w:type="dxa"/>
                  <w:tcBorders>
                    <w:tl2br w:val="nil"/>
                    <w:tr2bl w:val="nil"/>
                  </w:tcBorders>
                  <w:noWrap w:val="0"/>
                  <w:vAlign w:val="center"/>
                </w:tcPr>
                <w:p w14:paraId="765AA992">
                  <w:pPr>
                    <w:pStyle w:val="24"/>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sz w:val="21"/>
                      <w:szCs w:val="21"/>
                      <w:highlight w:val="none"/>
                      <w:lang w:val="en-US" w:eastAsia="zh-CN"/>
                    </w:rPr>
                  </w:pPr>
                  <w:r>
                    <w:rPr>
                      <w:rFonts w:hint="eastAsia" w:ascii="宋体" w:hAnsi="宋体" w:eastAsia="宋体" w:cs="宋体"/>
                      <w:b/>
                      <w:bCs/>
                      <w:snapToGrid w:val="0"/>
                      <w:color w:val="auto"/>
                      <w:sz w:val="21"/>
                      <w:szCs w:val="21"/>
                      <w:highlight w:val="none"/>
                    </w:rPr>
                    <w:t>环评</w:t>
                  </w:r>
                  <w:r>
                    <w:rPr>
                      <w:rFonts w:hint="eastAsia" w:ascii="宋体" w:hAnsi="宋体" w:eastAsia="宋体" w:cs="宋体"/>
                      <w:b/>
                      <w:bCs/>
                      <w:snapToGrid w:val="0"/>
                      <w:color w:val="auto"/>
                      <w:sz w:val="21"/>
                      <w:szCs w:val="21"/>
                      <w:highlight w:val="none"/>
                      <w:lang w:eastAsia="zh-CN"/>
                    </w:rPr>
                    <w:t>设计</w:t>
                  </w:r>
                  <w:r>
                    <w:rPr>
                      <w:rFonts w:hint="eastAsia" w:ascii="宋体" w:hAnsi="宋体" w:eastAsia="宋体" w:cs="宋体"/>
                      <w:b/>
                      <w:bCs/>
                      <w:snapToGrid w:val="0"/>
                      <w:color w:val="auto"/>
                      <w:sz w:val="21"/>
                      <w:szCs w:val="21"/>
                      <w:highlight w:val="none"/>
                    </w:rPr>
                    <w:t>数量</w:t>
                  </w:r>
                </w:p>
              </w:tc>
              <w:tc>
                <w:tcPr>
                  <w:tcW w:w="1066" w:type="dxa"/>
                  <w:tcBorders>
                    <w:tl2br w:val="nil"/>
                    <w:tr2bl w:val="nil"/>
                  </w:tcBorders>
                  <w:noWrap w:val="0"/>
                  <w:vAlign w:val="center"/>
                </w:tcPr>
                <w:p w14:paraId="5C19D2BC">
                  <w:pPr>
                    <w:pStyle w:val="24"/>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sz w:val="21"/>
                      <w:szCs w:val="21"/>
                      <w:highlight w:val="none"/>
                      <w:lang w:eastAsia="zh-CN"/>
                    </w:rPr>
                  </w:pPr>
                  <w:r>
                    <w:rPr>
                      <w:rFonts w:hint="eastAsia" w:ascii="宋体" w:hAnsi="宋体" w:eastAsia="宋体" w:cs="宋体"/>
                      <w:b/>
                      <w:bCs/>
                      <w:snapToGrid w:val="0"/>
                      <w:color w:val="auto"/>
                      <w:sz w:val="21"/>
                      <w:szCs w:val="21"/>
                      <w:highlight w:val="none"/>
                    </w:rPr>
                    <w:t>实际数量</w:t>
                  </w:r>
                </w:p>
              </w:tc>
              <w:tc>
                <w:tcPr>
                  <w:tcW w:w="2334" w:type="dxa"/>
                  <w:tcBorders>
                    <w:tl2br w:val="nil"/>
                    <w:tr2bl w:val="nil"/>
                  </w:tcBorders>
                  <w:noWrap w:val="0"/>
                  <w:vAlign w:val="center"/>
                </w:tcPr>
                <w:p w14:paraId="39C96CCB">
                  <w:pPr>
                    <w:pStyle w:val="24"/>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sz w:val="21"/>
                      <w:szCs w:val="21"/>
                      <w:highlight w:val="none"/>
                      <w:lang w:eastAsia="zh-CN"/>
                    </w:rPr>
                  </w:pPr>
                  <w:r>
                    <w:rPr>
                      <w:rFonts w:hint="eastAsia" w:ascii="宋体" w:hAnsi="宋体" w:eastAsia="宋体" w:cs="宋体"/>
                      <w:b/>
                      <w:bCs/>
                      <w:snapToGrid w:val="0"/>
                      <w:color w:val="auto"/>
                      <w:sz w:val="21"/>
                      <w:szCs w:val="21"/>
                      <w:highlight w:val="none"/>
                      <w:lang w:eastAsia="zh-CN"/>
                    </w:rPr>
                    <w:t>变动</w:t>
                  </w:r>
                </w:p>
                <w:p w14:paraId="415EAB3B">
                  <w:pPr>
                    <w:pStyle w:val="24"/>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sz w:val="21"/>
                      <w:szCs w:val="21"/>
                      <w:highlight w:val="none"/>
                      <w:lang w:eastAsia="zh-CN"/>
                    </w:rPr>
                  </w:pPr>
                  <w:r>
                    <w:rPr>
                      <w:rFonts w:hint="eastAsia" w:ascii="宋体" w:hAnsi="宋体" w:eastAsia="宋体" w:cs="宋体"/>
                      <w:b/>
                      <w:bCs/>
                      <w:snapToGrid w:val="0"/>
                      <w:color w:val="auto"/>
                      <w:sz w:val="21"/>
                      <w:szCs w:val="21"/>
                      <w:highlight w:val="none"/>
                      <w:lang w:eastAsia="zh-CN"/>
                    </w:rPr>
                    <w:t>情况</w:t>
                  </w:r>
                </w:p>
              </w:tc>
            </w:tr>
            <w:tr w14:paraId="17367AD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5" w:type="dxa"/>
                  <w:tcBorders>
                    <w:tl2br w:val="nil"/>
                    <w:tr2bl w:val="nil"/>
                  </w:tcBorders>
                  <w:noWrap w:val="0"/>
                  <w:vAlign w:val="center"/>
                </w:tcPr>
                <w:p w14:paraId="67A32DD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b w:val="0"/>
                      <w:bCs w:val="0"/>
                      <w:color w:val="auto"/>
                      <w:sz w:val="21"/>
                      <w:szCs w:val="21"/>
                      <w:highlight w:val="none"/>
                      <w:lang w:val="en-US" w:eastAsia="zh-CN"/>
                    </w:rPr>
                    <w:t>1</w:t>
                  </w:r>
                </w:p>
              </w:tc>
              <w:tc>
                <w:tcPr>
                  <w:tcW w:w="2197" w:type="dxa"/>
                  <w:tcBorders>
                    <w:tl2br w:val="nil"/>
                    <w:tr2bl w:val="nil"/>
                  </w:tcBorders>
                  <w:shd w:val="clear" w:color="auto" w:fill="auto"/>
                  <w:noWrap w:val="0"/>
                  <w:vAlign w:val="top"/>
                </w:tcPr>
                <w:p w14:paraId="0710E13E">
                  <w:pPr>
                    <w:pStyle w:val="20"/>
                    <w:keepNext w:val="0"/>
                    <w:keepLines w:val="0"/>
                    <w:pageBreakBefore w:val="0"/>
                    <w:widowControl w:val="0"/>
                    <w:kinsoku/>
                    <w:wordWrap/>
                    <w:overflowPunct/>
                    <w:topLinePunct w:val="0"/>
                    <w:autoSpaceDE/>
                    <w:autoSpaceDN/>
                    <w:bidi w:val="0"/>
                    <w:spacing w:line="360" w:lineRule="auto"/>
                    <w:ind w:left="0" w:leftChars="0"/>
                    <w:textAlignment w:val="auto"/>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spacing w:val="3"/>
                      <w:sz w:val="21"/>
                      <w:szCs w:val="21"/>
                    </w:rPr>
                    <w:t>自动放血线</w:t>
                  </w:r>
                </w:p>
              </w:tc>
              <w:tc>
                <w:tcPr>
                  <w:tcW w:w="1034" w:type="dxa"/>
                  <w:tcBorders>
                    <w:tl2br w:val="nil"/>
                    <w:tr2bl w:val="nil"/>
                  </w:tcBorders>
                  <w:shd w:val="clear" w:color="auto" w:fill="auto"/>
                  <w:noWrap w:val="0"/>
                  <w:vAlign w:val="center"/>
                </w:tcPr>
                <w:p w14:paraId="3F44713E">
                  <w:pPr>
                    <w:keepNext w:val="0"/>
                    <w:keepLines w:val="0"/>
                    <w:pageBreakBefore w:val="0"/>
                    <w:widowControl w:val="0"/>
                    <w:kinsoku/>
                    <w:wordWrap/>
                    <w:overflowPunct/>
                    <w:topLinePunct w:val="0"/>
                    <w:autoSpaceDE/>
                    <w:autoSpaceDN/>
                    <w:bidi w:val="0"/>
                    <w:adjustRightInd/>
                    <w:snapToGrid/>
                    <w:spacing w:line="360" w:lineRule="auto"/>
                    <w:ind w:left="-105" w:leftChars="-50" w:right="-105" w:rightChars="-50"/>
                    <w:jc w:val="center"/>
                    <w:textAlignment w:val="auto"/>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sz w:val="21"/>
                      <w:szCs w:val="21"/>
                      <w:lang w:val="en-US" w:eastAsia="zh-CN"/>
                    </w:rPr>
                    <w:t>条</w:t>
                  </w:r>
                </w:p>
              </w:tc>
              <w:tc>
                <w:tcPr>
                  <w:tcW w:w="1200" w:type="dxa"/>
                  <w:tcBorders>
                    <w:tl2br w:val="nil"/>
                    <w:tr2bl w:val="nil"/>
                  </w:tcBorders>
                  <w:shd w:val="clear" w:color="auto" w:fill="auto"/>
                  <w:noWrap w:val="0"/>
                  <w:vAlign w:val="center"/>
                </w:tcPr>
                <w:p w14:paraId="52F1AE79">
                  <w:pPr>
                    <w:keepNext w:val="0"/>
                    <w:keepLines w:val="0"/>
                    <w:pageBreakBefore w:val="0"/>
                    <w:widowControl w:val="0"/>
                    <w:kinsoku/>
                    <w:wordWrap/>
                    <w:overflowPunct/>
                    <w:topLinePunct w:val="0"/>
                    <w:autoSpaceDE/>
                    <w:autoSpaceDN/>
                    <w:bidi w:val="0"/>
                    <w:adjustRightInd/>
                    <w:snapToGrid/>
                    <w:spacing w:line="360" w:lineRule="auto"/>
                    <w:ind w:left="-105" w:leftChars="-50" w:right="-105" w:rightChars="-50"/>
                    <w:jc w:val="center"/>
                    <w:textAlignment w:val="auto"/>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sz w:val="21"/>
                      <w:szCs w:val="21"/>
                      <w:lang w:val="en-US" w:eastAsia="zh-CN"/>
                    </w:rPr>
                    <w:t>1</w:t>
                  </w:r>
                </w:p>
              </w:tc>
              <w:tc>
                <w:tcPr>
                  <w:tcW w:w="1066" w:type="dxa"/>
                  <w:tcBorders>
                    <w:tl2br w:val="nil"/>
                    <w:tr2bl w:val="nil"/>
                  </w:tcBorders>
                  <w:shd w:val="clear" w:color="auto" w:fill="auto"/>
                  <w:noWrap w:val="0"/>
                  <w:vAlign w:val="center"/>
                </w:tcPr>
                <w:p w14:paraId="52ACDBF7">
                  <w:pPr>
                    <w:keepNext w:val="0"/>
                    <w:keepLines w:val="0"/>
                    <w:pageBreakBefore w:val="0"/>
                    <w:widowControl w:val="0"/>
                    <w:kinsoku/>
                    <w:wordWrap/>
                    <w:overflowPunct/>
                    <w:topLinePunct w:val="0"/>
                    <w:autoSpaceDE/>
                    <w:autoSpaceDN/>
                    <w:bidi w:val="0"/>
                    <w:adjustRightInd/>
                    <w:snapToGrid/>
                    <w:spacing w:line="360" w:lineRule="auto"/>
                    <w:ind w:left="-105" w:leftChars="-50" w:right="-105" w:rightChars="-50"/>
                    <w:jc w:val="center"/>
                    <w:textAlignment w:val="auto"/>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sz w:val="21"/>
                      <w:szCs w:val="21"/>
                      <w:lang w:val="en-US" w:eastAsia="zh-CN"/>
                    </w:rPr>
                    <w:t>1</w:t>
                  </w:r>
                </w:p>
              </w:tc>
              <w:tc>
                <w:tcPr>
                  <w:tcW w:w="2334" w:type="dxa"/>
                  <w:vMerge w:val="restart"/>
                  <w:tcBorders>
                    <w:tl2br w:val="nil"/>
                    <w:tr2bl w:val="nil"/>
                  </w:tcBorders>
                  <w:noWrap w:val="0"/>
                  <w:vAlign w:val="center"/>
                </w:tcPr>
                <w:p w14:paraId="00350667">
                  <w:pPr>
                    <w:keepNext w:val="0"/>
                    <w:keepLines w:val="0"/>
                    <w:pageBreakBefore w:val="0"/>
                    <w:widowControl w:val="0"/>
                    <w:kinsoku/>
                    <w:wordWrap/>
                    <w:overflowPunct/>
                    <w:topLinePunct w:val="0"/>
                    <w:autoSpaceDE/>
                    <w:autoSpaceDN/>
                    <w:bidi w:val="0"/>
                    <w:spacing w:line="360" w:lineRule="auto"/>
                    <w:jc w:val="center"/>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无变动</w:t>
                  </w:r>
                </w:p>
              </w:tc>
            </w:tr>
            <w:tr w14:paraId="04F6D34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575" w:type="dxa"/>
                  <w:tcBorders>
                    <w:tl2br w:val="nil"/>
                    <w:tr2bl w:val="nil"/>
                  </w:tcBorders>
                  <w:noWrap w:val="0"/>
                  <w:vAlign w:val="center"/>
                </w:tcPr>
                <w:p w14:paraId="5D6691A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b w:val="0"/>
                      <w:bCs w:val="0"/>
                      <w:color w:val="auto"/>
                      <w:sz w:val="21"/>
                      <w:szCs w:val="21"/>
                      <w:highlight w:val="none"/>
                      <w:lang w:val="en-US" w:eastAsia="zh-CN"/>
                    </w:rPr>
                    <w:t>2</w:t>
                  </w:r>
                </w:p>
              </w:tc>
              <w:tc>
                <w:tcPr>
                  <w:tcW w:w="2197" w:type="dxa"/>
                  <w:tcBorders>
                    <w:tl2br w:val="nil"/>
                    <w:tr2bl w:val="nil"/>
                  </w:tcBorders>
                  <w:shd w:val="clear" w:color="auto" w:fill="auto"/>
                  <w:noWrap w:val="0"/>
                  <w:vAlign w:val="top"/>
                </w:tcPr>
                <w:p w14:paraId="50C82ADE">
                  <w:pPr>
                    <w:pStyle w:val="20"/>
                    <w:keepNext w:val="0"/>
                    <w:keepLines w:val="0"/>
                    <w:pageBreakBefore w:val="0"/>
                    <w:widowControl w:val="0"/>
                    <w:kinsoku/>
                    <w:wordWrap/>
                    <w:overflowPunct/>
                    <w:topLinePunct w:val="0"/>
                    <w:autoSpaceDE/>
                    <w:autoSpaceDN/>
                    <w:bidi w:val="0"/>
                    <w:spacing w:line="360" w:lineRule="auto"/>
                    <w:ind w:left="0" w:leftChars="0"/>
                    <w:textAlignment w:val="auto"/>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spacing w:val="-3"/>
                      <w:sz w:val="21"/>
                      <w:szCs w:val="21"/>
                    </w:rPr>
                    <w:t>驱动装置</w:t>
                  </w:r>
                </w:p>
              </w:tc>
              <w:tc>
                <w:tcPr>
                  <w:tcW w:w="1034" w:type="dxa"/>
                  <w:tcBorders>
                    <w:tl2br w:val="nil"/>
                    <w:tr2bl w:val="nil"/>
                  </w:tcBorders>
                  <w:shd w:val="clear" w:color="auto" w:fill="auto"/>
                  <w:noWrap w:val="0"/>
                  <w:vAlign w:val="center"/>
                </w:tcPr>
                <w:p w14:paraId="26967CD3">
                  <w:pPr>
                    <w:keepNext w:val="0"/>
                    <w:keepLines w:val="0"/>
                    <w:pageBreakBefore w:val="0"/>
                    <w:widowControl w:val="0"/>
                    <w:kinsoku/>
                    <w:wordWrap/>
                    <w:overflowPunct/>
                    <w:topLinePunct w:val="0"/>
                    <w:autoSpaceDE/>
                    <w:autoSpaceDN/>
                    <w:bidi w:val="0"/>
                    <w:adjustRightInd/>
                    <w:snapToGrid/>
                    <w:spacing w:line="360" w:lineRule="auto"/>
                    <w:ind w:left="-105" w:leftChars="-50" w:right="-105" w:rightChars="-50"/>
                    <w:jc w:val="center"/>
                    <w:textAlignment w:val="auto"/>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sz w:val="21"/>
                      <w:szCs w:val="21"/>
                      <w:lang w:val="en-US" w:eastAsia="zh-CN"/>
                    </w:rPr>
                    <w:t>台</w:t>
                  </w:r>
                </w:p>
              </w:tc>
              <w:tc>
                <w:tcPr>
                  <w:tcW w:w="1200" w:type="dxa"/>
                  <w:tcBorders>
                    <w:tl2br w:val="nil"/>
                    <w:tr2bl w:val="nil"/>
                  </w:tcBorders>
                  <w:shd w:val="clear" w:color="auto" w:fill="auto"/>
                  <w:noWrap w:val="0"/>
                  <w:vAlign w:val="center"/>
                </w:tcPr>
                <w:p w14:paraId="35A129E5">
                  <w:pPr>
                    <w:keepNext w:val="0"/>
                    <w:keepLines w:val="0"/>
                    <w:pageBreakBefore w:val="0"/>
                    <w:widowControl w:val="0"/>
                    <w:kinsoku/>
                    <w:wordWrap/>
                    <w:overflowPunct/>
                    <w:topLinePunct w:val="0"/>
                    <w:autoSpaceDE/>
                    <w:autoSpaceDN/>
                    <w:bidi w:val="0"/>
                    <w:adjustRightInd/>
                    <w:snapToGrid/>
                    <w:spacing w:line="360" w:lineRule="auto"/>
                    <w:ind w:left="-105" w:leftChars="-50" w:right="-105" w:rightChars="-50"/>
                    <w:jc w:val="center"/>
                    <w:textAlignment w:val="auto"/>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1066" w:type="dxa"/>
                  <w:tcBorders>
                    <w:tl2br w:val="nil"/>
                    <w:tr2bl w:val="nil"/>
                  </w:tcBorders>
                  <w:shd w:val="clear" w:color="auto" w:fill="auto"/>
                  <w:noWrap w:val="0"/>
                  <w:vAlign w:val="center"/>
                </w:tcPr>
                <w:p w14:paraId="5C5ED36D">
                  <w:pPr>
                    <w:keepNext w:val="0"/>
                    <w:keepLines w:val="0"/>
                    <w:pageBreakBefore w:val="0"/>
                    <w:widowControl w:val="0"/>
                    <w:kinsoku/>
                    <w:wordWrap/>
                    <w:overflowPunct/>
                    <w:topLinePunct w:val="0"/>
                    <w:autoSpaceDE/>
                    <w:autoSpaceDN/>
                    <w:bidi w:val="0"/>
                    <w:adjustRightInd/>
                    <w:snapToGrid/>
                    <w:spacing w:line="360" w:lineRule="auto"/>
                    <w:ind w:left="-105" w:leftChars="-50" w:right="-105" w:rightChars="-50"/>
                    <w:jc w:val="center"/>
                    <w:textAlignment w:val="auto"/>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2334" w:type="dxa"/>
                  <w:vMerge w:val="continue"/>
                  <w:tcBorders>
                    <w:tl2br w:val="nil"/>
                    <w:tr2bl w:val="nil"/>
                  </w:tcBorders>
                  <w:noWrap w:val="0"/>
                  <w:vAlign w:val="center"/>
                </w:tcPr>
                <w:p w14:paraId="26B102D0">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lang w:val="en-US" w:eastAsia="zh-CN"/>
                    </w:rPr>
                  </w:pPr>
                </w:p>
              </w:tc>
            </w:tr>
            <w:tr w14:paraId="012590C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575" w:type="dxa"/>
                  <w:tcBorders>
                    <w:tl2br w:val="nil"/>
                    <w:tr2bl w:val="nil"/>
                  </w:tcBorders>
                  <w:noWrap w:val="0"/>
                  <w:vAlign w:val="center"/>
                </w:tcPr>
                <w:p w14:paraId="09D1BB7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b w:val="0"/>
                      <w:bCs w:val="0"/>
                      <w:color w:val="auto"/>
                      <w:sz w:val="21"/>
                      <w:szCs w:val="21"/>
                      <w:highlight w:val="none"/>
                      <w:lang w:val="en-US" w:eastAsia="zh-CN"/>
                    </w:rPr>
                    <w:t>3</w:t>
                  </w:r>
                </w:p>
              </w:tc>
              <w:tc>
                <w:tcPr>
                  <w:tcW w:w="2197" w:type="dxa"/>
                  <w:tcBorders>
                    <w:tl2br w:val="nil"/>
                    <w:tr2bl w:val="nil"/>
                  </w:tcBorders>
                  <w:shd w:val="clear" w:color="auto" w:fill="auto"/>
                  <w:noWrap w:val="0"/>
                  <w:vAlign w:val="top"/>
                </w:tcPr>
                <w:p w14:paraId="5DDF2C93">
                  <w:pPr>
                    <w:pStyle w:val="20"/>
                    <w:keepNext w:val="0"/>
                    <w:keepLines w:val="0"/>
                    <w:pageBreakBefore w:val="0"/>
                    <w:widowControl w:val="0"/>
                    <w:kinsoku/>
                    <w:wordWrap/>
                    <w:overflowPunct/>
                    <w:topLinePunct w:val="0"/>
                    <w:autoSpaceDE/>
                    <w:autoSpaceDN/>
                    <w:bidi w:val="0"/>
                    <w:spacing w:line="360" w:lineRule="auto"/>
                    <w:ind w:left="0" w:leftChars="0"/>
                    <w:textAlignment w:val="auto"/>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spacing w:val="-2"/>
                      <w:sz w:val="21"/>
                      <w:szCs w:val="21"/>
                    </w:rPr>
                    <w:t>涨紧装置</w:t>
                  </w:r>
                </w:p>
              </w:tc>
              <w:tc>
                <w:tcPr>
                  <w:tcW w:w="1034" w:type="dxa"/>
                  <w:tcBorders>
                    <w:tl2br w:val="nil"/>
                    <w:tr2bl w:val="nil"/>
                  </w:tcBorders>
                  <w:shd w:val="clear" w:color="auto" w:fill="auto"/>
                  <w:noWrap w:val="0"/>
                  <w:vAlign w:val="center"/>
                </w:tcPr>
                <w:p w14:paraId="642C2EF5">
                  <w:pPr>
                    <w:keepNext w:val="0"/>
                    <w:keepLines w:val="0"/>
                    <w:pageBreakBefore w:val="0"/>
                    <w:widowControl w:val="0"/>
                    <w:kinsoku/>
                    <w:wordWrap/>
                    <w:overflowPunct/>
                    <w:topLinePunct w:val="0"/>
                    <w:autoSpaceDE/>
                    <w:autoSpaceDN/>
                    <w:bidi w:val="0"/>
                    <w:adjustRightInd/>
                    <w:snapToGrid/>
                    <w:spacing w:line="360" w:lineRule="auto"/>
                    <w:ind w:left="-105" w:leftChars="-50" w:right="-105" w:rightChars="-50"/>
                    <w:jc w:val="center"/>
                    <w:textAlignment w:val="auto"/>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sz w:val="21"/>
                      <w:szCs w:val="21"/>
                      <w:lang w:val="en-US" w:eastAsia="zh-CN"/>
                    </w:rPr>
                    <w:t>台</w:t>
                  </w:r>
                </w:p>
              </w:tc>
              <w:tc>
                <w:tcPr>
                  <w:tcW w:w="1200" w:type="dxa"/>
                  <w:tcBorders>
                    <w:tl2br w:val="nil"/>
                    <w:tr2bl w:val="nil"/>
                  </w:tcBorders>
                  <w:shd w:val="clear" w:color="auto" w:fill="auto"/>
                  <w:noWrap w:val="0"/>
                  <w:vAlign w:val="center"/>
                </w:tcPr>
                <w:p w14:paraId="47EF730C">
                  <w:pPr>
                    <w:keepNext w:val="0"/>
                    <w:keepLines w:val="0"/>
                    <w:pageBreakBefore w:val="0"/>
                    <w:widowControl w:val="0"/>
                    <w:kinsoku/>
                    <w:wordWrap/>
                    <w:overflowPunct/>
                    <w:topLinePunct w:val="0"/>
                    <w:autoSpaceDE/>
                    <w:autoSpaceDN/>
                    <w:bidi w:val="0"/>
                    <w:adjustRightInd/>
                    <w:snapToGrid/>
                    <w:spacing w:line="360" w:lineRule="auto"/>
                    <w:ind w:left="-105" w:leftChars="-50" w:right="-105" w:rightChars="-50"/>
                    <w:jc w:val="center"/>
                    <w:textAlignment w:val="auto"/>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1066" w:type="dxa"/>
                  <w:tcBorders>
                    <w:tl2br w:val="nil"/>
                    <w:tr2bl w:val="nil"/>
                  </w:tcBorders>
                  <w:shd w:val="clear" w:color="auto" w:fill="auto"/>
                  <w:noWrap w:val="0"/>
                  <w:vAlign w:val="center"/>
                </w:tcPr>
                <w:p w14:paraId="51DEAE02">
                  <w:pPr>
                    <w:keepNext w:val="0"/>
                    <w:keepLines w:val="0"/>
                    <w:pageBreakBefore w:val="0"/>
                    <w:widowControl w:val="0"/>
                    <w:kinsoku/>
                    <w:wordWrap/>
                    <w:overflowPunct/>
                    <w:topLinePunct w:val="0"/>
                    <w:autoSpaceDE/>
                    <w:autoSpaceDN/>
                    <w:bidi w:val="0"/>
                    <w:adjustRightInd/>
                    <w:snapToGrid/>
                    <w:spacing w:line="360" w:lineRule="auto"/>
                    <w:ind w:left="-105" w:leftChars="-50" w:right="-105" w:rightChars="-50"/>
                    <w:jc w:val="center"/>
                    <w:textAlignment w:val="auto"/>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2334" w:type="dxa"/>
                  <w:vMerge w:val="continue"/>
                  <w:tcBorders>
                    <w:tl2br w:val="nil"/>
                    <w:tr2bl w:val="nil"/>
                  </w:tcBorders>
                  <w:noWrap w:val="0"/>
                  <w:vAlign w:val="center"/>
                </w:tcPr>
                <w:p w14:paraId="704B503E">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lang w:val="en-US" w:eastAsia="zh-CN"/>
                    </w:rPr>
                  </w:pPr>
                </w:p>
              </w:tc>
            </w:tr>
            <w:tr w14:paraId="63FC7D4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575" w:type="dxa"/>
                  <w:tcBorders>
                    <w:tl2br w:val="nil"/>
                    <w:tr2bl w:val="nil"/>
                  </w:tcBorders>
                  <w:noWrap w:val="0"/>
                  <w:vAlign w:val="center"/>
                </w:tcPr>
                <w:p w14:paraId="40DA3E8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b w:val="0"/>
                      <w:bCs w:val="0"/>
                      <w:color w:val="auto"/>
                      <w:sz w:val="21"/>
                      <w:szCs w:val="21"/>
                      <w:highlight w:val="none"/>
                      <w:lang w:val="en-US" w:eastAsia="zh-CN"/>
                    </w:rPr>
                    <w:t>4</w:t>
                  </w:r>
                </w:p>
              </w:tc>
              <w:tc>
                <w:tcPr>
                  <w:tcW w:w="2197" w:type="dxa"/>
                  <w:tcBorders>
                    <w:tl2br w:val="nil"/>
                    <w:tr2bl w:val="nil"/>
                  </w:tcBorders>
                  <w:shd w:val="clear" w:color="auto" w:fill="auto"/>
                  <w:noWrap w:val="0"/>
                  <w:vAlign w:val="top"/>
                </w:tcPr>
                <w:p w14:paraId="6D5A3E41">
                  <w:pPr>
                    <w:pStyle w:val="20"/>
                    <w:keepNext w:val="0"/>
                    <w:keepLines w:val="0"/>
                    <w:pageBreakBefore w:val="0"/>
                    <w:widowControl w:val="0"/>
                    <w:kinsoku/>
                    <w:wordWrap/>
                    <w:overflowPunct/>
                    <w:topLinePunct w:val="0"/>
                    <w:autoSpaceDE/>
                    <w:autoSpaceDN/>
                    <w:bidi w:val="0"/>
                    <w:spacing w:line="360" w:lineRule="auto"/>
                    <w:ind w:left="0" w:leftChars="0"/>
                    <w:textAlignment w:val="auto"/>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spacing w:val="1"/>
                      <w:sz w:val="21"/>
                      <w:szCs w:val="21"/>
                    </w:rPr>
                    <w:t>回转装置</w:t>
                  </w:r>
                </w:p>
              </w:tc>
              <w:tc>
                <w:tcPr>
                  <w:tcW w:w="1034" w:type="dxa"/>
                  <w:tcBorders>
                    <w:tl2br w:val="nil"/>
                    <w:tr2bl w:val="nil"/>
                  </w:tcBorders>
                  <w:shd w:val="clear" w:color="auto" w:fill="auto"/>
                  <w:noWrap w:val="0"/>
                  <w:vAlign w:val="center"/>
                </w:tcPr>
                <w:p w14:paraId="7968CDBA">
                  <w:pPr>
                    <w:keepNext w:val="0"/>
                    <w:keepLines w:val="0"/>
                    <w:pageBreakBefore w:val="0"/>
                    <w:widowControl w:val="0"/>
                    <w:kinsoku/>
                    <w:wordWrap/>
                    <w:overflowPunct/>
                    <w:topLinePunct w:val="0"/>
                    <w:autoSpaceDE/>
                    <w:autoSpaceDN/>
                    <w:bidi w:val="0"/>
                    <w:adjustRightInd/>
                    <w:snapToGrid/>
                    <w:spacing w:line="360" w:lineRule="auto"/>
                    <w:ind w:left="-105" w:leftChars="-50" w:right="-105" w:rightChars="-50"/>
                    <w:jc w:val="center"/>
                    <w:textAlignment w:val="auto"/>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sz w:val="21"/>
                      <w:szCs w:val="21"/>
                      <w:lang w:val="en-US" w:eastAsia="zh-CN"/>
                    </w:rPr>
                    <w:t>台</w:t>
                  </w:r>
                </w:p>
              </w:tc>
              <w:tc>
                <w:tcPr>
                  <w:tcW w:w="1200" w:type="dxa"/>
                  <w:tcBorders>
                    <w:tl2br w:val="nil"/>
                    <w:tr2bl w:val="nil"/>
                  </w:tcBorders>
                  <w:shd w:val="clear" w:color="auto" w:fill="auto"/>
                  <w:noWrap w:val="0"/>
                  <w:vAlign w:val="center"/>
                </w:tcPr>
                <w:p w14:paraId="3403BE01">
                  <w:pPr>
                    <w:keepNext w:val="0"/>
                    <w:keepLines w:val="0"/>
                    <w:pageBreakBefore w:val="0"/>
                    <w:widowControl w:val="0"/>
                    <w:kinsoku/>
                    <w:wordWrap/>
                    <w:overflowPunct/>
                    <w:topLinePunct w:val="0"/>
                    <w:autoSpaceDE/>
                    <w:autoSpaceDN/>
                    <w:bidi w:val="0"/>
                    <w:adjustRightInd/>
                    <w:snapToGrid/>
                    <w:spacing w:line="360" w:lineRule="auto"/>
                    <w:ind w:left="-105" w:leftChars="-50" w:right="-105" w:rightChars="-50"/>
                    <w:jc w:val="center"/>
                    <w:textAlignment w:val="auto"/>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1066" w:type="dxa"/>
                  <w:tcBorders>
                    <w:tl2br w:val="nil"/>
                    <w:tr2bl w:val="nil"/>
                  </w:tcBorders>
                  <w:shd w:val="clear" w:color="auto" w:fill="auto"/>
                  <w:noWrap w:val="0"/>
                  <w:vAlign w:val="center"/>
                </w:tcPr>
                <w:p w14:paraId="2A9ED630">
                  <w:pPr>
                    <w:keepNext w:val="0"/>
                    <w:keepLines w:val="0"/>
                    <w:pageBreakBefore w:val="0"/>
                    <w:widowControl w:val="0"/>
                    <w:kinsoku/>
                    <w:wordWrap/>
                    <w:overflowPunct/>
                    <w:topLinePunct w:val="0"/>
                    <w:autoSpaceDE/>
                    <w:autoSpaceDN/>
                    <w:bidi w:val="0"/>
                    <w:adjustRightInd/>
                    <w:snapToGrid/>
                    <w:spacing w:line="360" w:lineRule="auto"/>
                    <w:ind w:left="-105" w:leftChars="-50" w:right="-105" w:rightChars="-50"/>
                    <w:jc w:val="center"/>
                    <w:textAlignment w:val="auto"/>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2334" w:type="dxa"/>
                  <w:vMerge w:val="continue"/>
                  <w:tcBorders>
                    <w:tl2br w:val="nil"/>
                    <w:tr2bl w:val="nil"/>
                  </w:tcBorders>
                  <w:noWrap w:val="0"/>
                  <w:vAlign w:val="center"/>
                </w:tcPr>
                <w:p w14:paraId="5B216610">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lang w:val="en-US" w:eastAsia="zh-CN"/>
                    </w:rPr>
                  </w:pPr>
                </w:p>
              </w:tc>
            </w:tr>
            <w:tr w14:paraId="295D268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575" w:type="dxa"/>
                  <w:tcBorders>
                    <w:tl2br w:val="nil"/>
                    <w:tr2bl w:val="nil"/>
                  </w:tcBorders>
                  <w:noWrap w:val="0"/>
                  <w:vAlign w:val="center"/>
                </w:tcPr>
                <w:p w14:paraId="3A1565D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b w:val="0"/>
                      <w:bCs w:val="0"/>
                      <w:color w:val="auto"/>
                      <w:kern w:val="2"/>
                      <w:sz w:val="21"/>
                      <w:szCs w:val="21"/>
                      <w:highlight w:val="none"/>
                      <w:lang w:val="en-US" w:eastAsia="zh-CN" w:bidi="ar-SA"/>
                    </w:rPr>
                    <w:t>5</w:t>
                  </w:r>
                </w:p>
              </w:tc>
              <w:tc>
                <w:tcPr>
                  <w:tcW w:w="2197" w:type="dxa"/>
                  <w:tcBorders>
                    <w:tl2br w:val="nil"/>
                    <w:tr2bl w:val="nil"/>
                  </w:tcBorders>
                  <w:shd w:val="clear" w:color="auto" w:fill="auto"/>
                  <w:noWrap w:val="0"/>
                  <w:vAlign w:val="top"/>
                </w:tcPr>
                <w:p w14:paraId="41C87401">
                  <w:pPr>
                    <w:pStyle w:val="20"/>
                    <w:keepNext w:val="0"/>
                    <w:keepLines w:val="0"/>
                    <w:pageBreakBefore w:val="0"/>
                    <w:widowControl w:val="0"/>
                    <w:kinsoku/>
                    <w:wordWrap/>
                    <w:overflowPunct/>
                    <w:topLinePunct w:val="0"/>
                    <w:autoSpaceDE/>
                    <w:autoSpaceDN/>
                    <w:bidi w:val="0"/>
                    <w:spacing w:line="360" w:lineRule="auto"/>
                    <w:ind w:left="0" w:leftChars="0"/>
                    <w:textAlignment w:val="auto"/>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spacing w:val="6"/>
                      <w:sz w:val="21"/>
                      <w:szCs w:val="21"/>
                    </w:rPr>
                    <w:t>转挂站台</w:t>
                  </w:r>
                </w:p>
              </w:tc>
              <w:tc>
                <w:tcPr>
                  <w:tcW w:w="1034" w:type="dxa"/>
                  <w:tcBorders>
                    <w:tl2br w:val="nil"/>
                    <w:tr2bl w:val="nil"/>
                  </w:tcBorders>
                  <w:shd w:val="clear" w:color="auto" w:fill="auto"/>
                  <w:noWrap w:val="0"/>
                  <w:vAlign w:val="center"/>
                </w:tcPr>
                <w:p w14:paraId="23CF078F">
                  <w:pPr>
                    <w:keepNext w:val="0"/>
                    <w:keepLines w:val="0"/>
                    <w:pageBreakBefore w:val="0"/>
                    <w:widowControl w:val="0"/>
                    <w:kinsoku/>
                    <w:wordWrap/>
                    <w:overflowPunct/>
                    <w:topLinePunct w:val="0"/>
                    <w:autoSpaceDE/>
                    <w:autoSpaceDN/>
                    <w:bidi w:val="0"/>
                    <w:adjustRightInd/>
                    <w:snapToGrid/>
                    <w:spacing w:line="360" w:lineRule="auto"/>
                    <w:ind w:left="-105" w:leftChars="-50" w:right="-105" w:rightChars="-50"/>
                    <w:jc w:val="center"/>
                    <w:textAlignment w:val="auto"/>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sz w:val="21"/>
                      <w:szCs w:val="21"/>
                      <w:lang w:val="en-US" w:eastAsia="zh-CN"/>
                    </w:rPr>
                    <w:t>台</w:t>
                  </w:r>
                </w:p>
              </w:tc>
              <w:tc>
                <w:tcPr>
                  <w:tcW w:w="1200" w:type="dxa"/>
                  <w:tcBorders>
                    <w:tl2br w:val="nil"/>
                    <w:tr2bl w:val="nil"/>
                  </w:tcBorders>
                  <w:shd w:val="clear" w:color="auto" w:fill="auto"/>
                  <w:noWrap w:val="0"/>
                  <w:vAlign w:val="center"/>
                </w:tcPr>
                <w:p w14:paraId="4174BBD7">
                  <w:pPr>
                    <w:keepNext w:val="0"/>
                    <w:keepLines w:val="0"/>
                    <w:pageBreakBefore w:val="0"/>
                    <w:widowControl w:val="0"/>
                    <w:kinsoku/>
                    <w:wordWrap/>
                    <w:overflowPunct/>
                    <w:topLinePunct w:val="0"/>
                    <w:autoSpaceDE/>
                    <w:autoSpaceDN/>
                    <w:bidi w:val="0"/>
                    <w:adjustRightInd/>
                    <w:snapToGrid/>
                    <w:spacing w:line="360" w:lineRule="auto"/>
                    <w:ind w:left="-105" w:leftChars="-50" w:right="-105" w:rightChars="-50"/>
                    <w:jc w:val="center"/>
                    <w:textAlignment w:val="auto"/>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1066" w:type="dxa"/>
                  <w:tcBorders>
                    <w:tl2br w:val="nil"/>
                    <w:tr2bl w:val="nil"/>
                  </w:tcBorders>
                  <w:shd w:val="clear" w:color="auto" w:fill="auto"/>
                  <w:noWrap w:val="0"/>
                  <w:vAlign w:val="center"/>
                </w:tcPr>
                <w:p w14:paraId="06B6ED01">
                  <w:pPr>
                    <w:keepNext w:val="0"/>
                    <w:keepLines w:val="0"/>
                    <w:pageBreakBefore w:val="0"/>
                    <w:widowControl w:val="0"/>
                    <w:kinsoku/>
                    <w:wordWrap/>
                    <w:overflowPunct/>
                    <w:topLinePunct w:val="0"/>
                    <w:autoSpaceDE/>
                    <w:autoSpaceDN/>
                    <w:bidi w:val="0"/>
                    <w:adjustRightInd/>
                    <w:snapToGrid/>
                    <w:spacing w:line="360" w:lineRule="auto"/>
                    <w:ind w:left="-105" w:leftChars="-50" w:right="-105" w:rightChars="-50"/>
                    <w:jc w:val="center"/>
                    <w:textAlignment w:val="auto"/>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2334" w:type="dxa"/>
                  <w:vMerge w:val="continue"/>
                  <w:tcBorders>
                    <w:tl2br w:val="nil"/>
                    <w:tr2bl w:val="nil"/>
                  </w:tcBorders>
                  <w:noWrap w:val="0"/>
                  <w:vAlign w:val="center"/>
                </w:tcPr>
                <w:p w14:paraId="0FF57709">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lang w:val="en-US" w:eastAsia="zh-CN"/>
                    </w:rPr>
                  </w:pPr>
                </w:p>
              </w:tc>
            </w:tr>
            <w:tr w14:paraId="24A84B0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5" w:type="dxa"/>
                  <w:tcBorders>
                    <w:tl2br w:val="nil"/>
                    <w:tr2bl w:val="nil"/>
                  </w:tcBorders>
                  <w:noWrap w:val="0"/>
                  <w:vAlign w:val="center"/>
                </w:tcPr>
                <w:p w14:paraId="619CD31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b w:val="0"/>
                      <w:bCs w:val="0"/>
                      <w:color w:val="auto"/>
                      <w:kern w:val="2"/>
                      <w:sz w:val="21"/>
                      <w:szCs w:val="21"/>
                      <w:highlight w:val="none"/>
                      <w:lang w:val="en-US" w:eastAsia="zh-CN" w:bidi="ar-SA"/>
                    </w:rPr>
                    <w:t>6</w:t>
                  </w:r>
                </w:p>
              </w:tc>
              <w:tc>
                <w:tcPr>
                  <w:tcW w:w="2197" w:type="dxa"/>
                  <w:tcBorders>
                    <w:tl2br w:val="nil"/>
                    <w:tr2bl w:val="nil"/>
                  </w:tcBorders>
                  <w:shd w:val="clear" w:color="auto" w:fill="auto"/>
                  <w:noWrap w:val="0"/>
                  <w:vAlign w:val="top"/>
                </w:tcPr>
                <w:p w14:paraId="52488EE4">
                  <w:pPr>
                    <w:pStyle w:val="20"/>
                    <w:keepNext w:val="0"/>
                    <w:keepLines w:val="0"/>
                    <w:pageBreakBefore w:val="0"/>
                    <w:widowControl w:val="0"/>
                    <w:kinsoku/>
                    <w:wordWrap/>
                    <w:overflowPunct/>
                    <w:topLinePunct w:val="0"/>
                    <w:autoSpaceDE/>
                    <w:autoSpaceDN/>
                    <w:bidi w:val="0"/>
                    <w:spacing w:line="360" w:lineRule="auto"/>
                    <w:ind w:left="0" w:leftChars="0"/>
                    <w:textAlignment w:val="auto"/>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spacing w:val="-2"/>
                      <w:sz w:val="21"/>
                      <w:szCs w:val="21"/>
                    </w:rPr>
                    <w:t>扯皮机</w:t>
                  </w:r>
                </w:p>
              </w:tc>
              <w:tc>
                <w:tcPr>
                  <w:tcW w:w="1034" w:type="dxa"/>
                  <w:tcBorders>
                    <w:tl2br w:val="nil"/>
                    <w:tr2bl w:val="nil"/>
                  </w:tcBorders>
                  <w:shd w:val="clear" w:color="auto" w:fill="auto"/>
                  <w:noWrap w:val="0"/>
                  <w:vAlign w:val="center"/>
                </w:tcPr>
                <w:p w14:paraId="57AEAA5B">
                  <w:pPr>
                    <w:keepNext w:val="0"/>
                    <w:keepLines w:val="0"/>
                    <w:pageBreakBefore w:val="0"/>
                    <w:widowControl w:val="0"/>
                    <w:kinsoku/>
                    <w:wordWrap/>
                    <w:overflowPunct/>
                    <w:topLinePunct w:val="0"/>
                    <w:autoSpaceDE/>
                    <w:autoSpaceDN/>
                    <w:bidi w:val="0"/>
                    <w:adjustRightInd/>
                    <w:snapToGrid/>
                    <w:spacing w:line="360" w:lineRule="auto"/>
                    <w:ind w:left="-105" w:leftChars="-50" w:right="-105" w:rightChars="-50"/>
                    <w:jc w:val="center"/>
                    <w:textAlignment w:val="auto"/>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sz w:val="21"/>
                      <w:szCs w:val="21"/>
                      <w:lang w:val="en-US" w:eastAsia="zh-CN"/>
                    </w:rPr>
                    <w:t>台</w:t>
                  </w:r>
                </w:p>
              </w:tc>
              <w:tc>
                <w:tcPr>
                  <w:tcW w:w="1200" w:type="dxa"/>
                  <w:tcBorders>
                    <w:tl2br w:val="nil"/>
                    <w:tr2bl w:val="nil"/>
                  </w:tcBorders>
                  <w:shd w:val="clear" w:color="auto" w:fill="auto"/>
                  <w:noWrap w:val="0"/>
                  <w:vAlign w:val="center"/>
                </w:tcPr>
                <w:p w14:paraId="5EC32ADE">
                  <w:pPr>
                    <w:keepNext w:val="0"/>
                    <w:keepLines w:val="0"/>
                    <w:pageBreakBefore w:val="0"/>
                    <w:widowControl w:val="0"/>
                    <w:kinsoku/>
                    <w:wordWrap/>
                    <w:overflowPunct/>
                    <w:topLinePunct w:val="0"/>
                    <w:autoSpaceDE/>
                    <w:autoSpaceDN/>
                    <w:bidi w:val="0"/>
                    <w:adjustRightInd/>
                    <w:snapToGrid/>
                    <w:spacing w:line="360" w:lineRule="auto"/>
                    <w:ind w:left="-105" w:leftChars="-50" w:right="-105" w:rightChars="-50"/>
                    <w:jc w:val="center"/>
                    <w:textAlignment w:val="auto"/>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1066" w:type="dxa"/>
                  <w:tcBorders>
                    <w:tl2br w:val="nil"/>
                    <w:tr2bl w:val="nil"/>
                  </w:tcBorders>
                  <w:shd w:val="clear" w:color="auto" w:fill="auto"/>
                  <w:noWrap w:val="0"/>
                  <w:vAlign w:val="center"/>
                </w:tcPr>
                <w:p w14:paraId="7A5478CE">
                  <w:pPr>
                    <w:keepNext w:val="0"/>
                    <w:keepLines w:val="0"/>
                    <w:pageBreakBefore w:val="0"/>
                    <w:widowControl w:val="0"/>
                    <w:kinsoku/>
                    <w:wordWrap/>
                    <w:overflowPunct/>
                    <w:topLinePunct w:val="0"/>
                    <w:autoSpaceDE/>
                    <w:autoSpaceDN/>
                    <w:bidi w:val="0"/>
                    <w:adjustRightInd/>
                    <w:snapToGrid/>
                    <w:spacing w:line="360" w:lineRule="auto"/>
                    <w:ind w:left="-105" w:leftChars="-50" w:right="-105" w:rightChars="-50"/>
                    <w:jc w:val="center"/>
                    <w:textAlignment w:val="auto"/>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2334" w:type="dxa"/>
                  <w:vMerge w:val="continue"/>
                  <w:tcBorders>
                    <w:tl2br w:val="nil"/>
                    <w:tr2bl w:val="nil"/>
                  </w:tcBorders>
                  <w:noWrap w:val="0"/>
                  <w:vAlign w:val="center"/>
                </w:tcPr>
                <w:p w14:paraId="474CF4DB">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lang w:val="en-US" w:eastAsia="zh-CN"/>
                    </w:rPr>
                  </w:pPr>
                </w:p>
              </w:tc>
            </w:tr>
            <w:tr w14:paraId="15A4EBF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575" w:type="dxa"/>
                  <w:tcBorders>
                    <w:tl2br w:val="nil"/>
                    <w:tr2bl w:val="nil"/>
                  </w:tcBorders>
                  <w:noWrap w:val="0"/>
                  <w:vAlign w:val="center"/>
                </w:tcPr>
                <w:p w14:paraId="50B2CF7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b w:val="0"/>
                      <w:bCs w:val="0"/>
                      <w:color w:val="auto"/>
                      <w:kern w:val="2"/>
                      <w:sz w:val="21"/>
                      <w:szCs w:val="21"/>
                      <w:highlight w:val="none"/>
                      <w:lang w:val="en-US" w:eastAsia="zh-CN" w:bidi="ar-SA"/>
                    </w:rPr>
                    <w:t>7</w:t>
                  </w:r>
                </w:p>
              </w:tc>
              <w:tc>
                <w:tcPr>
                  <w:tcW w:w="2197" w:type="dxa"/>
                  <w:tcBorders>
                    <w:tl2br w:val="nil"/>
                    <w:tr2bl w:val="nil"/>
                  </w:tcBorders>
                  <w:shd w:val="clear" w:color="auto" w:fill="auto"/>
                  <w:noWrap w:val="0"/>
                  <w:vAlign w:val="top"/>
                </w:tcPr>
                <w:p w14:paraId="0D1860B1">
                  <w:pPr>
                    <w:pStyle w:val="20"/>
                    <w:keepNext w:val="0"/>
                    <w:keepLines w:val="0"/>
                    <w:pageBreakBefore w:val="0"/>
                    <w:widowControl w:val="0"/>
                    <w:kinsoku/>
                    <w:wordWrap/>
                    <w:overflowPunct/>
                    <w:topLinePunct w:val="0"/>
                    <w:autoSpaceDE/>
                    <w:autoSpaceDN/>
                    <w:bidi w:val="0"/>
                    <w:spacing w:line="360" w:lineRule="auto"/>
                    <w:ind w:left="0" w:leftChars="0"/>
                    <w:textAlignment w:val="auto"/>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spacing w:val="1"/>
                      <w:sz w:val="21"/>
                      <w:szCs w:val="21"/>
                    </w:rPr>
                    <w:t>半封闭制冷压缩机</w:t>
                  </w:r>
                </w:p>
              </w:tc>
              <w:tc>
                <w:tcPr>
                  <w:tcW w:w="1034" w:type="dxa"/>
                  <w:tcBorders>
                    <w:tl2br w:val="nil"/>
                    <w:tr2bl w:val="nil"/>
                  </w:tcBorders>
                  <w:shd w:val="clear" w:color="auto" w:fill="auto"/>
                  <w:noWrap w:val="0"/>
                  <w:vAlign w:val="center"/>
                </w:tcPr>
                <w:p w14:paraId="0BBA79AF">
                  <w:pPr>
                    <w:keepNext w:val="0"/>
                    <w:keepLines w:val="0"/>
                    <w:pageBreakBefore w:val="0"/>
                    <w:widowControl w:val="0"/>
                    <w:kinsoku/>
                    <w:wordWrap/>
                    <w:overflowPunct/>
                    <w:topLinePunct w:val="0"/>
                    <w:autoSpaceDE/>
                    <w:autoSpaceDN/>
                    <w:bidi w:val="0"/>
                    <w:adjustRightInd/>
                    <w:snapToGrid/>
                    <w:spacing w:line="360" w:lineRule="auto"/>
                    <w:ind w:left="-105" w:leftChars="-50" w:right="-105" w:rightChars="-50"/>
                    <w:jc w:val="center"/>
                    <w:textAlignment w:val="auto"/>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sz w:val="21"/>
                      <w:szCs w:val="21"/>
                      <w:lang w:val="en-US" w:eastAsia="zh-CN"/>
                    </w:rPr>
                    <w:t>台</w:t>
                  </w:r>
                </w:p>
              </w:tc>
              <w:tc>
                <w:tcPr>
                  <w:tcW w:w="1200" w:type="dxa"/>
                  <w:tcBorders>
                    <w:tl2br w:val="nil"/>
                    <w:tr2bl w:val="nil"/>
                  </w:tcBorders>
                  <w:shd w:val="clear" w:color="auto" w:fill="auto"/>
                  <w:noWrap w:val="0"/>
                  <w:vAlign w:val="center"/>
                </w:tcPr>
                <w:p w14:paraId="5F7F1FD2">
                  <w:pPr>
                    <w:keepNext w:val="0"/>
                    <w:keepLines w:val="0"/>
                    <w:pageBreakBefore w:val="0"/>
                    <w:widowControl w:val="0"/>
                    <w:kinsoku/>
                    <w:wordWrap/>
                    <w:overflowPunct/>
                    <w:topLinePunct w:val="0"/>
                    <w:autoSpaceDE/>
                    <w:autoSpaceDN/>
                    <w:bidi w:val="0"/>
                    <w:adjustRightInd/>
                    <w:snapToGrid/>
                    <w:spacing w:line="360" w:lineRule="auto"/>
                    <w:ind w:left="-105" w:leftChars="-50" w:right="-105" w:rightChars="-50"/>
                    <w:jc w:val="center"/>
                    <w:textAlignment w:val="auto"/>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1066" w:type="dxa"/>
                  <w:tcBorders>
                    <w:tl2br w:val="nil"/>
                    <w:tr2bl w:val="nil"/>
                  </w:tcBorders>
                  <w:shd w:val="clear" w:color="auto" w:fill="auto"/>
                  <w:noWrap w:val="0"/>
                  <w:vAlign w:val="center"/>
                </w:tcPr>
                <w:p w14:paraId="564E6895">
                  <w:pPr>
                    <w:keepNext w:val="0"/>
                    <w:keepLines w:val="0"/>
                    <w:pageBreakBefore w:val="0"/>
                    <w:widowControl w:val="0"/>
                    <w:kinsoku/>
                    <w:wordWrap/>
                    <w:overflowPunct/>
                    <w:topLinePunct w:val="0"/>
                    <w:autoSpaceDE/>
                    <w:autoSpaceDN/>
                    <w:bidi w:val="0"/>
                    <w:adjustRightInd/>
                    <w:snapToGrid/>
                    <w:spacing w:line="360" w:lineRule="auto"/>
                    <w:ind w:left="-105" w:leftChars="-50" w:right="-105" w:rightChars="-50"/>
                    <w:jc w:val="center"/>
                    <w:textAlignment w:val="auto"/>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2334" w:type="dxa"/>
                  <w:vMerge w:val="continue"/>
                  <w:tcBorders>
                    <w:tl2br w:val="nil"/>
                    <w:tr2bl w:val="nil"/>
                  </w:tcBorders>
                  <w:noWrap w:val="0"/>
                  <w:vAlign w:val="center"/>
                </w:tcPr>
                <w:p w14:paraId="731B3F7C">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color w:val="auto"/>
                      <w:kern w:val="2"/>
                      <w:sz w:val="21"/>
                      <w:szCs w:val="21"/>
                      <w:highlight w:val="none"/>
                      <w:lang w:val="en-US" w:eastAsia="zh-CN" w:bidi="ar-SA"/>
                    </w:rPr>
                  </w:pPr>
                </w:p>
              </w:tc>
            </w:tr>
            <w:tr w14:paraId="7D9FAF5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575" w:type="dxa"/>
                  <w:tcBorders>
                    <w:tl2br w:val="nil"/>
                    <w:tr2bl w:val="nil"/>
                  </w:tcBorders>
                  <w:noWrap w:val="0"/>
                  <w:vAlign w:val="center"/>
                </w:tcPr>
                <w:p w14:paraId="6D1E9FD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b w:val="0"/>
                      <w:bCs w:val="0"/>
                      <w:color w:val="auto"/>
                      <w:kern w:val="2"/>
                      <w:sz w:val="21"/>
                      <w:szCs w:val="21"/>
                      <w:highlight w:val="none"/>
                      <w:lang w:val="en-US" w:eastAsia="zh-CN" w:bidi="ar-SA"/>
                    </w:rPr>
                    <w:t>8</w:t>
                  </w:r>
                </w:p>
              </w:tc>
              <w:tc>
                <w:tcPr>
                  <w:tcW w:w="2197" w:type="dxa"/>
                  <w:tcBorders>
                    <w:tl2br w:val="nil"/>
                    <w:tr2bl w:val="nil"/>
                  </w:tcBorders>
                  <w:shd w:val="clear" w:color="auto" w:fill="auto"/>
                  <w:noWrap w:val="0"/>
                  <w:vAlign w:val="top"/>
                </w:tcPr>
                <w:p w14:paraId="5775FAD0">
                  <w:pPr>
                    <w:pStyle w:val="20"/>
                    <w:keepNext w:val="0"/>
                    <w:keepLines w:val="0"/>
                    <w:pageBreakBefore w:val="0"/>
                    <w:widowControl w:val="0"/>
                    <w:kinsoku/>
                    <w:wordWrap/>
                    <w:overflowPunct/>
                    <w:topLinePunct w:val="0"/>
                    <w:autoSpaceDE/>
                    <w:autoSpaceDN/>
                    <w:bidi w:val="0"/>
                    <w:spacing w:line="360" w:lineRule="auto"/>
                    <w:ind w:left="0" w:leftChars="0"/>
                    <w:textAlignment w:val="auto"/>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spacing w:val="3"/>
                      <w:sz w:val="21"/>
                      <w:szCs w:val="21"/>
                    </w:rPr>
                    <w:t>白条轨道线</w:t>
                  </w:r>
                </w:p>
              </w:tc>
              <w:tc>
                <w:tcPr>
                  <w:tcW w:w="1034" w:type="dxa"/>
                  <w:tcBorders>
                    <w:tl2br w:val="nil"/>
                    <w:tr2bl w:val="nil"/>
                  </w:tcBorders>
                  <w:shd w:val="clear" w:color="auto" w:fill="auto"/>
                  <w:noWrap w:val="0"/>
                  <w:vAlign w:val="center"/>
                </w:tcPr>
                <w:p w14:paraId="00D9B0B2">
                  <w:pPr>
                    <w:keepNext w:val="0"/>
                    <w:keepLines w:val="0"/>
                    <w:pageBreakBefore w:val="0"/>
                    <w:widowControl w:val="0"/>
                    <w:kinsoku/>
                    <w:wordWrap/>
                    <w:overflowPunct/>
                    <w:topLinePunct w:val="0"/>
                    <w:autoSpaceDE/>
                    <w:autoSpaceDN/>
                    <w:bidi w:val="0"/>
                    <w:adjustRightInd/>
                    <w:snapToGrid/>
                    <w:spacing w:line="360" w:lineRule="auto"/>
                    <w:ind w:left="-105" w:leftChars="-50" w:right="-105" w:rightChars="-50"/>
                    <w:jc w:val="center"/>
                    <w:textAlignment w:val="auto"/>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sz w:val="21"/>
                      <w:szCs w:val="21"/>
                      <w:lang w:val="en-US" w:eastAsia="zh-CN"/>
                    </w:rPr>
                    <w:t>条</w:t>
                  </w:r>
                </w:p>
              </w:tc>
              <w:tc>
                <w:tcPr>
                  <w:tcW w:w="1200" w:type="dxa"/>
                  <w:tcBorders>
                    <w:tl2br w:val="nil"/>
                    <w:tr2bl w:val="nil"/>
                  </w:tcBorders>
                  <w:shd w:val="clear" w:color="auto" w:fill="auto"/>
                  <w:noWrap w:val="0"/>
                  <w:vAlign w:val="center"/>
                </w:tcPr>
                <w:p w14:paraId="0097A7FE">
                  <w:pPr>
                    <w:keepNext w:val="0"/>
                    <w:keepLines w:val="0"/>
                    <w:pageBreakBefore w:val="0"/>
                    <w:widowControl w:val="0"/>
                    <w:kinsoku/>
                    <w:wordWrap/>
                    <w:overflowPunct/>
                    <w:topLinePunct w:val="0"/>
                    <w:autoSpaceDE/>
                    <w:autoSpaceDN/>
                    <w:bidi w:val="0"/>
                    <w:adjustRightInd/>
                    <w:snapToGrid/>
                    <w:spacing w:line="360" w:lineRule="auto"/>
                    <w:ind w:left="-105" w:leftChars="-50" w:right="-105" w:rightChars="-50"/>
                    <w:jc w:val="center"/>
                    <w:textAlignment w:val="auto"/>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1066" w:type="dxa"/>
                  <w:tcBorders>
                    <w:tl2br w:val="nil"/>
                    <w:tr2bl w:val="nil"/>
                  </w:tcBorders>
                  <w:shd w:val="clear" w:color="auto" w:fill="auto"/>
                  <w:noWrap w:val="0"/>
                  <w:vAlign w:val="center"/>
                </w:tcPr>
                <w:p w14:paraId="2491E394">
                  <w:pPr>
                    <w:keepNext w:val="0"/>
                    <w:keepLines w:val="0"/>
                    <w:pageBreakBefore w:val="0"/>
                    <w:widowControl w:val="0"/>
                    <w:kinsoku/>
                    <w:wordWrap/>
                    <w:overflowPunct/>
                    <w:topLinePunct w:val="0"/>
                    <w:autoSpaceDE/>
                    <w:autoSpaceDN/>
                    <w:bidi w:val="0"/>
                    <w:adjustRightInd/>
                    <w:snapToGrid/>
                    <w:spacing w:line="360" w:lineRule="auto"/>
                    <w:ind w:left="-105" w:leftChars="-50" w:right="-105" w:rightChars="-50"/>
                    <w:jc w:val="center"/>
                    <w:textAlignment w:val="auto"/>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2334" w:type="dxa"/>
                  <w:vMerge w:val="continue"/>
                  <w:tcBorders>
                    <w:tl2br w:val="nil"/>
                    <w:tr2bl w:val="nil"/>
                  </w:tcBorders>
                  <w:noWrap w:val="0"/>
                  <w:vAlign w:val="center"/>
                </w:tcPr>
                <w:p w14:paraId="10E64522">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color w:val="auto"/>
                      <w:kern w:val="2"/>
                      <w:sz w:val="21"/>
                      <w:szCs w:val="21"/>
                      <w:highlight w:val="none"/>
                      <w:lang w:val="en-US" w:eastAsia="zh-CN" w:bidi="ar-SA"/>
                    </w:rPr>
                  </w:pPr>
                </w:p>
              </w:tc>
            </w:tr>
            <w:tr w14:paraId="2162C3E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575" w:type="dxa"/>
                  <w:tcBorders>
                    <w:tl2br w:val="nil"/>
                    <w:tr2bl w:val="nil"/>
                  </w:tcBorders>
                  <w:noWrap w:val="0"/>
                  <w:vAlign w:val="center"/>
                </w:tcPr>
                <w:p w14:paraId="26E3F75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b w:val="0"/>
                      <w:bCs w:val="0"/>
                      <w:color w:val="auto"/>
                      <w:kern w:val="2"/>
                      <w:sz w:val="21"/>
                      <w:szCs w:val="21"/>
                      <w:highlight w:val="none"/>
                      <w:lang w:val="en-US" w:eastAsia="zh-CN" w:bidi="ar-SA"/>
                    </w:rPr>
                    <w:t>9</w:t>
                  </w:r>
                </w:p>
              </w:tc>
              <w:tc>
                <w:tcPr>
                  <w:tcW w:w="2197" w:type="dxa"/>
                  <w:tcBorders>
                    <w:tl2br w:val="nil"/>
                    <w:tr2bl w:val="nil"/>
                  </w:tcBorders>
                  <w:shd w:val="clear" w:color="auto" w:fill="auto"/>
                  <w:noWrap w:val="0"/>
                  <w:vAlign w:val="top"/>
                </w:tcPr>
                <w:p w14:paraId="7B6D9A3D">
                  <w:pPr>
                    <w:pStyle w:val="20"/>
                    <w:keepNext w:val="0"/>
                    <w:keepLines w:val="0"/>
                    <w:pageBreakBefore w:val="0"/>
                    <w:widowControl w:val="0"/>
                    <w:kinsoku/>
                    <w:wordWrap/>
                    <w:overflowPunct/>
                    <w:topLinePunct w:val="0"/>
                    <w:autoSpaceDE/>
                    <w:autoSpaceDN/>
                    <w:bidi w:val="0"/>
                    <w:spacing w:line="360" w:lineRule="auto"/>
                    <w:ind w:left="0" w:leftChars="0"/>
                    <w:textAlignment w:val="auto"/>
                    <w:rPr>
                      <w:rFonts w:hint="eastAsia" w:ascii="宋体" w:hAnsi="宋体" w:eastAsia="宋体" w:cs="宋体"/>
                      <w:i w:val="0"/>
                      <w:iCs w:val="0"/>
                      <w:color w:val="auto"/>
                      <w:kern w:val="2"/>
                      <w:sz w:val="21"/>
                      <w:szCs w:val="21"/>
                      <w:u w:val="none"/>
                      <w:shd w:val="clear" w:color="auto" w:fill="auto"/>
                      <w:lang w:val="en-US" w:eastAsia="zh-CN" w:bidi="ar-SA"/>
                    </w:rPr>
                  </w:pPr>
                  <w:r>
                    <w:rPr>
                      <w:rFonts w:hint="eastAsia" w:ascii="宋体" w:hAnsi="宋体" w:eastAsia="宋体" w:cs="宋体"/>
                      <w:spacing w:val="5"/>
                      <w:sz w:val="21"/>
                      <w:szCs w:val="21"/>
                    </w:rPr>
                    <w:t>弯轨</w:t>
                  </w:r>
                </w:p>
              </w:tc>
              <w:tc>
                <w:tcPr>
                  <w:tcW w:w="1034" w:type="dxa"/>
                  <w:tcBorders>
                    <w:tl2br w:val="nil"/>
                    <w:tr2bl w:val="nil"/>
                  </w:tcBorders>
                  <w:shd w:val="clear" w:color="auto" w:fill="auto"/>
                  <w:noWrap w:val="0"/>
                  <w:vAlign w:val="center"/>
                </w:tcPr>
                <w:p w14:paraId="732D2F97">
                  <w:pPr>
                    <w:keepNext w:val="0"/>
                    <w:keepLines w:val="0"/>
                    <w:pageBreakBefore w:val="0"/>
                    <w:widowControl w:val="0"/>
                    <w:kinsoku/>
                    <w:wordWrap/>
                    <w:overflowPunct/>
                    <w:topLinePunct w:val="0"/>
                    <w:autoSpaceDE/>
                    <w:autoSpaceDN/>
                    <w:bidi w:val="0"/>
                    <w:adjustRightInd/>
                    <w:snapToGrid/>
                    <w:spacing w:line="360" w:lineRule="auto"/>
                    <w:ind w:left="-105" w:leftChars="-50" w:right="-105" w:rightChars="-50"/>
                    <w:jc w:val="center"/>
                    <w:textAlignment w:val="auto"/>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sz w:val="21"/>
                      <w:szCs w:val="21"/>
                      <w:lang w:val="en-US" w:eastAsia="zh-CN"/>
                    </w:rPr>
                    <w:t>套</w:t>
                  </w:r>
                </w:p>
              </w:tc>
              <w:tc>
                <w:tcPr>
                  <w:tcW w:w="1200" w:type="dxa"/>
                  <w:tcBorders>
                    <w:tl2br w:val="nil"/>
                    <w:tr2bl w:val="nil"/>
                  </w:tcBorders>
                  <w:shd w:val="clear" w:color="auto" w:fill="auto"/>
                  <w:noWrap w:val="0"/>
                  <w:vAlign w:val="center"/>
                </w:tcPr>
                <w:p w14:paraId="7555D5BA">
                  <w:pPr>
                    <w:keepNext w:val="0"/>
                    <w:keepLines w:val="0"/>
                    <w:pageBreakBefore w:val="0"/>
                    <w:widowControl w:val="0"/>
                    <w:kinsoku/>
                    <w:wordWrap/>
                    <w:overflowPunct/>
                    <w:topLinePunct w:val="0"/>
                    <w:autoSpaceDE/>
                    <w:autoSpaceDN/>
                    <w:bidi w:val="0"/>
                    <w:adjustRightInd/>
                    <w:snapToGrid/>
                    <w:spacing w:line="360" w:lineRule="auto"/>
                    <w:ind w:left="-105" w:leftChars="-50" w:right="-105" w:rightChars="-50"/>
                    <w:jc w:val="center"/>
                    <w:textAlignment w:val="auto"/>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1066" w:type="dxa"/>
                  <w:tcBorders>
                    <w:tl2br w:val="nil"/>
                    <w:tr2bl w:val="nil"/>
                  </w:tcBorders>
                  <w:shd w:val="clear" w:color="auto" w:fill="auto"/>
                  <w:noWrap w:val="0"/>
                  <w:vAlign w:val="center"/>
                </w:tcPr>
                <w:p w14:paraId="61F6B9D5">
                  <w:pPr>
                    <w:keepNext w:val="0"/>
                    <w:keepLines w:val="0"/>
                    <w:pageBreakBefore w:val="0"/>
                    <w:widowControl w:val="0"/>
                    <w:kinsoku/>
                    <w:wordWrap/>
                    <w:overflowPunct/>
                    <w:topLinePunct w:val="0"/>
                    <w:autoSpaceDE/>
                    <w:autoSpaceDN/>
                    <w:bidi w:val="0"/>
                    <w:adjustRightInd/>
                    <w:snapToGrid/>
                    <w:spacing w:line="360" w:lineRule="auto"/>
                    <w:ind w:left="-105" w:leftChars="-50" w:right="-105" w:rightChars="-50"/>
                    <w:jc w:val="center"/>
                    <w:textAlignment w:val="auto"/>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2334" w:type="dxa"/>
                  <w:vMerge w:val="continue"/>
                  <w:tcBorders>
                    <w:tl2br w:val="nil"/>
                    <w:tr2bl w:val="nil"/>
                  </w:tcBorders>
                  <w:noWrap w:val="0"/>
                  <w:vAlign w:val="center"/>
                </w:tcPr>
                <w:p w14:paraId="6D026E9F">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color w:val="auto"/>
                      <w:kern w:val="2"/>
                      <w:sz w:val="21"/>
                      <w:szCs w:val="21"/>
                      <w:highlight w:val="none"/>
                      <w:lang w:val="en-US" w:eastAsia="zh-CN" w:bidi="ar-SA"/>
                    </w:rPr>
                  </w:pPr>
                </w:p>
              </w:tc>
            </w:tr>
            <w:tr w14:paraId="08E3F2A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575" w:type="dxa"/>
                  <w:tcBorders>
                    <w:tl2br w:val="nil"/>
                    <w:tr2bl w:val="nil"/>
                  </w:tcBorders>
                  <w:noWrap w:val="0"/>
                  <w:vAlign w:val="center"/>
                </w:tcPr>
                <w:p w14:paraId="2D76747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b w:val="0"/>
                      <w:bCs w:val="0"/>
                      <w:color w:val="auto"/>
                      <w:kern w:val="2"/>
                      <w:sz w:val="21"/>
                      <w:szCs w:val="21"/>
                      <w:highlight w:val="none"/>
                      <w:lang w:val="en-US" w:eastAsia="zh-CN" w:bidi="ar-SA"/>
                    </w:rPr>
                    <w:t>10</w:t>
                  </w:r>
                </w:p>
              </w:tc>
              <w:tc>
                <w:tcPr>
                  <w:tcW w:w="2197" w:type="dxa"/>
                  <w:tcBorders>
                    <w:tl2br w:val="nil"/>
                    <w:tr2bl w:val="nil"/>
                  </w:tcBorders>
                  <w:shd w:val="clear" w:color="auto" w:fill="auto"/>
                  <w:noWrap w:val="0"/>
                  <w:vAlign w:val="top"/>
                </w:tcPr>
                <w:p w14:paraId="4C97602E">
                  <w:pPr>
                    <w:pStyle w:val="20"/>
                    <w:keepNext w:val="0"/>
                    <w:keepLines w:val="0"/>
                    <w:pageBreakBefore w:val="0"/>
                    <w:widowControl w:val="0"/>
                    <w:kinsoku/>
                    <w:wordWrap/>
                    <w:overflowPunct/>
                    <w:topLinePunct w:val="0"/>
                    <w:autoSpaceDE/>
                    <w:autoSpaceDN/>
                    <w:bidi w:val="0"/>
                    <w:spacing w:line="360" w:lineRule="auto"/>
                    <w:ind w:left="0" w:leftChars="0"/>
                    <w:textAlignment w:val="auto"/>
                    <w:rPr>
                      <w:rFonts w:hint="eastAsia" w:ascii="宋体" w:hAnsi="宋体" w:eastAsia="宋体" w:cs="宋体"/>
                      <w:i w:val="0"/>
                      <w:iCs w:val="0"/>
                      <w:color w:val="auto"/>
                      <w:kern w:val="2"/>
                      <w:sz w:val="21"/>
                      <w:szCs w:val="21"/>
                      <w:u w:val="none"/>
                      <w:shd w:val="clear" w:color="auto" w:fill="auto"/>
                      <w:lang w:val="en-US" w:eastAsia="zh-CN" w:bidi="ar-SA"/>
                    </w:rPr>
                  </w:pPr>
                  <w:r>
                    <w:rPr>
                      <w:rFonts w:hint="eastAsia" w:ascii="宋体" w:hAnsi="宋体" w:eastAsia="宋体" w:cs="宋体"/>
                      <w:spacing w:val="-2"/>
                      <w:sz w:val="21"/>
                      <w:szCs w:val="21"/>
                    </w:rPr>
                    <w:t>单向道路</w:t>
                  </w:r>
                </w:p>
              </w:tc>
              <w:tc>
                <w:tcPr>
                  <w:tcW w:w="1034" w:type="dxa"/>
                  <w:tcBorders>
                    <w:tl2br w:val="nil"/>
                    <w:tr2bl w:val="nil"/>
                  </w:tcBorders>
                  <w:shd w:val="clear" w:color="auto" w:fill="auto"/>
                  <w:noWrap w:val="0"/>
                  <w:vAlign w:val="center"/>
                </w:tcPr>
                <w:p w14:paraId="2632327D">
                  <w:pPr>
                    <w:keepNext w:val="0"/>
                    <w:keepLines w:val="0"/>
                    <w:pageBreakBefore w:val="0"/>
                    <w:widowControl w:val="0"/>
                    <w:kinsoku/>
                    <w:wordWrap/>
                    <w:overflowPunct/>
                    <w:topLinePunct w:val="0"/>
                    <w:autoSpaceDE/>
                    <w:autoSpaceDN/>
                    <w:bidi w:val="0"/>
                    <w:adjustRightInd/>
                    <w:snapToGrid/>
                    <w:spacing w:line="360" w:lineRule="auto"/>
                    <w:ind w:left="-105" w:leftChars="-50" w:right="-105" w:rightChars="-50"/>
                    <w:jc w:val="center"/>
                    <w:textAlignment w:val="auto"/>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sz w:val="21"/>
                      <w:szCs w:val="21"/>
                      <w:lang w:val="en-US" w:eastAsia="zh-CN"/>
                    </w:rPr>
                    <w:t>台</w:t>
                  </w:r>
                </w:p>
              </w:tc>
              <w:tc>
                <w:tcPr>
                  <w:tcW w:w="1200" w:type="dxa"/>
                  <w:tcBorders>
                    <w:tl2br w:val="nil"/>
                    <w:tr2bl w:val="nil"/>
                  </w:tcBorders>
                  <w:shd w:val="clear" w:color="auto" w:fill="auto"/>
                  <w:noWrap w:val="0"/>
                  <w:vAlign w:val="center"/>
                </w:tcPr>
                <w:p w14:paraId="3F128427">
                  <w:pPr>
                    <w:keepNext w:val="0"/>
                    <w:keepLines w:val="0"/>
                    <w:pageBreakBefore w:val="0"/>
                    <w:widowControl w:val="0"/>
                    <w:kinsoku/>
                    <w:wordWrap/>
                    <w:overflowPunct/>
                    <w:topLinePunct w:val="0"/>
                    <w:autoSpaceDE/>
                    <w:autoSpaceDN/>
                    <w:bidi w:val="0"/>
                    <w:adjustRightInd/>
                    <w:snapToGrid/>
                    <w:spacing w:line="360" w:lineRule="auto"/>
                    <w:ind w:left="-105" w:leftChars="-50" w:right="-105" w:rightChars="-50"/>
                    <w:jc w:val="center"/>
                    <w:textAlignment w:val="auto"/>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1066" w:type="dxa"/>
                  <w:tcBorders>
                    <w:tl2br w:val="nil"/>
                    <w:tr2bl w:val="nil"/>
                  </w:tcBorders>
                  <w:shd w:val="clear" w:color="auto" w:fill="auto"/>
                  <w:noWrap w:val="0"/>
                  <w:vAlign w:val="center"/>
                </w:tcPr>
                <w:p w14:paraId="457E548E">
                  <w:pPr>
                    <w:keepNext w:val="0"/>
                    <w:keepLines w:val="0"/>
                    <w:pageBreakBefore w:val="0"/>
                    <w:widowControl w:val="0"/>
                    <w:kinsoku/>
                    <w:wordWrap/>
                    <w:overflowPunct/>
                    <w:topLinePunct w:val="0"/>
                    <w:autoSpaceDE/>
                    <w:autoSpaceDN/>
                    <w:bidi w:val="0"/>
                    <w:adjustRightInd/>
                    <w:snapToGrid/>
                    <w:spacing w:line="360" w:lineRule="auto"/>
                    <w:ind w:left="-105" w:leftChars="-50" w:right="-105" w:rightChars="-50"/>
                    <w:jc w:val="center"/>
                    <w:textAlignment w:val="auto"/>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2334" w:type="dxa"/>
                  <w:vMerge w:val="continue"/>
                  <w:tcBorders>
                    <w:tl2br w:val="nil"/>
                    <w:tr2bl w:val="nil"/>
                  </w:tcBorders>
                  <w:noWrap w:val="0"/>
                  <w:vAlign w:val="center"/>
                </w:tcPr>
                <w:p w14:paraId="700E4092">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color w:val="auto"/>
                      <w:kern w:val="2"/>
                      <w:sz w:val="21"/>
                      <w:szCs w:val="21"/>
                      <w:highlight w:val="none"/>
                      <w:lang w:val="en-US" w:eastAsia="zh-CN" w:bidi="ar-SA"/>
                    </w:rPr>
                  </w:pPr>
                </w:p>
              </w:tc>
            </w:tr>
            <w:tr w14:paraId="18D72EE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575" w:type="dxa"/>
                  <w:tcBorders>
                    <w:tl2br w:val="nil"/>
                    <w:tr2bl w:val="nil"/>
                  </w:tcBorders>
                  <w:noWrap w:val="0"/>
                  <w:vAlign w:val="center"/>
                </w:tcPr>
                <w:p w14:paraId="12FF5AD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b w:val="0"/>
                      <w:bCs w:val="0"/>
                      <w:color w:val="auto"/>
                      <w:sz w:val="21"/>
                      <w:szCs w:val="21"/>
                      <w:highlight w:val="none"/>
                      <w:lang w:val="en-US" w:eastAsia="zh-CN"/>
                    </w:rPr>
                    <w:t>11</w:t>
                  </w:r>
                </w:p>
              </w:tc>
              <w:tc>
                <w:tcPr>
                  <w:tcW w:w="2197" w:type="dxa"/>
                  <w:tcBorders>
                    <w:tl2br w:val="nil"/>
                    <w:tr2bl w:val="nil"/>
                  </w:tcBorders>
                  <w:shd w:val="clear" w:color="auto" w:fill="auto"/>
                  <w:noWrap w:val="0"/>
                  <w:vAlign w:val="top"/>
                </w:tcPr>
                <w:p w14:paraId="48A07E70">
                  <w:pPr>
                    <w:pStyle w:val="20"/>
                    <w:keepNext w:val="0"/>
                    <w:keepLines w:val="0"/>
                    <w:pageBreakBefore w:val="0"/>
                    <w:widowControl w:val="0"/>
                    <w:kinsoku/>
                    <w:wordWrap/>
                    <w:overflowPunct/>
                    <w:topLinePunct w:val="0"/>
                    <w:autoSpaceDE/>
                    <w:autoSpaceDN/>
                    <w:bidi w:val="0"/>
                    <w:spacing w:line="360" w:lineRule="auto"/>
                    <w:ind w:left="0" w:leftChars="0"/>
                    <w:textAlignment w:val="auto"/>
                    <w:rPr>
                      <w:rFonts w:hint="eastAsia" w:ascii="宋体" w:hAnsi="宋体" w:eastAsia="宋体" w:cs="宋体"/>
                      <w:i w:val="0"/>
                      <w:iCs w:val="0"/>
                      <w:color w:val="auto"/>
                      <w:kern w:val="2"/>
                      <w:sz w:val="21"/>
                      <w:szCs w:val="21"/>
                      <w:u w:val="none"/>
                      <w:shd w:val="clear" w:color="auto" w:fill="auto"/>
                      <w:lang w:val="en-US" w:eastAsia="zh-CN" w:bidi="ar-SA"/>
                    </w:rPr>
                  </w:pPr>
                  <w:r>
                    <w:rPr>
                      <w:rFonts w:hint="eastAsia" w:ascii="宋体" w:hAnsi="宋体" w:eastAsia="宋体" w:cs="宋体"/>
                      <w:spacing w:val="2"/>
                      <w:sz w:val="21"/>
                      <w:szCs w:val="21"/>
                    </w:rPr>
                    <w:t>电子秤</w:t>
                  </w:r>
                </w:p>
              </w:tc>
              <w:tc>
                <w:tcPr>
                  <w:tcW w:w="1034" w:type="dxa"/>
                  <w:tcBorders>
                    <w:tl2br w:val="nil"/>
                    <w:tr2bl w:val="nil"/>
                  </w:tcBorders>
                  <w:shd w:val="clear" w:color="auto" w:fill="auto"/>
                  <w:noWrap w:val="0"/>
                  <w:vAlign w:val="center"/>
                </w:tcPr>
                <w:p w14:paraId="103747E7">
                  <w:pPr>
                    <w:keepNext w:val="0"/>
                    <w:keepLines w:val="0"/>
                    <w:pageBreakBefore w:val="0"/>
                    <w:widowControl w:val="0"/>
                    <w:kinsoku/>
                    <w:wordWrap/>
                    <w:overflowPunct/>
                    <w:topLinePunct w:val="0"/>
                    <w:autoSpaceDE/>
                    <w:autoSpaceDN/>
                    <w:bidi w:val="0"/>
                    <w:adjustRightInd/>
                    <w:snapToGrid/>
                    <w:spacing w:line="360" w:lineRule="auto"/>
                    <w:ind w:left="-105" w:leftChars="-50" w:right="-105" w:rightChars="-50"/>
                    <w:jc w:val="center"/>
                    <w:textAlignment w:val="auto"/>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sz w:val="21"/>
                      <w:szCs w:val="21"/>
                      <w:lang w:val="en-US" w:eastAsia="zh-CN"/>
                    </w:rPr>
                    <w:t>台</w:t>
                  </w:r>
                </w:p>
              </w:tc>
              <w:tc>
                <w:tcPr>
                  <w:tcW w:w="1200" w:type="dxa"/>
                  <w:tcBorders>
                    <w:tl2br w:val="nil"/>
                    <w:tr2bl w:val="nil"/>
                  </w:tcBorders>
                  <w:shd w:val="clear" w:color="auto" w:fill="auto"/>
                  <w:noWrap w:val="0"/>
                  <w:vAlign w:val="center"/>
                </w:tcPr>
                <w:p w14:paraId="5B8BF94A">
                  <w:pPr>
                    <w:keepNext w:val="0"/>
                    <w:keepLines w:val="0"/>
                    <w:pageBreakBefore w:val="0"/>
                    <w:widowControl w:val="0"/>
                    <w:kinsoku/>
                    <w:wordWrap/>
                    <w:overflowPunct/>
                    <w:topLinePunct w:val="0"/>
                    <w:autoSpaceDE/>
                    <w:autoSpaceDN/>
                    <w:bidi w:val="0"/>
                    <w:adjustRightInd/>
                    <w:snapToGrid/>
                    <w:spacing w:line="360" w:lineRule="auto"/>
                    <w:ind w:left="-105" w:leftChars="-50" w:right="-105" w:rightChars="-50"/>
                    <w:jc w:val="center"/>
                    <w:textAlignment w:val="auto"/>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1066" w:type="dxa"/>
                  <w:tcBorders>
                    <w:tl2br w:val="nil"/>
                    <w:tr2bl w:val="nil"/>
                  </w:tcBorders>
                  <w:shd w:val="clear" w:color="auto" w:fill="auto"/>
                  <w:noWrap w:val="0"/>
                  <w:vAlign w:val="center"/>
                </w:tcPr>
                <w:p w14:paraId="3007BA00">
                  <w:pPr>
                    <w:keepNext w:val="0"/>
                    <w:keepLines w:val="0"/>
                    <w:pageBreakBefore w:val="0"/>
                    <w:widowControl w:val="0"/>
                    <w:kinsoku/>
                    <w:wordWrap/>
                    <w:overflowPunct/>
                    <w:topLinePunct w:val="0"/>
                    <w:autoSpaceDE/>
                    <w:autoSpaceDN/>
                    <w:bidi w:val="0"/>
                    <w:adjustRightInd/>
                    <w:snapToGrid/>
                    <w:spacing w:line="360" w:lineRule="auto"/>
                    <w:ind w:left="-105" w:leftChars="-50" w:right="-105" w:rightChars="-50"/>
                    <w:jc w:val="center"/>
                    <w:textAlignment w:val="auto"/>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2334" w:type="dxa"/>
                  <w:vMerge w:val="continue"/>
                  <w:tcBorders>
                    <w:tl2br w:val="nil"/>
                    <w:tr2bl w:val="nil"/>
                  </w:tcBorders>
                  <w:noWrap w:val="0"/>
                  <w:vAlign w:val="center"/>
                </w:tcPr>
                <w:p w14:paraId="743B6544">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color w:val="auto"/>
                      <w:kern w:val="2"/>
                      <w:sz w:val="21"/>
                      <w:szCs w:val="21"/>
                      <w:highlight w:val="none"/>
                      <w:lang w:val="en-US" w:eastAsia="zh-CN" w:bidi="ar-SA"/>
                    </w:rPr>
                  </w:pPr>
                </w:p>
              </w:tc>
            </w:tr>
            <w:tr w14:paraId="2D9814C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575" w:type="dxa"/>
                  <w:tcBorders>
                    <w:tl2br w:val="nil"/>
                    <w:tr2bl w:val="nil"/>
                  </w:tcBorders>
                  <w:noWrap w:val="0"/>
                  <w:vAlign w:val="center"/>
                </w:tcPr>
                <w:p w14:paraId="2F92D09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12</w:t>
                  </w:r>
                </w:p>
              </w:tc>
              <w:tc>
                <w:tcPr>
                  <w:tcW w:w="2197" w:type="dxa"/>
                  <w:tcBorders>
                    <w:tl2br w:val="nil"/>
                    <w:tr2bl w:val="nil"/>
                  </w:tcBorders>
                  <w:shd w:val="clear" w:color="auto" w:fill="auto"/>
                  <w:noWrap w:val="0"/>
                  <w:vAlign w:val="top"/>
                </w:tcPr>
                <w:p w14:paraId="0CC75264">
                  <w:pPr>
                    <w:pStyle w:val="20"/>
                    <w:keepNext w:val="0"/>
                    <w:keepLines w:val="0"/>
                    <w:pageBreakBefore w:val="0"/>
                    <w:widowControl w:val="0"/>
                    <w:kinsoku/>
                    <w:wordWrap/>
                    <w:overflowPunct/>
                    <w:topLinePunct w:val="0"/>
                    <w:autoSpaceDE/>
                    <w:autoSpaceDN/>
                    <w:bidi w:val="0"/>
                    <w:spacing w:line="360" w:lineRule="auto"/>
                    <w:ind w:left="0" w:leftChars="0"/>
                    <w:textAlignment w:val="auto"/>
                    <w:rPr>
                      <w:rFonts w:hint="eastAsia" w:ascii="宋体" w:hAnsi="宋体" w:eastAsia="宋体" w:cs="宋体"/>
                      <w:i w:val="0"/>
                      <w:iCs w:val="0"/>
                      <w:color w:val="auto"/>
                      <w:kern w:val="0"/>
                      <w:sz w:val="21"/>
                      <w:szCs w:val="21"/>
                      <w:u w:val="none"/>
                      <w:shd w:val="clear" w:color="auto" w:fill="auto"/>
                      <w:lang w:val="en-US" w:eastAsia="zh-CN" w:bidi="ar"/>
                    </w:rPr>
                  </w:pPr>
                  <w:r>
                    <w:rPr>
                      <w:rFonts w:hint="eastAsia" w:ascii="宋体" w:hAnsi="宋体" w:eastAsia="宋体" w:cs="宋体"/>
                      <w:spacing w:val="-2"/>
                      <w:sz w:val="21"/>
                      <w:szCs w:val="21"/>
                    </w:rPr>
                    <w:t>双钩滑轮</w:t>
                  </w:r>
                </w:p>
              </w:tc>
              <w:tc>
                <w:tcPr>
                  <w:tcW w:w="1034" w:type="dxa"/>
                  <w:tcBorders>
                    <w:tl2br w:val="nil"/>
                    <w:tr2bl w:val="nil"/>
                  </w:tcBorders>
                  <w:shd w:val="clear" w:color="auto" w:fill="auto"/>
                  <w:noWrap w:val="0"/>
                  <w:vAlign w:val="center"/>
                </w:tcPr>
                <w:p w14:paraId="56EA6078">
                  <w:pPr>
                    <w:keepNext w:val="0"/>
                    <w:keepLines w:val="0"/>
                    <w:pageBreakBefore w:val="0"/>
                    <w:widowControl w:val="0"/>
                    <w:kinsoku/>
                    <w:wordWrap/>
                    <w:overflowPunct/>
                    <w:topLinePunct w:val="0"/>
                    <w:autoSpaceDE/>
                    <w:autoSpaceDN/>
                    <w:bidi w:val="0"/>
                    <w:adjustRightInd/>
                    <w:snapToGrid/>
                    <w:spacing w:line="360" w:lineRule="auto"/>
                    <w:ind w:left="-105" w:leftChars="-50" w:right="-105" w:rightChars="-50"/>
                    <w:jc w:val="center"/>
                    <w:textAlignment w:val="auto"/>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台</w:t>
                  </w:r>
                </w:p>
              </w:tc>
              <w:tc>
                <w:tcPr>
                  <w:tcW w:w="1200" w:type="dxa"/>
                  <w:tcBorders>
                    <w:tl2br w:val="nil"/>
                    <w:tr2bl w:val="nil"/>
                  </w:tcBorders>
                  <w:shd w:val="clear" w:color="auto" w:fill="auto"/>
                  <w:noWrap w:val="0"/>
                  <w:vAlign w:val="center"/>
                </w:tcPr>
                <w:p w14:paraId="2DB97C9B">
                  <w:pPr>
                    <w:keepNext w:val="0"/>
                    <w:keepLines w:val="0"/>
                    <w:pageBreakBefore w:val="0"/>
                    <w:widowControl w:val="0"/>
                    <w:kinsoku/>
                    <w:wordWrap/>
                    <w:overflowPunct/>
                    <w:topLinePunct w:val="0"/>
                    <w:autoSpaceDE/>
                    <w:autoSpaceDN/>
                    <w:bidi w:val="0"/>
                    <w:adjustRightInd/>
                    <w:snapToGrid/>
                    <w:spacing w:line="360" w:lineRule="auto"/>
                    <w:ind w:left="-105" w:leftChars="-50" w:right="-105" w:rightChars="-50"/>
                    <w:jc w:val="center"/>
                    <w:textAlignment w:val="auto"/>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1066" w:type="dxa"/>
                  <w:tcBorders>
                    <w:tl2br w:val="nil"/>
                    <w:tr2bl w:val="nil"/>
                  </w:tcBorders>
                  <w:shd w:val="clear" w:color="auto" w:fill="auto"/>
                  <w:noWrap w:val="0"/>
                  <w:vAlign w:val="center"/>
                </w:tcPr>
                <w:p w14:paraId="147315F9">
                  <w:pPr>
                    <w:keepNext w:val="0"/>
                    <w:keepLines w:val="0"/>
                    <w:pageBreakBefore w:val="0"/>
                    <w:widowControl w:val="0"/>
                    <w:kinsoku/>
                    <w:wordWrap/>
                    <w:overflowPunct/>
                    <w:topLinePunct w:val="0"/>
                    <w:autoSpaceDE/>
                    <w:autoSpaceDN/>
                    <w:bidi w:val="0"/>
                    <w:adjustRightInd/>
                    <w:snapToGrid/>
                    <w:spacing w:line="360" w:lineRule="auto"/>
                    <w:ind w:left="-105" w:leftChars="-50" w:right="-105" w:rightChars="-50"/>
                    <w:jc w:val="center"/>
                    <w:textAlignment w:val="auto"/>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2334" w:type="dxa"/>
                  <w:tcBorders>
                    <w:tl2br w:val="nil"/>
                    <w:tr2bl w:val="nil"/>
                  </w:tcBorders>
                  <w:noWrap w:val="0"/>
                  <w:vAlign w:val="center"/>
                </w:tcPr>
                <w:p w14:paraId="2760DB74">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color w:val="auto"/>
                      <w:kern w:val="2"/>
                      <w:sz w:val="21"/>
                      <w:szCs w:val="21"/>
                      <w:highlight w:val="none"/>
                      <w:lang w:val="en-US" w:eastAsia="zh-CN" w:bidi="ar-SA"/>
                    </w:rPr>
                  </w:pPr>
                </w:p>
              </w:tc>
            </w:tr>
          </w:tbl>
          <w:p w14:paraId="70852C75">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default" w:ascii="Times New Roman" w:hAnsi="Times New Roman" w:cs="Times New Roman"/>
                <w:b/>
                <w:bCs/>
                <w:color w:val="auto"/>
                <w:sz w:val="28"/>
              </w:rPr>
            </w:pPr>
            <w:r>
              <w:rPr>
                <w:rFonts w:hint="default" w:ascii="Times New Roman" w:hAnsi="Times New Roman" w:cs="Times New Roman"/>
                <w:b/>
                <w:bCs/>
                <w:color w:val="auto"/>
                <w:sz w:val="28"/>
              </w:rPr>
              <w:t>1.</w:t>
            </w:r>
            <w:r>
              <w:rPr>
                <w:rFonts w:hint="default" w:ascii="Times New Roman" w:hAnsi="Times New Roman" w:cs="Times New Roman"/>
                <w:b/>
                <w:bCs/>
                <w:color w:val="auto"/>
                <w:sz w:val="28"/>
                <w:lang w:val="en-US" w:eastAsia="zh-CN"/>
              </w:rPr>
              <w:t>3</w:t>
            </w:r>
            <w:r>
              <w:rPr>
                <w:rFonts w:hint="default" w:ascii="Times New Roman" w:hAnsi="Times New Roman" w:cs="Times New Roman"/>
                <w:b/>
                <w:bCs/>
                <w:iCs/>
                <w:color w:val="auto"/>
                <w:kern w:val="0"/>
                <w:sz w:val="28"/>
                <w:szCs w:val="28"/>
              </w:rPr>
              <w:t>原辅材料及</w:t>
            </w:r>
            <w:r>
              <w:rPr>
                <w:rFonts w:hint="default" w:ascii="Times New Roman" w:hAnsi="Times New Roman" w:cs="Times New Roman"/>
                <w:b/>
                <w:bCs/>
                <w:color w:val="auto"/>
                <w:sz w:val="28"/>
              </w:rPr>
              <w:t>能源消耗</w:t>
            </w:r>
          </w:p>
          <w:p w14:paraId="765E4447">
            <w:pPr>
              <w:spacing w:line="360" w:lineRule="auto"/>
              <w:ind w:firstLine="480" w:firstLineChars="200"/>
              <w:rPr>
                <w:rFonts w:hint="eastAsia" w:ascii="宋体" w:hAnsi="宋体" w:eastAsia="宋体" w:cs="宋体"/>
                <w:b/>
                <w:color w:val="auto"/>
                <w:kern w:val="0"/>
                <w:sz w:val="24"/>
                <w:szCs w:val="24"/>
              </w:rPr>
            </w:pPr>
            <w:r>
              <w:rPr>
                <w:rFonts w:hint="eastAsia" w:ascii="宋体" w:hAnsi="宋体" w:eastAsia="宋体" w:cs="宋体"/>
                <w:color w:val="auto"/>
                <w:sz w:val="24"/>
                <w:szCs w:val="24"/>
              </w:rPr>
              <w:t>本项目原辅材料及能源消耗见表1-</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w:t>
            </w:r>
          </w:p>
          <w:p w14:paraId="5E0D0327">
            <w:pPr>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表1-</w:t>
            </w:r>
            <w:r>
              <w:rPr>
                <w:rFonts w:hint="eastAsia" w:ascii="宋体" w:hAnsi="宋体" w:eastAsia="宋体" w:cs="宋体"/>
                <w:b/>
                <w:color w:val="auto"/>
                <w:kern w:val="0"/>
                <w:sz w:val="24"/>
                <w:szCs w:val="24"/>
                <w:lang w:val="en-US" w:eastAsia="zh-CN"/>
              </w:rPr>
              <w:t>3</w:t>
            </w:r>
            <w:r>
              <w:rPr>
                <w:rFonts w:hint="eastAsia" w:ascii="宋体" w:hAnsi="宋体" w:eastAsia="宋体" w:cs="宋体"/>
                <w:b/>
                <w:color w:val="auto"/>
                <w:kern w:val="0"/>
                <w:sz w:val="24"/>
                <w:szCs w:val="24"/>
              </w:rPr>
              <w:t xml:space="preserve">                    原辅材料及能源消耗一览表</w:t>
            </w:r>
          </w:p>
          <w:p w14:paraId="27A485E5">
            <w:pPr>
              <w:pStyle w:val="11"/>
              <w:spacing w:after="0"/>
              <w:ind w:left="0" w:leftChars="0" w:right="0" w:rightChars="0" w:firstLine="0" w:firstLineChars="0"/>
              <w:rPr>
                <w:rFonts w:hint="default"/>
              </w:rPr>
            </w:pPr>
          </w:p>
          <w:tbl>
            <w:tblPr>
              <w:tblStyle w:val="15"/>
              <w:tblW w:w="8130"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89"/>
              <w:gridCol w:w="1714"/>
              <w:gridCol w:w="955"/>
              <w:gridCol w:w="1455"/>
              <w:gridCol w:w="1815"/>
              <w:gridCol w:w="1502"/>
            </w:tblGrid>
            <w:tr w14:paraId="6149CF2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689" w:type="dxa"/>
                  <w:tcBorders>
                    <w:tl2br w:val="nil"/>
                    <w:tr2bl w:val="nil"/>
                  </w:tcBorders>
                  <w:noWrap w:val="0"/>
                  <w:vAlign w:val="center"/>
                </w:tcPr>
                <w:p w14:paraId="69650DB6">
                  <w:pPr>
                    <w:pStyle w:val="24"/>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snapToGrid w:val="0"/>
                      <w:color w:val="auto"/>
                      <w:sz w:val="21"/>
                      <w:szCs w:val="21"/>
                      <w:highlight w:val="none"/>
                    </w:rPr>
                  </w:pPr>
                  <w:r>
                    <w:rPr>
                      <w:rFonts w:hint="default" w:ascii="Times New Roman" w:hAnsi="Times New Roman" w:eastAsia="宋体" w:cs="Times New Roman"/>
                      <w:b/>
                      <w:bCs/>
                      <w:snapToGrid w:val="0"/>
                      <w:color w:val="auto"/>
                      <w:sz w:val="21"/>
                      <w:szCs w:val="21"/>
                      <w:highlight w:val="none"/>
                    </w:rPr>
                    <w:t>分类</w:t>
                  </w:r>
                </w:p>
              </w:tc>
              <w:tc>
                <w:tcPr>
                  <w:tcW w:w="1714" w:type="dxa"/>
                  <w:tcBorders>
                    <w:tl2br w:val="nil"/>
                    <w:tr2bl w:val="nil"/>
                  </w:tcBorders>
                  <w:noWrap w:val="0"/>
                  <w:vAlign w:val="center"/>
                </w:tcPr>
                <w:p w14:paraId="4BCDB691">
                  <w:pPr>
                    <w:pStyle w:val="24"/>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snapToGrid w:val="0"/>
                      <w:color w:val="auto"/>
                      <w:sz w:val="21"/>
                      <w:szCs w:val="21"/>
                      <w:highlight w:val="none"/>
                    </w:rPr>
                  </w:pPr>
                  <w:r>
                    <w:rPr>
                      <w:rFonts w:hint="default" w:ascii="Times New Roman" w:hAnsi="Times New Roman" w:eastAsia="宋体" w:cs="Times New Roman"/>
                      <w:b/>
                      <w:bCs/>
                      <w:snapToGrid w:val="0"/>
                      <w:color w:val="auto"/>
                      <w:sz w:val="21"/>
                      <w:szCs w:val="21"/>
                      <w:highlight w:val="none"/>
                    </w:rPr>
                    <w:t>原料名称</w:t>
                  </w:r>
                </w:p>
              </w:tc>
              <w:tc>
                <w:tcPr>
                  <w:tcW w:w="955" w:type="dxa"/>
                  <w:tcBorders>
                    <w:tl2br w:val="nil"/>
                    <w:tr2bl w:val="nil"/>
                  </w:tcBorders>
                  <w:noWrap w:val="0"/>
                  <w:vAlign w:val="center"/>
                </w:tcPr>
                <w:p w14:paraId="685A37F4">
                  <w:pPr>
                    <w:pStyle w:val="24"/>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bCs/>
                      <w:snapToGrid w:val="0"/>
                      <w:color w:val="auto"/>
                      <w:sz w:val="21"/>
                      <w:szCs w:val="21"/>
                      <w:highlight w:val="none"/>
                      <w:lang w:val="en-US" w:eastAsia="zh-CN"/>
                    </w:rPr>
                  </w:pPr>
                  <w:r>
                    <w:rPr>
                      <w:rFonts w:hint="eastAsia" w:ascii="Times New Roman" w:hAnsi="Times New Roman" w:eastAsia="宋体" w:cs="Times New Roman"/>
                      <w:b/>
                      <w:bCs/>
                      <w:snapToGrid w:val="0"/>
                      <w:color w:val="auto"/>
                      <w:sz w:val="21"/>
                      <w:szCs w:val="21"/>
                      <w:highlight w:val="none"/>
                      <w:lang w:val="en-US" w:eastAsia="zh-CN"/>
                    </w:rPr>
                    <w:t>单位</w:t>
                  </w:r>
                </w:p>
              </w:tc>
              <w:tc>
                <w:tcPr>
                  <w:tcW w:w="1455" w:type="dxa"/>
                  <w:tcBorders>
                    <w:tl2br w:val="nil"/>
                    <w:tr2bl w:val="nil"/>
                  </w:tcBorders>
                  <w:noWrap w:val="0"/>
                  <w:vAlign w:val="center"/>
                </w:tcPr>
                <w:p w14:paraId="7A6E7F9C">
                  <w:pPr>
                    <w:pStyle w:val="24"/>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snapToGrid w:val="0"/>
                      <w:color w:val="auto"/>
                      <w:sz w:val="21"/>
                      <w:szCs w:val="21"/>
                      <w:highlight w:val="none"/>
                    </w:rPr>
                  </w:pPr>
                  <w:r>
                    <w:rPr>
                      <w:rFonts w:hint="default" w:ascii="Times New Roman" w:hAnsi="Times New Roman" w:eastAsia="宋体" w:cs="Times New Roman"/>
                      <w:b/>
                      <w:bCs/>
                      <w:snapToGrid w:val="0"/>
                      <w:color w:val="auto"/>
                      <w:sz w:val="21"/>
                      <w:szCs w:val="21"/>
                      <w:highlight w:val="none"/>
                    </w:rPr>
                    <w:t>环评设计用量</w:t>
                  </w:r>
                </w:p>
              </w:tc>
              <w:tc>
                <w:tcPr>
                  <w:tcW w:w="1815" w:type="dxa"/>
                  <w:tcBorders>
                    <w:tl2br w:val="nil"/>
                    <w:tr2bl w:val="nil"/>
                  </w:tcBorders>
                  <w:noWrap w:val="0"/>
                  <w:vAlign w:val="center"/>
                </w:tcPr>
                <w:p w14:paraId="56E0F21C">
                  <w:pPr>
                    <w:pStyle w:val="24"/>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snapToGrid w:val="0"/>
                      <w:color w:val="auto"/>
                      <w:sz w:val="21"/>
                      <w:szCs w:val="21"/>
                      <w:highlight w:val="none"/>
                    </w:rPr>
                  </w:pPr>
                  <w:r>
                    <w:rPr>
                      <w:rFonts w:hint="default" w:ascii="Times New Roman" w:hAnsi="Times New Roman" w:eastAsia="宋体" w:cs="Times New Roman"/>
                      <w:b/>
                      <w:bCs/>
                      <w:snapToGrid w:val="0"/>
                      <w:color w:val="auto"/>
                      <w:sz w:val="21"/>
                      <w:szCs w:val="21"/>
                      <w:highlight w:val="none"/>
                    </w:rPr>
                    <w:t>实际用量</w:t>
                  </w:r>
                </w:p>
              </w:tc>
              <w:tc>
                <w:tcPr>
                  <w:tcW w:w="1502" w:type="dxa"/>
                  <w:tcBorders>
                    <w:tl2br w:val="nil"/>
                    <w:tr2bl w:val="nil"/>
                  </w:tcBorders>
                  <w:noWrap w:val="0"/>
                  <w:vAlign w:val="center"/>
                </w:tcPr>
                <w:p w14:paraId="22752256">
                  <w:pPr>
                    <w:pStyle w:val="24"/>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snapToGrid w:val="0"/>
                      <w:color w:val="auto"/>
                      <w:sz w:val="21"/>
                      <w:szCs w:val="21"/>
                      <w:highlight w:val="none"/>
                      <w:lang w:val="en-US" w:eastAsia="zh-CN"/>
                    </w:rPr>
                  </w:pPr>
                  <w:r>
                    <w:rPr>
                      <w:rFonts w:hint="default" w:ascii="Times New Roman" w:hAnsi="Times New Roman" w:cs="Times New Roman"/>
                      <w:b/>
                      <w:bCs/>
                      <w:snapToGrid w:val="0"/>
                      <w:color w:val="auto"/>
                      <w:sz w:val="21"/>
                      <w:szCs w:val="21"/>
                      <w:highlight w:val="none"/>
                      <w:lang w:eastAsia="zh-CN"/>
                    </w:rPr>
                    <w:t>备注</w:t>
                  </w:r>
                </w:p>
              </w:tc>
            </w:tr>
            <w:tr w14:paraId="0FAD4F5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89" w:type="dxa"/>
                  <w:vMerge w:val="restart"/>
                  <w:tcBorders>
                    <w:tl2br w:val="nil"/>
                    <w:tr2bl w:val="nil"/>
                  </w:tcBorders>
                  <w:noWrap w:val="0"/>
                  <w:vAlign w:val="center"/>
                </w:tcPr>
                <w:p w14:paraId="71C4013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原辅材料</w:t>
                  </w:r>
                </w:p>
              </w:tc>
              <w:tc>
                <w:tcPr>
                  <w:tcW w:w="1714" w:type="dxa"/>
                  <w:tcBorders>
                    <w:right w:val="single" w:color="000000" w:sz="6" w:space="0"/>
                    <w:tl2br w:val="nil"/>
                    <w:tr2bl w:val="nil"/>
                  </w:tcBorders>
                  <w:shd w:val="clear" w:color="auto" w:fill="auto"/>
                  <w:noWrap w:val="0"/>
                  <w:vAlign w:val="center"/>
                </w:tcPr>
                <w:p w14:paraId="54E7DFAF">
                  <w:pPr>
                    <w:jc w:val="center"/>
                    <w:rPr>
                      <w:rFonts w:hint="eastAsia"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lang w:val="en-US" w:eastAsia="zh-CN"/>
                    </w:rPr>
                    <w:t>牛</w:t>
                  </w:r>
                </w:p>
              </w:tc>
              <w:tc>
                <w:tcPr>
                  <w:tcW w:w="955" w:type="dxa"/>
                  <w:tcBorders>
                    <w:tl2br w:val="nil"/>
                    <w:tr2bl w:val="nil"/>
                  </w:tcBorders>
                  <w:shd w:val="clear" w:color="auto" w:fill="auto"/>
                  <w:noWrap w:val="0"/>
                  <w:vAlign w:val="center"/>
                </w:tcPr>
                <w:p w14:paraId="53DC833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ascii="Times New Roman" w:hAnsi="Times New Roman" w:eastAsia="宋体" w:cs="Times New Roman"/>
                      <w:i w:val="0"/>
                      <w:iCs w:val="0"/>
                      <w:color w:val="auto"/>
                      <w:kern w:val="0"/>
                      <w:sz w:val="21"/>
                      <w:szCs w:val="21"/>
                      <w:u w:val="none"/>
                      <w:lang w:val="en-US" w:eastAsia="zh-CN" w:bidi="ar"/>
                    </w:rPr>
                    <w:t>只</w:t>
                  </w:r>
                </w:p>
              </w:tc>
              <w:tc>
                <w:tcPr>
                  <w:tcW w:w="1455" w:type="dxa"/>
                  <w:tcBorders>
                    <w:tl2br w:val="nil"/>
                    <w:tr2bl w:val="nil"/>
                  </w:tcBorders>
                  <w:shd w:val="clear" w:color="auto" w:fill="auto"/>
                  <w:noWrap w:val="0"/>
                  <w:vAlign w:val="center"/>
                </w:tcPr>
                <w:p w14:paraId="156B32A0">
                  <w:pPr>
                    <w:spacing w:line="260" w:lineRule="exact"/>
                    <w:ind w:left="-105" w:leftChars="-50" w:right="-105" w:rightChars="-50"/>
                    <w:jc w:val="center"/>
                    <w:rPr>
                      <w:rFonts w:hint="default" w:ascii="Times New Roman" w:hAnsi="Times New Roman" w:eastAsia="宋体" w:cs="Times New Roman"/>
                      <w:i w:val="0"/>
                      <w:iCs w:val="0"/>
                      <w:color w:val="auto"/>
                      <w:kern w:val="2"/>
                      <w:sz w:val="21"/>
                      <w:szCs w:val="21"/>
                      <w:u w:val="none"/>
                      <w:lang w:val="en-US" w:eastAsia="zh-CN" w:bidi="ar-SA"/>
                    </w:rPr>
                  </w:pPr>
                  <w:r>
                    <w:rPr>
                      <w:spacing w:val="6"/>
                    </w:rPr>
                    <w:t>5000</w:t>
                  </w:r>
                </w:p>
              </w:tc>
              <w:tc>
                <w:tcPr>
                  <w:tcW w:w="1815" w:type="dxa"/>
                  <w:tcBorders>
                    <w:tl2br w:val="nil"/>
                    <w:tr2bl w:val="nil"/>
                  </w:tcBorders>
                  <w:noWrap w:val="0"/>
                  <w:vAlign w:val="center"/>
                </w:tcPr>
                <w:p w14:paraId="74FAE603">
                  <w:pPr>
                    <w:spacing w:line="320" w:lineRule="exact"/>
                    <w:jc w:val="center"/>
                    <w:rPr>
                      <w:rFonts w:hint="default" w:ascii="Times New Roman" w:hAnsi="Times New Roman" w:cs="Times New Roman"/>
                      <w:color w:val="auto"/>
                      <w:kern w:val="2"/>
                      <w:sz w:val="21"/>
                      <w:szCs w:val="24"/>
                      <w:highlight w:val="none"/>
                      <w:lang w:val="en-US" w:eastAsia="zh-CN" w:bidi="ar-SA"/>
                    </w:rPr>
                  </w:pPr>
                  <w:r>
                    <w:rPr>
                      <w:rFonts w:hint="eastAsia" w:ascii="Times New Roman" w:hAnsi="Times New Roman" w:cs="Times New Roman"/>
                      <w:color w:val="auto"/>
                      <w:kern w:val="2"/>
                      <w:sz w:val="21"/>
                      <w:szCs w:val="24"/>
                      <w:highlight w:val="none"/>
                      <w:lang w:val="en-US" w:eastAsia="zh-CN" w:bidi="ar-SA"/>
                    </w:rPr>
                    <w:t>4800</w:t>
                  </w:r>
                </w:p>
              </w:tc>
              <w:tc>
                <w:tcPr>
                  <w:tcW w:w="1502" w:type="dxa"/>
                  <w:tcBorders>
                    <w:tl2br w:val="nil"/>
                    <w:tr2bl w:val="nil"/>
                  </w:tcBorders>
                  <w:noWrap w:val="0"/>
                  <w:vAlign w:val="center"/>
                </w:tcPr>
                <w:p w14:paraId="30C8C88D">
                  <w:pPr>
                    <w:spacing w:line="320" w:lineRule="exact"/>
                    <w:jc w:val="center"/>
                    <w:rPr>
                      <w:rFonts w:hint="default" w:ascii="Times New Roman" w:hAnsi="Times New Roman" w:cs="Times New Roman"/>
                      <w:color w:val="auto"/>
                      <w:kern w:val="2"/>
                      <w:sz w:val="21"/>
                      <w:szCs w:val="21"/>
                      <w:lang w:val="en-US" w:eastAsia="zh-CN" w:bidi="ar-SA"/>
                    </w:rPr>
                  </w:pPr>
                  <w:r>
                    <w:rPr>
                      <w:spacing w:val="1"/>
                    </w:rPr>
                    <w:t>当地牲畜交易市场检验后</w:t>
                  </w:r>
                  <w:r>
                    <w:rPr>
                      <w:spacing w:val="4"/>
                    </w:rPr>
                    <w:t xml:space="preserve"> </w:t>
                  </w:r>
                  <w:r>
                    <w:rPr>
                      <w:spacing w:val="3"/>
                    </w:rPr>
                    <w:t>的牛、羊</w:t>
                  </w:r>
                </w:p>
              </w:tc>
            </w:tr>
            <w:tr w14:paraId="3E490D7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89" w:type="dxa"/>
                  <w:vMerge w:val="continue"/>
                  <w:tcBorders>
                    <w:tl2br w:val="nil"/>
                    <w:tr2bl w:val="nil"/>
                  </w:tcBorders>
                  <w:noWrap w:val="0"/>
                  <w:vAlign w:val="center"/>
                </w:tcPr>
                <w:p w14:paraId="1E6F065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highlight w:val="none"/>
                      <w:lang w:val="en-US" w:eastAsia="zh-CN"/>
                    </w:rPr>
                  </w:pPr>
                </w:p>
              </w:tc>
              <w:tc>
                <w:tcPr>
                  <w:tcW w:w="1714" w:type="dxa"/>
                  <w:tcBorders>
                    <w:right w:val="single" w:color="000000" w:sz="6" w:space="0"/>
                    <w:tl2br w:val="nil"/>
                    <w:tr2bl w:val="nil"/>
                  </w:tcBorders>
                  <w:shd w:val="clear" w:color="auto" w:fill="auto"/>
                  <w:noWrap w:val="0"/>
                  <w:vAlign w:val="center"/>
                </w:tcPr>
                <w:p w14:paraId="00951D5B">
                  <w:pPr>
                    <w:jc w:val="center"/>
                    <w:rPr>
                      <w:rFonts w:hint="eastAsia"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lang w:val="en-US" w:eastAsia="zh-CN"/>
                    </w:rPr>
                    <w:t>羊</w:t>
                  </w:r>
                </w:p>
              </w:tc>
              <w:tc>
                <w:tcPr>
                  <w:tcW w:w="955" w:type="dxa"/>
                  <w:tcBorders>
                    <w:tl2br w:val="nil"/>
                    <w:tr2bl w:val="nil"/>
                  </w:tcBorders>
                  <w:shd w:val="clear" w:color="auto" w:fill="auto"/>
                  <w:noWrap w:val="0"/>
                  <w:vAlign w:val="center"/>
                </w:tcPr>
                <w:p w14:paraId="027DB78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ascii="Times New Roman" w:hAnsi="Times New Roman" w:eastAsia="宋体" w:cs="Times New Roman"/>
                      <w:i w:val="0"/>
                      <w:iCs w:val="0"/>
                      <w:color w:val="auto"/>
                      <w:kern w:val="0"/>
                      <w:sz w:val="21"/>
                      <w:szCs w:val="21"/>
                      <w:u w:val="none"/>
                      <w:lang w:val="en-US" w:eastAsia="zh-CN" w:bidi="ar"/>
                    </w:rPr>
                    <w:t>只</w:t>
                  </w:r>
                </w:p>
              </w:tc>
              <w:tc>
                <w:tcPr>
                  <w:tcW w:w="1455" w:type="dxa"/>
                  <w:tcBorders>
                    <w:tl2br w:val="nil"/>
                    <w:tr2bl w:val="nil"/>
                  </w:tcBorders>
                  <w:shd w:val="clear" w:color="auto" w:fill="auto"/>
                  <w:noWrap w:val="0"/>
                  <w:vAlign w:val="center"/>
                </w:tcPr>
                <w:p w14:paraId="550440E8">
                  <w:pPr>
                    <w:spacing w:line="260" w:lineRule="exact"/>
                    <w:ind w:left="-105" w:leftChars="-50" w:right="-105" w:rightChars="-50"/>
                    <w:jc w:val="center"/>
                    <w:rPr>
                      <w:rFonts w:hint="default" w:ascii="Times New Roman" w:hAnsi="Times New Roman" w:eastAsia="宋体" w:cs="Times New Roman"/>
                      <w:i w:val="0"/>
                      <w:iCs w:val="0"/>
                      <w:color w:val="auto"/>
                      <w:kern w:val="2"/>
                      <w:sz w:val="21"/>
                      <w:szCs w:val="21"/>
                      <w:u w:val="none"/>
                      <w:lang w:val="en-US" w:eastAsia="zh-CN" w:bidi="ar-SA"/>
                    </w:rPr>
                  </w:pPr>
                  <w:r>
                    <w:rPr>
                      <w:spacing w:val="10"/>
                    </w:rPr>
                    <w:t>9</w:t>
                  </w:r>
                  <w:r>
                    <w:rPr>
                      <w:rFonts w:hint="eastAsia"/>
                      <w:spacing w:val="10"/>
                      <w:lang w:val="en-US" w:eastAsia="zh-CN"/>
                    </w:rPr>
                    <w:t>0000</w:t>
                  </w:r>
                </w:p>
              </w:tc>
              <w:tc>
                <w:tcPr>
                  <w:tcW w:w="1815" w:type="dxa"/>
                  <w:tcBorders>
                    <w:tl2br w:val="nil"/>
                    <w:tr2bl w:val="nil"/>
                  </w:tcBorders>
                  <w:noWrap w:val="0"/>
                  <w:vAlign w:val="center"/>
                </w:tcPr>
                <w:p w14:paraId="0B278322">
                  <w:pPr>
                    <w:spacing w:line="320" w:lineRule="exact"/>
                    <w:jc w:val="center"/>
                    <w:rPr>
                      <w:rFonts w:hint="default" w:ascii="Times New Roman" w:hAnsi="Times New Roman" w:cs="Times New Roman"/>
                      <w:color w:val="auto"/>
                      <w:kern w:val="2"/>
                      <w:sz w:val="21"/>
                      <w:szCs w:val="24"/>
                      <w:highlight w:val="none"/>
                      <w:lang w:val="en-US" w:eastAsia="zh-CN" w:bidi="ar-SA"/>
                    </w:rPr>
                  </w:pPr>
                  <w:r>
                    <w:rPr>
                      <w:rFonts w:hint="eastAsia" w:ascii="Times New Roman" w:hAnsi="Times New Roman" w:cs="Times New Roman"/>
                      <w:color w:val="auto"/>
                      <w:kern w:val="2"/>
                      <w:sz w:val="21"/>
                      <w:szCs w:val="24"/>
                      <w:highlight w:val="none"/>
                      <w:lang w:val="en-US" w:eastAsia="zh-CN" w:bidi="ar-SA"/>
                    </w:rPr>
                    <w:t>80000</w:t>
                  </w:r>
                </w:p>
              </w:tc>
              <w:tc>
                <w:tcPr>
                  <w:tcW w:w="1502" w:type="dxa"/>
                  <w:tcBorders>
                    <w:tl2br w:val="nil"/>
                    <w:tr2bl w:val="nil"/>
                  </w:tcBorders>
                  <w:noWrap w:val="0"/>
                  <w:vAlign w:val="center"/>
                </w:tcPr>
                <w:p w14:paraId="071EFB63">
                  <w:pPr>
                    <w:spacing w:line="320" w:lineRule="exact"/>
                    <w:jc w:val="center"/>
                    <w:rPr>
                      <w:rFonts w:hint="default" w:ascii="Times New Roman" w:hAnsi="Times New Roman" w:cs="Times New Roman"/>
                      <w:color w:val="auto"/>
                      <w:kern w:val="2"/>
                      <w:sz w:val="21"/>
                      <w:szCs w:val="21"/>
                      <w:lang w:val="en-US" w:eastAsia="zh-CN" w:bidi="ar-SA"/>
                    </w:rPr>
                  </w:pPr>
                  <w:r>
                    <w:rPr>
                      <w:spacing w:val="1"/>
                    </w:rPr>
                    <w:t>当地牲畜交易市场检验后</w:t>
                  </w:r>
                  <w:r>
                    <w:rPr>
                      <w:spacing w:val="4"/>
                    </w:rPr>
                    <w:t xml:space="preserve"> </w:t>
                  </w:r>
                  <w:r>
                    <w:rPr>
                      <w:spacing w:val="3"/>
                    </w:rPr>
                    <w:t>的牛、羊</w:t>
                  </w:r>
                </w:p>
              </w:tc>
            </w:tr>
            <w:tr w14:paraId="697F1FE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89" w:type="dxa"/>
                  <w:vMerge w:val="continue"/>
                  <w:tcBorders>
                    <w:tl2br w:val="nil"/>
                    <w:tr2bl w:val="nil"/>
                  </w:tcBorders>
                  <w:noWrap w:val="0"/>
                  <w:vAlign w:val="center"/>
                </w:tcPr>
                <w:p w14:paraId="7CCEB94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highlight w:val="none"/>
                      <w:lang w:val="en-US" w:eastAsia="zh-CN"/>
                    </w:rPr>
                  </w:pPr>
                </w:p>
              </w:tc>
              <w:tc>
                <w:tcPr>
                  <w:tcW w:w="1714" w:type="dxa"/>
                  <w:tcBorders>
                    <w:right w:val="single" w:color="000000" w:sz="6" w:space="0"/>
                    <w:tl2br w:val="nil"/>
                    <w:tr2bl w:val="nil"/>
                  </w:tcBorders>
                  <w:shd w:val="clear" w:color="auto" w:fill="auto"/>
                  <w:noWrap w:val="0"/>
                  <w:vAlign w:val="center"/>
                </w:tcPr>
                <w:p w14:paraId="3A73310E">
                  <w:pPr>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R22(二氟一氯甲</w:t>
                  </w:r>
                </w:p>
                <w:p w14:paraId="2A8CF676">
                  <w:pPr>
                    <w:jc w:val="center"/>
                    <w:rPr>
                      <w:rFonts w:hint="eastAsia"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rPr>
                    <w:t>烷 )</w:t>
                  </w:r>
                </w:p>
              </w:tc>
              <w:tc>
                <w:tcPr>
                  <w:tcW w:w="955" w:type="dxa"/>
                  <w:tcBorders>
                    <w:tl2br w:val="nil"/>
                    <w:tr2bl w:val="nil"/>
                  </w:tcBorders>
                  <w:shd w:val="clear" w:color="auto" w:fill="auto"/>
                  <w:noWrap w:val="0"/>
                  <w:vAlign w:val="center"/>
                </w:tcPr>
                <w:p w14:paraId="79EEEFC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吨</w:t>
                  </w:r>
                  <w:r>
                    <w:rPr>
                      <w:rFonts w:hint="default" w:ascii="Times New Roman" w:hAnsi="Times New Roman" w:cs="Times New Roman"/>
                      <w:i w:val="0"/>
                      <w:iCs w:val="0"/>
                      <w:color w:val="auto"/>
                      <w:kern w:val="0"/>
                      <w:sz w:val="21"/>
                      <w:szCs w:val="21"/>
                      <w:u w:val="none"/>
                      <w:lang w:val="en-US" w:eastAsia="zh-CN" w:bidi="ar"/>
                    </w:rPr>
                    <w:t>/年</w:t>
                  </w:r>
                </w:p>
              </w:tc>
              <w:tc>
                <w:tcPr>
                  <w:tcW w:w="1455" w:type="dxa"/>
                  <w:tcBorders>
                    <w:tl2br w:val="nil"/>
                    <w:tr2bl w:val="nil"/>
                  </w:tcBorders>
                  <w:shd w:val="clear" w:color="auto" w:fill="auto"/>
                  <w:noWrap w:val="0"/>
                  <w:vAlign w:val="center"/>
                </w:tcPr>
                <w:p w14:paraId="3BB6923A">
                  <w:pPr>
                    <w:spacing w:line="260" w:lineRule="exact"/>
                    <w:ind w:left="-105" w:leftChars="-50" w:right="-105" w:rightChars="-50"/>
                    <w:jc w:val="center"/>
                    <w:rPr>
                      <w:rFonts w:hint="default" w:ascii="Times New Roman" w:hAnsi="Times New Roman" w:eastAsia="宋体" w:cs="Times New Roman"/>
                      <w:i w:val="0"/>
                      <w:iCs w:val="0"/>
                      <w:color w:val="auto"/>
                      <w:kern w:val="2"/>
                      <w:sz w:val="21"/>
                      <w:szCs w:val="21"/>
                      <w:u w:val="none"/>
                      <w:lang w:val="en-US" w:eastAsia="zh-CN" w:bidi="ar-SA"/>
                    </w:rPr>
                  </w:pPr>
                  <w:r>
                    <w:rPr>
                      <w:spacing w:val="-2"/>
                    </w:rPr>
                    <w:t>0.2</w:t>
                  </w:r>
                </w:p>
              </w:tc>
              <w:tc>
                <w:tcPr>
                  <w:tcW w:w="1815" w:type="dxa"/>
                  <w:tcBorders>
                    <w:tl2br w:val="nil"/>
                    <w:tr2bl w:val="nil"/>
                  </w:tcBorders>
                  <w:noWrap w:val="0"/>
                  <w:vAlign w:val="center"/>
                </w:tcPr>
                <w:p w14:paraId="6A3DF87A">
                  <w:pPr>
                    <w:spacing w:line="320" w:lineRule="exact"/>
                    <w:jc w:val="center"/>
                    <w:rPr>
                      <w:rFonts w:hint="default" w:ascii="Times New Roman" w:hAnsi="Times New Roman" w:cs="Times New Roman"/>
                      <w:color w:val="auto"/>
                      <w:kern w:val="2"/>
                      <w:sz w:val="21"/>
                      <w:szCs w:val="24"/>
                      <w:highlight w:val="none"/>
                      <w:lang w:val="en-US" w:eastAsia="zh-CN" w:bidi="ar-SA"/>
                    </w:rPr>
                  </w:pPr>
                  <w:r>
                    <w:rPr>
                      <w:rFonts w:hint="eastAsia" w:ascii="Times New Roman" w:hAnsi="Times New Roman" w:cs="Times New Roman"/>
                      <w:color w:val="auto"/>
                      <w:kern w:val="2"/>
                      <w:sz w:val="21"/>
                      <w:szCs w:val="24"/>
                      <w:highlight w:val="none"/>
                      <w:lang w:val="en-US" w:eastAsia="zh-CN" w:bidi="ar-SA"/>
                    </w:rPr>
                    <w:t>0.2</w:t>
                  </w:r>
                </w:p>
              </w:tc>
              <w:tc>
                <w:tcPr>
                  <w:tcW w:w="1502" w:type="dxa"/>
                  <w:tcBorders>
                    <w:tl2br w:val="nil"/>
                    <w:tr2bl w:val="nil"/>
                  </w:tcBorders>
                  <w:noWrap w:val="0"/>
                  <w:vAlign w:val="center"/>
                </w:tcPr>
                <w:p w14:paraId="030449C3">
                  <w:pPr>
                    <w:spacing w:line="320" w:lineRule="exact"/>
                    <w:jc w:val="center"/>
                    <w:rPr>
                      <w:rFonts w:hint="default" w:ascii="Times New Roman" w:hAnsi="Times New Roman"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外购</w:t>
                  </w:r>
                </w:p>
              </w:tc>
            </w:tr>
            <w:tr w14:paraId="645CFC3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689" w:type="dxa"/>
                  <w:vMerge w:val="restart"/>
                  <w:tcBorders>
                    <w:tl2br w:val="nil"/>
                    <w:tr2bl w:val="nil"/>
                  </w:tcBorders>
                  <w:noWrap w:val="0"/>
                  <w:vAlign w:val="center"/>
                </w:tcPr>
                <w:p w14:paraId="58A5E703">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lang w:eastAsia="zh-CN"/>
                      <w14:textFill>
                        <w14:solidFill>
                          <w14:schemeClr w14:val="tx1"/>
                        </w14:solidFill>
                      </w14:textFill>
                    </w:rPr>
                    <w:t>能源消耗</w:t>
                  </w:r>
                </w:p>
              </w:tc>
              <w:tc>
                <w:tcPr>
                  <w:tcW w:w="1714" w:type="dxa"/>
                  <w:tcBorders>
                    <w:tl2br w:val="nil"/>
                    <w:tr2bl w:val="nil"/>
                  </w:tcBorders>
                  <w:noWrap w:val="0"/>
                  <w:vAlign w:val="center"/>
                </w:tcPr>
                <w:p w14:paraId="737FB00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vertAlign w:val="baseline"/>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1"/>
                      <w:szCs w:val="21"/>
                      <w:vertAlign w:val="baseline"/>
                      <w:lang w:val="en-US" w:eastAsia="zh-CN" w:bidi="ar-SA"/>
                      <w14:textFill>
                        <w14:solidFill>
                          <w14:schemeClr w14:val="tx1"/>
                        </w14:solidFill>
                      </w14:textFill>
                    </w:rPr>
                    <w:t>水</w:t>
                  </w:r>
                </w:p>
              </w:tc>
              <w:tc>
                <w:tcPr>
                  <w:tcW w:w="955" w:type="dxa"/>
                  <w:tcBorders>
                    <w:tl2br w:val="nil"/>
                    <w:tr2bl w:val="nil"/>
                  </w:tcBorders>
                  <w:shd w:val="clear" w:color="auto" w:fill="auto"/>
                  <w:noWrap w:val="0"/>
                  <w:vAlign w:val="center"/>
                </w:tcPr>
                <w:p w14:paraId="26A2283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u w:val="none"/>
                      <w:lang w:val="en-US" w:eastAsia="zh-CN" w:bidi="ar"/>
                      <w14:textFill>
                        <w14:solidFill>
                          <w14:schemeClr w14:val="tx1"/>
                        </w14:solidFill>
                      </w14:textFill>
                    </w:rPr>
                    <w:t>吨</w:t>
                  </w:r>
                  <w:r>
                    <w:rPr>
                      <w:rFonts w:hint="default" w:ascii="Times New Roman" w:hAnsi="Times New Roman" w:cs="Times New Roman"/>
                      <w:i w:val="0"/>
                      <w:iCs w:val="0"/>
                      <w:color w:val="000000" w:themeColor="text1"/>
                      <w:kern w:val="0"/>
                      <w:sz w:val="21"/>
                      <w:szCs w:val="21"/>
                      <w:u w:val="none"/>
                      <w:lang w:val="en-US" w:eastAsia="zh-CN" w:bidi="ar"/>
                      <w14:textFill>
                        <w14:solidFill>
                          <w14:schemeClr w14:val="tx1"/>
                        </w14:solidFill>
                      </w14:textFill>
                    </w:rPr>
                    <w:t>/年</w:t>
                  </w:r>
                </w:p>
              </w:tc>
              <w:tc>
                <w:tcPr>
                  <w:tcW w:w="1455" w:type="dxa"/>
                  <w:tcBorders>
                    <w:tl2br w:val="nil"/>
                    <w:tr2bl w:val="nil"/>
                  </w:tcBorders>
                  <w:shd w:val="clear" w:color="auto" w:fill="auto"/>
                  <w:noWrap w:val="0"/>
                  <w:vAlign w:val="center"/>
                </w:tcPr>
                <w:p w14:paraId="031EC963">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1"/>
                      <w:szCs w:val="21"/>
                      <w:lang w:val="en-US" w:eastAsia="zh-CN" w:bidi="ar-SA"/>
                      <w14:textFill>
                        <w14:solidFill>
                          <w14:schemeClr w14:val="tx1"/>
                        </w14:solidFill>
                      </w14:textFill>
                    </w:rPr>
                    <w:t>46116</w:t>
                  </w:r>
                </w:p>
              </w:tc>
              <w:tc>
                <w:tcPr>
                  <w:tcW w:w="1815" w:type="dxa"/>
                  <w:tcBorders>
                    <w:tl2br w:val="nil"/>
                    <w:tr2bl w:val="nil"/>
                  </w:tcBorders>
                  <w:shd w:val="clear" w:color="auto" w:fill="auto"/>
                  <w:noWrap w:val="0"/>
                  <w:vAlign w:val="center"/>
                </w:tcPr>
                <w:p w14:paraId="6DCDEFF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1"/>
                      <w:szCs w:val="24"/>
                      <w:highlight w:val="none"/>
                      <w:lang w:val="en-US" w:eastAsia="zh-CN" w:bidi="ar-SA"/>
                      <w14:textFill>
                        <w14:solidFill>
                          <w14:schemeClr w14:val="tx1"/>
                        </w14:solidFill>
                      </w14:textFill>
                    </w:rPr>
                    <w:t>45000</w:t>
                  </w:r>
                </w:p>
              </w:tc>
              <w:tc>
                <w:tcPr>
                  <w:tcW w:w="1502" w:type="dxa"/>
                  <w:tcBorders>
                    <w:tl2br w:val="nil"/>
                    <w:tr2bl w:val="nil"/>
                  </w:tcBorders>
                  <w:shd w:val="clear" w:color="auto" w:fill="auto"/>
                  <w:noWrap w:val="0"/>
                  <w:vAlign w:val="center"/>
                </w:tcPr>
                <w:p w14:paraId="10554249">
                  <w:pPr>
                    <w:spacing w:line="320" w:lineRule="exact"/>
                    <w:jc w:val="center"/>
                    <w:rPr>
                      <w:rFonts w:hint="default" w:ascii="Times New Roman" w:hAnsi="Times New Roman" w:cs="Times New Roman"/>
                      <w:color w:val="000000" w:themeColor="text1"/>
                      <w:kern w:val="2"/>
                      <w:sz w:val="21"/>
                      <w:szCs w:val="21"/>
                      <w:lang w:val="en-US" w:eastAsia="zh-CN" w:bidi="ar-SA"/>
                      <w14:textFill>
                        <w14:solidFill>
                          <w14:schemeClr w14:val="tx1"/>
                        </w14:solidFill>
                      </w14:textFill>
                    </w:rPr>
                  </w:pPr>
                  <w:r>
                    <w:rPr>
                      <w:rFonts w:hint="eastAsia" w:ascii="Times New Roman" w:hAnsi="Times New Roman" w:cs="Times New Roman"/>
                      <w:color w:val="000000" w:themeColor="text1"/>
                      <w:kern w:val="2"/>
                      <w:sz w:val="21"/>
                      <w:szCs w:val="21"/>
                      <w:lang w:val="en-US" w:eastAsia="zh-CN" w:bidi="ar-SA"/>
                      <w14:textFill>
                        <w14:solidFill>
                          <w14:schemeClr w14:val="tx1"/>
                        </w14:solidFill>
                      </w14:textFill>
                    </w:rPr>
                    <w:t>厂区内取水井</w:t>
                  </w:r>
                </w:p>
              </w:tc>
            </w:tr>
            <w:tr w14:paraId="7FF93D5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689" w:type="dxa"/>
                  <w:vMerge w:val="continue"/>
                  <w:tcBorders>
                    <w:tl2br w:val="nil"/>
                    <w:tr2bl w:val="nil"/>
                  </w:tcBorders>
                  <w:noWrap w:val="0"/>
                  <w:vAlign w:val="center"/>
                </w:tcPr>
                <w:p w14:paraId="0BB4518D">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cs="Times New Roman"/>
                      <w:color w:val="000000" w:themeColor="text1"/>
                      <w:highlight w:val="none"/>
                      <w:lang w:val="en-US" w:eastAsia="zh-CN"/>
                      <w14:textFill>
                        <w14:solidFill>
                          <w14:schemeClr w14:val="tx1"/>
                        </w14:solidFill>
                      </w14:textFill>
                    </w:rPr>
                  </w:pPr>
                </w:p>
              </w:tc>
              <w:tc>
                <w:tcPr>
                  <w:tcW w:w="1714" w:type="dxa"/>
                  <w:tcBorders>
                    <w:tl2br w:val="nil"/>
                    <w:tr2bl w:val="nil"/>
                  </w:tcBorders>
                  <w:noWrap w:val="0"/>
                  <w:vAlign w:val="center"/>
                </w:tcPr>
                <w:p w14:paraId="304ABE3C">
                  <w:pPr>
                    <w:spacing w:line="320" w:lineRule="exact"/>
                    <w:jc w:val="center"/>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1"/>
                      <w:szCs w:val="21"/>
                      <w:lang w:val="en-US" w:eastAsia="zh-CN" w:bidi="ar-SA"/>
                      <w14:textFill>
                        <w14:solidFill>
                          <w14:schemeClr w14:val="tx1"/>
                        </w14:solidFill>
                      </w14:textFill>
                    </w:rPr>
                    <w:t>电</w:t>
                  </w:r>
                </w:p>
              </w:tc>
              <w:tc>
                <w:tcPr>
                  <w:tcW w:w="955" w:type="dxa"/>
                  <w:tcBorders>
                    <w:tl2br w:val="nil"/>
                    <w:tr2bl w:val="nil"/>
                  </w:tcBorders>
                  <w:shd w:val="clear" w:color="auto" w:fill="auto"/>
                  <w:noWrap w:val="0"/>
                  <w:vAlign w:val="center"/>
                </w:tcPr>
                <w:p w14:paraId="28EF8580">
                  <w:pPr>
                    <w:spacing w:line="320" w:lineRule="exact"/>
                    <w:jc w:val="center"/>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color w:val="000000" w:themeColor="text1"/>
                      <w:szCs w:val="21"/>
                      <w:lang w:val="en-US" w:eastAsia="zh-CN"/>
                      <w14:textFill>
                        <w14:solidFill>
                          <w14:schemeClr w14:val="tx1"/>
                        </w14:solidFill>
                      </w14:textFill>
                    </w:rPr>
                    <w:t>kW·h/a</w:t>
                  </w:r>
                </w:p>
              </w:tc>
              <w:tc>
                <w:tcPr>
                  <w:tcW w:w="1455" w:type="dxa"/>
                  <w:tcBorders>
                    <w:tl2br w:val="nil"/>
                    <w:tr2bl w:val="nil"/>
                  </w:tcBorders>
                  <w:shd w:val="clear" w:color="auto" w:fill="auto"/>
                  <w:noWrap w:val="0"/>
                  <w:vAlign w:val="center"/>
                </w:tcPr>
                <w:p w14:paraId="398AE939">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1"/>
                      <w:szCs w:val="21"/>
                      <w:lang w:val="en-US" w:eastAsia="zh-CN" w:bidi="ar-SA"/>
                      <w14:textFill>
                        <w14:solidFill>
                          <w14:schemeClr w14:val="tx1"/>
                        </w14:solidFill>
                      </w14:textFill>
                    </w:rPr>
                    <w:t>/</w:t>
                  </w:r>
                </w:p>
              </w:tc>
              <w:tc>
                <w:tcPr>
                  <w:tcW w:w="1815" w:type="dxa"/>
                  <w:tcBorders>
                    <w:tl2br w:val="nil"/>
                    <w:tr2bl w:val="nil"/>
                  </w:tcBorders>
                  <w:shd w:val="clear" w:color="auto" w:fill="auto"/>
                  <w:noWrap w:val="0"/>
                  <w:vAlign w:val="center"/>
                </w:tcPr>
                <w:p w14:paraId="43808B83">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000000" w:themeColor="text1"/>
                      <w:kern w:val="2"/>
                      <w:sz w:val="21"/>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1"/>
                      <w:szCs w:val="24"/>
                      <w:highlight w:val="none"/>
                      <w:lang w:val="en-US" w:eastAsia="zh-CN" w:bidi="ar-SA"/>
                      <w14:textFill>
                        <w14:solidFill>
                          <w14:schemeClr w14:val="tx1"/>
                        </w14:solidFill>
                      </w14:textFill>
                    </w:rPr>
                    <w:t>20000</w:t>
                  </w:r>
                </w:p>
              </w:tc>
              <w:tc>
                <w:tcPr>
                  <w:tcW w:w="1502" w:type="dxa"/>
                  <w:tcBorders>
                    <w:tl2br w:val="nil"/>
                    <w:tr2bl w:val="nil"/>
                  </w:tcBorders>
                  <w:shd w:val="clear" w:color="auto" w:fill="auto"/>
                  <w:noWrap w:val="0"/>
                  <w:vAlign w:val="center"/>
                </w:tcPr>
                <w:p w14:paraId="2D25EDA5">
                  <w:pPr>
                    <w:spacing w:line="320" w:lineRule="exact"/>
                    <w:jc w:val="center"/>
                    <w:rPr>
                      <w:rFonts w:hint="default" w:ascii="Times New Roman" w:hAnsi="Times New Roman" w:cs="Times New Roman"/>
                      <w:color w:val="000000" w:themeColor="text1"/>
                      <w:kern w:val="2"/>
                      <w:sz w:val="21"/>
                      <w:szCs w:val="21"/>
                      <w:lang w:val="en-US" w:eastAsia="zh-CN" w:bidi="ar-SA"/>
                      <w14:textFill>
                        <w14:solidFill>
                          <w14:schemeClr w14:val="tx1"/>
                        </w14:solidFill>
                      </w14:textFill>
                    </w:rPr>
                  </w:pPr>
                  <w:r>
                    <w:rPr>
                      <w:color w:val="000000" w:themeColor="text1"/>
                      <w:spacing w:val="1"/>
                      <w14:textFill>
                        <w14:solidFill>
                          <w14:schemeClr w14:val="tx1"/>
                        </w14:solidFill>
                      </w14:textFill>
                    </w:rPr>
                    <w:t>市政供电所供给</w:t>
                  </w:r>
                </w:p>
              </w:tc>
            </w:tr>
          </w:tbl>
          <w:p w14:paraId="18D41738">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default" w:ascii="Times New Roman" w:hAnsi="Times New Roman" w:cs="Times New Roman"/>
                <w:b/>
                <w:bCs/>
                <w:color w:val="auto"/>
                <w:sz w:val="28"/>
                <w:highlight w:val="none"/>
              </w:rPr>
            </w:pPr>
            <w:r>
              <w:rPr>
                <w:rFonts w:hint="default" w:ascii="Times New Roman" w:hAnsi="Times New Roman" w:cs="Times New Roman"/>
                <w:b/>
                <w:bCs/>
                <w:color w:val="auto"/>
                <w:sz w:val="28"/>
                <w:highlight w:val="none"/>
              </w:rPr>
              <w:t>1.</w:t>
            </w:r>
            <w:r>
              <w:rPr>
                <w:rFonts w:hint="default" w:ascii="Times New Roman" w:hAnsi="Times New Roman" w:cs="Times New Roman"/>
                <w:b/>
                <w:bCs/>
                <w:color w:val="auto"/>
                <w:sz w:val="28"/>
                <w:highlight w:val="none"/>
                <w:lang w:val="en-US" w:eastAsia="zh-CN"/>
              </w:rPr>
              <w:t>4</w:t>
            </w:r>
            <w:r>
              <w:rPr>
                <w:rFonts w:hint="default" w:ascii="Times New Roman" w:hAnsi="Times New Roman" w:cs="Times New Roman"/>
                <w:b/>
                <w:bCs/>
                <w:color w:val="auto"/>
                <w:sz w:val="28"/>
                <w:highlight w:val="none"/>
                <w:lang w:eastAsia="zh-CN"/>
              </w:rPr>
              <w:t>产</w:t>
            </w:r>
            <w:r>
              <w:rPr>
                <w:rFonts w:hint="default" w:ascii="Times New Roman" w:hAnsi="Times New Roman" w:cs="Times New Roman"/>
                <w:b/>
                <w:bCs/>
                <w:color w:val="auto"/>
                <w:sz w:val="28"/>
                <w:highlight w:val="none"/>
                <w:lang w:val="en-US" w:eastAsia="zh-CN"/>
              </w:rPr>
              <w:t>品</w:t>
            </w:r>
          </w:p>
          <w:p w14:paraId="280B37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kern w:val="0"/>
                <w:sz w:val="24"/>
                <w:szCs w:val="24"/>
                <w:highlight w:val="none"/>
                <w:lang w:eastAsia="zh-CN"/>
              </w:rPr>
            </w:pPr>
            <w:r>
              <w:rPr>
                <w:rFonts w:hint="eastAsia" w:ascii="宋体" w:hAnsi="宋体" w:eastAsia="宋体" w:cs="宋体"/>
                <w:color w:val="auto"/>
                <w:sz w:val="24"/>
                <w:szCs w:val="24"/>
                <w:highlight w:val="none"/>
                <w:lang w:eastAsia="zh-CN"/>
              </w:rPr>
              <w:t>本项目产品为</w:t>
            </w:r>
            <w:r>
              <w:rPr>
                <w:rFonts w:hint="eastAsia" w:ascii="宋体" w:hAnsi="宋体" w:eastAsia="宋体" w:cs="宋体"/>
                <w:color w:val="auto"/>
                <w:sz w:val="24"/>
                <w:szCs w:val="24"/>
                <w:highlight w:val="none"/>
                <w:lang w:val="en-US" w:eastAsia="zh-CN"/>
              </w:rPr>
              <w:t>牛肉、羊肉。具体产量见表1-4。</w:t>
            </w:r>
          </w:p>
          <w:p w14:paraId="56796374">
            <w:pPr>
              <w:rPr>
                <w:rFonts w:hint="eastAsia"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表</w:t>
            </w:r>
            <w:r>
              <w:rPr>
                <w:rFonts w:hint="eastAsia" w:ascii="宋体" w:hAnsi="宋体" w:eastAsia="宋体" w:cs="宋体"/>
                <w:b/>
                <w:color w:val="auto"/>
                <w:kern w:val="0"/>
                <w:sz w:val="24"/>
                <w:szCs w:val="24"/>
                <w:highlight w:val="none"/>
                <w:lang w:val="en-US" w:eastAsia="zh-CN"/>
              </w:rPr>
              <w:t xml:space="preserve">1-4                      </w:t>
            </w:r>
            <w:r>
              <w:rPr>
                <w:rFonts w:hint="eastAsia" w:ascii="宋体" w:hAnsi="宋体" w:eastAsia="宋体" w:cs="宋体"/>
                <w:b/>
                <w:color w:val="auto"/>
                <w:kern w:val="0"/>
                <w:sz w:val="24"/>
                <w:szCs w:val="24"/>
                <w:highlight w:val="none"/>
                <w:lang w:eastAsia="zh-CN"/>
              </w:rPr>
              <w:t xml:space="preserve"> 项目产品方案一览表</w:t>
            </w:r>
          </w:p>
          <w:tbl>
            <w:tblPr>
              <w:tblStyle w:val="16"/>
              <w:tblW w:w="8758" w:type="dxa"/>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078"/>
              <w:gridCol w:w="1350"/>
              <w:gridCol w:w="1609"/>
              <w:gridCol w:w="1527"/>
              <w:gridCol w:w="2194"/>
            </w:tblGrid>
            <w:tr w14:paraId="32AF4C0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2078" w:type="dxa"/>
                  <w:tcBorders>
                    <w:tl2br w:val="nil"/>
                    <w:tr2bl w:val="nil"/>
                  </w:tcBorders>
                  <w:noWrap w:val="0"/>
                  <w:vAlign w:val="center"/>
                </w:tcPr>
                <w:p w14:paraId="092406A8">
                  <w:pPr>
                    <w:pStyle w:val="24"/>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snapToGrid w:val="0"/>
                      <w:color w:val="auto"/>
                      <w:sz w:val="21"/>
                      <w:szCs w:val="21"/>
                      <w:highlight w:val="none"/>
                      <w:lang w:eastAsia="zh-CN"/>
                    </w:rPr>
                  </w:pPr>
                  <w:r>
                    <w:rPr>
                      <w:rFonts w:hint="default" w:ascii="Times New Roman" w:hAnsi="Times New Roman" w:eastAsia="宋体" w:cs="Times New Roman"/>
                      <w:b/>
                      <w:bCs/>
                      <w:snapToGrid w:val="0"/>
                      <w:color w:val="auto"/>
                      <w:sz w:val="21"/>
                      <w:szCs w:val="21"/>
                      <w:highlight w:val="none"/>
                      <w:lang w:eastAsia="zh-CN"/>
                    </w:rPr>
                    <w:t>产品</w:t>
                  </w:r>
                </w:p>
              </w:tc>
              <w:tc>
                <w:tcPr>
                  <w:tcW w:w="1350" w:type="dxa"/>
                  <w:tcBorders>
                    <w:tl2br w:val="nil"/>
                    <w:tr2bl w:val="nil"/>
                  </w:tcBorders>
                  <w:noWrap w:val="0"/>
                  <w:vAlign w:val="center"/>
                </w:tcPr>
                <w:p w14:paraId="3A9815D7">
                  <w:pPr>
                    <w:pStyle w:val="24"/>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snapToGrid w:val="0"/>
                      <w:color w:val="auto"/>
                      <w:sz w:val="21"/>
                      <w:szCs w:val="21"/>
                      <w:highlight w:val="none"/>
                      <w:lang w:eastAsia="zh-CN"/>
                    </w:rPr>
                  </w:pPr>
                  <w:r>
                    <w:rPr>
                      <w:rFonts w:hint="default" w:ascii="Times New Roman" w:hAnsi="Times New Roman" w:eastAsia="宋体" w:cs="Times New Roman"/>
                      <w:b/>
                      <w:bCs/>
                      <w:snapToGrid w:val="0"/>
                      <w:color w:val="auto"/>
                      <w:sz w:val="21"/>
                      <w:szCs w:val="21"/>
                      <w:highlight w:val="none"/>
                      <w:lang w:eastAsia="zh-CN"/>
                    </w:rPr>
                    <w:t>单位</w:t>
                  </w:r>
                </w:p>
              </w:tc>
              <w:tc>
                <w:tcPr>
                  <w:tcW w:w="1609" w:type="dxa"/>
                  <w:tcBorders>
                    <w:tl2br w:val="nil"/>
                    <w:tr2bl w:val="nil"/>
                  </w:tcBorders>
                  <w:noWrap w:val="0"/>
                  <w:vAlign w:val="center"/>
                </w:tcPr>
                <w:p w14:paraId="5AA314AF">
                  <w:pPr>
                    <w:pStyle w:val="24"/>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snapToGrid w:val="0"/>
                      <w:color w:val="auto"/>
                      <w:sz w:val="21"/>
                      <w:szCs w:val="21"/>
                      <w:highlight w:val="none"/>
                      <w:lang w:eastAsia="zh-CN"/>
                    </w:rPr>
                  </w:pPr>
                  <w:r>
                    <w:rPr>
                      <w:rFonts w:hint="default" w:ascii="Times New Roman" w:hAnsi="Times New Roman" w:eastAsia="宋体" w:cs="Times New Roman"/>
                      <w:b/>
                      <w:bCs/>
                      <w:snapToGrid w:val="0"/>
                      <w:color w:val="auto"/>
                      <w:sz w:val="21"/>
                      <w:szCs w:val="21"/>
                      <w:highlight w:val="none"/>
                      <w:lang w:eastAsia="zh-CN"/>
                    </w:rPr>
                    <w:t>设计</w:t>
                  </w:r>
                  <w:r>
                    <w:rPr>
                      <w:rFonts w:hint="default" w:ascii="Times New Roman" w:hAnsi="Times New Roman" w:cs="Times New Roman"/>
                      <w:b/>
                      <w:bCs/>
                      <w:snapToGrid w:val="0"/>
                      <w:color w:val="auto"/>
                      <w:sz w:val="21"/>
                      <w:szCs w:val="21"/>
                      <w:highlight w:val="none"/>
                      <w:lang w:eastAsia="zh-CN"/>
                    </w:rPr>
                    <w:t>生产能力</w:t>
                  </w:r>
                </w:p>
              </w:tc>
              <w:tc>
                <w:tcPr>
                  <w:tcW w:w="1527" w:type="dxa"/>
                  <w:tcBorders>
                    <w:tl2br w:val="nil"/>
                    <w:tr2bl w:val="nil"/>
                  </w:tcBorders>
                  <w:noWrap w:val="0"/>
                  <w:vAlign w:val="center"/>
                </w:tcPr>
                <w:p w14:paraId="2E7B04FE">
                  <w:pPr>
                    <w:pStyle w:val="24"/>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snapToGrid w:val="0"/>
                      <w:color w:val="auto"/>
                      <w:sz w:val="21"/>
                      <w:szCs w:val="21"/>
                      <w:highlight w:val="none"/>
                    </w:rPr>
                  </w:pPr>
                  <w:r>
                    <w:rPr>
                      <w:rFonts w:hint="default" w:ascii="Times New Roman" w:hAnsi="Times New Roman" w:eastAsia="宋体" w:cs="Times New Roman"/>
                      <w:b/>
                      <w:bCs/>
                      <w:snapToGrid w:val="0"/>
                      <w:color w:val="auto"/>
                      <w:sz w:val="21"/>
                      <w:szCs w:val="21"/>
                      <w:highlight w:val="none"/>
                      <w:lang w:eastAsia="zh-CN"/>
                    </w:rPr>
                    <w:t>实际</w:t>
                  </w:r>
                  <w:r>
                    <w:rPr>
                      <w:rFonts w:hint="default" w:ascii="Times New Roman" w:hAnsi="Times New Roman" w:cs="Times New Roman"/>
                      <w:b/>
                      <w:bCs/>
                      <w:snapToGrid w:val="0"/>
                      <w:color w:val="auto"/>
                      <w:sz w:val="21"/>
                      <w:szCs w:val="21"/>
                      <w:highlight w:val="none"/>
                      <w:lang w:eastAsia="zh-CN"/>
                    </w:rPr>
                    <w:t>生产能力</w:t>
                  </w:r>
                </w:p>
              </w:tc>
              <w:tc>
                <w:tcPr>
                  <w:tcW w:w="2194" w:type="dxa"/>
                  <w:tcBorders>
                    <w:tl2br w:val="nil"/>
                    <w:tr2bl w:val="nil"/>
                  </w:tcBorders>
                  <w:noWrap w:val="0"/>
                  <w:vAlign w:val="center"/>
                </w:tcPr>
                <w:p w14:paraId="3CA8D575">
                  <w:pPr>
                    <w:pStyle w:val="24"/>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snapToGrid w:val="0"/>
                      <w:color w:val="auto"/>
                      <w:sz w:val="21"/>
                      <w:szCs w:val="21"/>
                      <w:highlight w:val="none"/>
                      <w:lang w:eastAsia="zh-CN"/>
                    </w:rPr>
                  </w:pPr>
                  <w:r>
                    <w:rPr>
                      <w:rFonts w:hint="default" w:ascii="Times New Roman" w:hAnsi="Times New Roman" w:cs="Times New Roman"/>
                      <w:b/>
                      <w:bCs/>
                      <w:snapToGrid w:val="0"/>
                      <w:color w:val="auto"/>
                      <w:sz w:val="21"/>
                      <w:szCs w:val="21"/>
                      <w:highlight w:val="none"/>
                      <w:lang w:eastAsia="zh-CN"/>
                    </w:rPr>
                    <w:t>实际年产量</w:t>
                  </w:r>
                </w:p>
              </w:tc>
            </w:tr>
            <w:tr w14:paraId="2DF5F73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2078" w:type="dxa"/>
                  <w:tcBorders>
                    <w:tl2br w:val="nil"/>
                    <w:tr2bl w:val="nil"/>
                  </w:tcBorders>
                  <w:shd w:val="clear" w:color="auto" w:fill="auto"/>
                  <w:noWrap w:val="0"/>
                  <w:vAlign w:val="center"/>
                </w:tcPr>
                <w:p w14:paraId="13B9CE29">
                  <w:pPr>
                    <w:spacing w:line="240" w:lineRule="auto"/>
                    <w:ind w:left="-105" w:leftChars="-50" w:right="-105" w:rightChars="-50"/>
                    <w:jc w:val="center"/>
                    <w:rPr>
                      <w:rFonts w:hint="default" w:ascii="Times New Roman" w:hAnsi="Times New Roman" w:eastAsia="宋体" w:cs="Times New Roman"/>
                      <w:kern w:val="2"/>
                      <w:sz w:val="21"/>
                      <w:szCs w:val="21"/>
                      <w:lang w:val="en-US" w:eastAsia="zh-CN" w:bidi="ar-SA"/>
                    </w:rPr>
                  </w:pPr>
                  <w:r>
                    <w:rPr>
                      <w:rFonts w:hint="eastAsia"/>
                      <w:spacing w:val="7"/>
                      <w:sz w:val="24"/>
                      <w:szCs w:val="24"/>
                      <w:lang w:val="en-US" w:eastAsia="zh-CN"/>
                    </w:rPr>
                    <w:t>羊</w:t>
                  </w:r>
                  <w:r>
                    <w:rPr>
                      <w:spacing w:val="7"/>
                      <w:sz w:val="24"/>
                      <w:szCs w:val="24"/>
                    </w:rPr>
                    <w:t>肉</w:t>
                  </w:r>
                </w:p>
              </w:tc>
              <w:tc>
                <w:tcPr>
                  <w:tcW w:w="1350" w:type="dxa"/>
                  <w:tcBorders>
                    <w:tl2br w:val="nil"/>
                    <w:tr2bl w:val="nil"/>
                  </w:tcBorders>
                  <w:noWrap w:val="0"/>
                  <w:vAlign w:val="center"/>
                </w:tcPr>
                <w:p w14:paraId="3FEC6DAF">
                  <w:pPr>
                    <w:adjustRightInd w:val="0"/>
                    <w:snapToGrid w:val="0"/>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i w:val="0"/>
                      <w:iCs w:val="0"/>
                      <w:color w:val="auto"/>
                      <w:kern w:val="0"/>
                      <w:sz w:val="21"/>
                      <w:szCs w:val="21"/>
                      <w:u w:val="none"/>
                      <w:lang w:val="en-US" w:eastAsia="zh-CN" w:bidi="ar"/>
                    </w:rPr>
                    <w:t>只</w:t>
                  </w:r>
                  <w:r>
                    <w:rPr>
                      <w:rFonts w:hint="default" w:ascii="Times New Roman" w:hAnsi="Times New Roman" w:cs="Times New Roman"/>
                      <w:i w:val="0"/>
                      <w:iCs w:val="0"/>
                      <w:color w:val="auto"/>
                      <w:kern w:val="0"/>
                      <w:sz w:val="21"/>
                      <w:szCs w:val="21"/>
                      <w:u w:val="none"/>
                      <w:lang w:val="en-US" w:eastAsia="zh-CN" w:bidi="ar"/>
                    </w:rPr>
                    <w:t>/年</w:t>
                  </w:r>
                </w:p>
              </w:tc>
              <w:tc>
                <w:tcPr>
                  <w:tcW w:w="1609" w:type="dxa"/>
                  <w:tcBorders>
                    <w:tl2br w:val="nil"/>
                    <w:tr2bl w:val="nil"/>
                  </w:tcBorders>
                  <w:shd w:val="clear" w:color="auto" w:fill="auto"/>
                  <w:noWrap w:val="0"/>
                  <w:vAlign w:val="center"/>
                </w:tcPr>
                <w:p w14:paraId="36446F84">
                  <w:pPr>
                    <w:spacing w:line="240" w:lineRule="auto"/>
                    <w:ind w:left="-105" w:leftChars="-50" w:right="-105" w:rightChars="-50"/>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Cs w:val="21"/>
                      <w:lang w:val="en-US" w:eastAsia="zh-CN"/>
                    </w:rPr>
                    <w:t>90000</w:t>
                  </w:r>
                </w:p>
              </w:tc>
              <w:tc>
                <w:tcPr>
                  <w:tcW w:w="1527" w:type="dxa"/>
                  <w:tcBorders>
                    <w:tl2br w:val="nil"/>
                    <w:tr2bl w:val="nil"/>
                  </w:tcBorders>
                  <w:noWrap w:val="0"/>
                  <w:vAlign w:val="center"/>
                </w:tcPr>
                <w:p w14:paraId="21A52D65">
                  <w:pPr>
                    <w:adjustRightInd w:val="0"/>
                    <w:snapToGrid w:val="0"/>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80000</w:t>
                  </w:r>
                </w:p>
              </w:tc>
              <w:tc>
                <w:tcPr>
                  <w:tcW w:w="2194" w:type="dxa"/>
                  <w:tcBorders>
                    <w:tl2br w:val="nil"/>
                    <w:tr2bl w:val="nil"/>
                  </w:tcBorders>
                  <w:noWrap w:val="0"/>
                  <w:vAlign w:val="center"/>
                </w:tcPr>
                <w:p w14:paraId="5DEB6D93">
                  <w:pPr>
                    <w:keepNext w:val="0"/>
                    <w:keepLines w:val="0"/>
                    <w:pageBreakBefore w:val="0"/>
                    <w:widowControl w:val="0"/>
                    <w:kinsoku/>
                    <w:wordWrap/>
                    <w:overflowPunct/>
                    <w:topLinePunct w:val="0"/>
                    <w:autoSpaceDE/>
                    <w:autoSpaceDN/>
                    <w:bidi w:val="0"/>
                    <w:adjustRightInd/>
                    <w:snapToGrid/>
                    <w:spacing w:line="240" w:lineRule="auto"/>
                    <w:ind w:firstLine="4" w:firstLineChars="2"/>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80000</w:t>
                  </w:r>
                </w:p>
              </w:tc>
            </w:tr>
            <w:tr w14:paraId="10985E4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2078" w:type="dxa"/>
                  <w:tcBorders>
                    <w:tl2br w:val="nil"/>
                    <w:tr2bl w:val="nil"/>
                  </w:tcBorders>
                  <w:shd w:val="clear" w:color="auto" w:fill="auto"/>
                  <w:noWrap w:val="0"/>
                  <w:vAlign w:val="center"/>
                </w:tcPr>
                <w:p w14:paraId="5789DF11">
                  <w:pPr>
                    <w:spacing w:line="240" w:lineRule="auto"/>
                    <w:ind w:left="-105" w:leftChars="-50" w:right="-105" w:rightChars="-50"/>
                    <w:jc w:val="center"/>
                    <w:rPr>
                      <w:rFonts w:hint="default" w:ascii="Times New Roman" w:hAnsi="Times New Roman" w:eastAsia="宋体" w:cs="Times New Roman"/>
                      <w:kern w:val="2"/>
                      <w:sz w:val="21"/>
                      <w:szCs w:val="21"/>
                      <w:lang w:val="en-US" w:eastAsia="zh-CN" w:bidi="ar-SA"/>
                    </w:rPr>
                  </w:pPr>
                  <w:r>
                    <w:rPr>
                      <w:spacing w:val="7"/>
                      <w:sz w:val="24"/>
                      <w:szCs w:val="24"/>
                    </w:rPr>
                    <w:t>牛肉</w:t>
                  </w:r>
                </w:p>
              </w:tc>
              <w:tc>
                <w:tcPr>
                  <w:tcW w:w="1350" w:type="dxa"/>
                  <w:tcBorders>
                    <w:tl2br w:val="nil"/>
                    <w:tr2bl w:val="nil"/>
                  </w:tcBorders>
                  <w:noWrap w:val="0"/>
                  <w:vAlign w:val="center"/>
                </w:tcPr>
                <w:p w14:paraId="44E13DCD">
                  <w:pPr>
                    <w:adjustRightInd w:val="0"/>
                    <w:snapToGrid w:val="0"/>
                    <w:jc w:val="center"/>
                    <w:rPr>
                      <w:rFonts w:hint="default" w:ascii="Times New Roman" w:hAnsi="Times New Roman" w:cs="Times New Roman"/>
                      <w:color w:val="auto"/>
                      <w:highlight w:val="none"/>
                      <w:lang w:val="en-US" w:eastAsia="zh-CN"/>
                    </w:rPr>
                  </w:pPr>
                  <w:r>
                    <w:rPr>
                      <w:rFonts w:hint="eastAsia" w:ascii="Times New Roman" w:hAnsi="Times New Roman" w:eastAsia="宋体" w:cs="Times New Roman"/>
                      <w:i w:val="0"/>
                      <w:iCs w:val="0"/>
                      <w:color w:val="auto"/>
                      <w:kern w:val="0"/>
                      <w:sz w:val="21"/>
                      <w:szCs w:val="21"/>
                      <w:u w:val="none"/>
                      <w:lang w:val="en-US" w:eastAsia="zh-CN" w:bidi="ar"/>
                    </w:rPr>
                    <w:t>只</w:t>
                  </w:r>
                  <w:r>
                    <w:rPr>
                      <w:rFonts w:hint="default" w:ascii="Times New Roman" w:hAnsi="Times New Roman" w:cs="Times New Roman"/>
                      <w:i w:val="0"/>
                      <w:iCs w:val="0"/>
                      <w:color w:val="auto"/>
                      <w:kern w:val="0"/>
                      <w:sz w:val="21"/>
                      <w:szCs w:val="21"/>
                      <w:u w:val="none"/>
                      <w:lang w:val="en-US" w:eastAsia="zh-CN" w:bidi="ar"/>
                    </w:rPr>
                    <w:t>/年</w:t>
                  </w:r>
                </w:p>
              </w:tc>
              <w:tc>
                <w:tcPr>
                  <w:tcW w:w="1609" w:type="dxa"/>
                  <w:tcBorders>
                    <w:tl2br w:val="nil"/>
                    <w:tr2bl w:val="nil"/>
                  </w:tcBorders>
                  <w:shd w:val="clear" w:color="auto" w:fill="auto"/>
                  <w:noWrap w:val="0"/>
                  <w:vAlign w:val="center"/>
                </w:tcPr>
                <w:p w14:paraId="7EE336C8">
                  <w:pPr>
                    <w:spacing w:line="240" w:lineRule="auto"/>
                    <w:ind w:left="-105" w:leftChars="-50" w:right="-105" w:rightChars="-50"/>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Cs w:val="21"/>
                      <w:lang w:val="en-US" w:eastAsia="zh-CN"/>
                    </w:rPr>
                    <w:t>5000</w:t>
                  </w:r>
                </w:p>
              </w:tc>
              <w:tc>
                <w:tcPr>
                  <w:tcW w:w="1527" w:type="dxa"/>
                  <w:tcBorders>
                    <w:tl2br w:val="nil"/>
                    <w:tr2bl w:val="nil"/>
                  </w:tcBorders>
                  <w:noWrap w:val="0"/>
                  <w:vAlign w:val="center"/>
                </w:tcPr>
                <w:p w14:paraId="4D49A6BB">
                  <w:pPr>
                    <w:adjustRightInd w:val="0"/>
                    <w:snapToGrid w:val="0"/>
                    <w:jc w:val="center"/>
                    <w:rPr>
                      <w:rFonts w:hint="default" w:ascii="Times New Roman" w:hAnsi="Times New Roman"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4800</w:t>
                  </w:r>
                </w:p>
              </w:tc>
              <w:tc>
                <w:tcPr>
                  <w:tcW w:w="2194" w:type="dxa"/>
                  <w:tcBorders>
                    <w:tl2br w:val="nil"/>
                    <w:tr2bl w:val="nil"/>
                  </w:tcBorders>
                  <w:noWrap w:val="0"/>
                  <w:vAlign w:val="center"/>
                </w:tcPr>
                <w:p w14:paraId="6C3F29C3">
                  <w:pPr>
                    <w:keepNext w:val="0"/>
                    <w:keepLines w:val="0"/>
                    <w:pageBreakBefore w:val="0"/>
                    <w:widowControl w:val="0"/>
                    <w:kinsoku/>
                    <w:wordWrap/>
                    <w:overflowPunct/>
                    <w:topLinePunct w:val="0"/>
                    <w:autoSpaceDE/>
                    <w:autoSpaceDN/>
                    <w:bidi w:val="0"/>
                    <w:adjustRightInd/>
                    <w:snapToGrid/>
                    <w:spacing w:line="240" w:lineRule="auto"/>
                    <w:ind w:firstLine="4" w:firstLineChars="2"/>
                    <w:jc w:val="center"/>
                    <w:textAlignment w:val="auto"/>
                    <w:rPr>
                      <w:rFonts w:hint="default" w:ascii="Times New Roman" w:hAnsi="Times New Roman" w:cs="Times New Roman"/>
                      <w:b w:val="0"/>
                      <w:bCs/>
                      <w:color w:val="auto"/>
                      <w:kern w:val="2"/>
                      <w:sz w:val="21"/>
                      <w:szCs w:val="21"/>
                      <w:highlight w:val="none"/>
                      <w:vertAlign w:val="baseli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4800</w:t>
                  </w:r>
                </w:p>
              </w:tc>
            </w:tr>
            <w:tr w14:paraId="7EBBFD4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8758" w:type="dxa"/>
                  <w:gridSpan w:val="5"/>
                  <w:tcBorders>
                    <w:tl2br w:val="nil"/>
                    <w:tr2bl w:val="nil"/>
                  </w:tcBorders>
                  <w:noWrap w:val="0"/>
                  <w:vAlign w:val="center"/>
                </w:tcPr>
                <w:p w14:paraId="0FED4DDF">
                  <w:pPr>
                    <w:keepNext w:val="0"/>
                    <w:keepLines w:val="0"/>
                    <w:pageBreakBefore w:val="0"/>
                    <w:widowControl w:val="0"/>
                    <w:kinsoku/>
                    <w:wordWrap/>
                    <w:overflowPunct/>
                    <w:topLinePunct w:val="0"/>
                    <w:autoSpaceDE/>
                    <w:autoSpaceDN/>
                    <w:bidi w:val="0"/>
                    <w:adjustRightInd/>
                    <w:snapToGrid/>
                    <w:spacing w:line="240" w:lineRule="auto"/>
                    <w:ind w:firstLine="4" w:firstLineChars="2"/>
                    <w:jc w:val="left"/>
                    <w:textAlignment w:val="auto"/>
                    <w:rPr>
                      <w:rFonts w:hint="default" w:ascii="Times New Roman" w:hAnsi="Times New Roman" w:cs="Times New Roman"/>
                      <w:color w:val="auto"/>
                      <w:szCs w:val="21"/>
                      <w:lang w:val="en-US" w:eastAsia="zh-CN"/>
                    </w:rPr>
                  </w:pPr>
                  <w:r>
                    <w:rPr>
                      <w:rFonts w:hint="default" w:ascii="Times New Roman" w:hAnsi="Times New Roman" w:cs="Times New Roman"/>
                      <w:color w:val="auto"/>
                      <w:szCs w:val="21"/>
                      <w:lang w:val="en-US" w:eastAsia="zh-CN"/>
                    </w:rPr>
                    <w:t>备注：</w:t>
                  </w:r>
                  <w:r>
                    <w:rPr>
                      <w:rFonts w:hint="default" w:ascii="Times New Roman" w:hAnsi="Times New Roman" w:cs="Times New Roman"/>
                      <w:color w:val="auto"/>
                      <w:highlight w:val="none"/>
                      <w:lang w:val="en-US" w:eastAsia="zh-CN"/>
                    </w:rPr>
                    <w:t>根据2025年</w:t>
                  </w:r>
                  <w:r>
                    <w:rPr>
                      <w:rFonts w:hint="eastAsia" w:ascii="Times New Roman" w:hAnsi="Times New Roman" w:cs="Times New Roman"/>
                      <w:color w:val="auto"/>
                      <w:highlight w:val="none"/>
                      <w:lang w:val="en-US" w:eastAsia="zh-CN"/>
                    </w:rPr>
                    <w:t>7</w:t>
                  </w:r>
                  <w:r>
                    <w:rPr>
                      <w:rFonts w:hint="default" w:ascii="Times New Roman" w:hAnsi="Times New Roman" w:cs="Times New Roman"/>
                      <w:color w:val="auto"/>
                      <w:highlight w:val="none"/>
                      <w:lang w:val="en-US" w:eastAsia="zh-CN"/>
                    </w:rPr>
                    <w:t>月至</w:t>
                  </w:r>
                  <w:r>
                    <w:rPr>
                      <w:rFonts w:hint="eastAsia" w:ascii="Times New Roman" w:hAnsi="Times New Roman" w:cs="Times New Roman"/>
                      <w:color w:val="auto"/>
                      <w:highlight w:val="none"/>
                      <w:lang w:val="en-US" w:eastAsia="zh-CN"/>
                    </w:rPr>
                    <w:t>9</w:t>
                  </w:r>
                  <w:r>
                    <w:rPr>
                      <w:rFonts w:hint="default" w:ascii="Times New Roman" w:hAnsi="Times New Roman" w:cs="Times New Roman"/>
                      <w:color w:val="auto"/>
                      <w:highlight w:val="none"/>
                      <w:lang w:val="en-US" w:eastAsia="zh-CN"/>
                    </w:rPr>
                    <w:t>月实际生产情况估算年产量，实际项目产量依照订单情况浮动。</w:t>
                  </w:r>
                </w:p>
              </w:tc>
            </w:tr>
          </w:tbl>
          <w:p w14:paraId="0C72716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工程投资及环保投资</w:t>
            </w:r>
          </w:p>
          <w:p w14:paraId="3107E196">
            <w:pPr>
              <w:keepNext w:val="0"/>
              <w:keepLines w:val="0"/>
              <w:pageBreakBefore w:val="0"/>
              <w:widowControl w:val="0"/>
              <w:kinsoku/>
              <w:wordWrap/>
              <w:overflowPunct/>
              <w:topLinePunct w:val="0"/>
              <w:autoSpaceDE/>
              <w:autoSpaceDN/>
              <w:bidi w:val="0"/>
              <w:adjustRightInd/>
              <w:snapToGrid/>
              <w:spacing w:line="360" w:lineRule="auto"/>
              <w:ind w:firstLine="552"/>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lang w:val="en-US" w:eastAsia="zh-CN"/>
              </w:rPr>
              <w:t>本</w:t>
            </w:r>
            <w:r>
              <w:rPr>
                <w:rFonts w:hint="eastAsia" w:ascii="宋体" w:hAnsi="宋体" w:eastAsia="宋体" w:cs="宋体"/>
                <w:color w:val="auto"/>
                <w:sz w:val="24"/>
                <w:szCs w:val="24"/>
                <w:lang w:eastAsia="zh-CN"/>
              </w:rPr>
              <w:t>项目</w:t>
            </w:r>
            <w:r>
              <w:rPr>
                <w:rFonts w:hint="eastAsia" w:ascii="宋体" w:hAnsi="宋体" w:eastAsia="宋体" w:cs="宋体"/>
                <w:color w:val="auto"/>
                <w:sz w:val="24"/>
                <w:szCs w:val="24"/>
              </w:rPr>
              <w:t>计划总投资</w:t>
            </w:r>
            <w:r>
              <w:rPr>
                <w:rFonts w:hint="eastAsia" w:ascii="宋体" w:hAnsi="宋体" w:eastAsia="宋体" w:cs="宋体"/>
                <w:color w:val="auto"/>
                <w:sz w:val="24"/>
                <w:szCs w:val="24"/>
                <w:lang w:val="en-US" w:eastAsia="zh-CN"/>
              </w:rPr>
              <w:t>537</w:t>
            </w:r>
            <w:r>
              <w:rPr>
                <w:rFonts w:hint="eastAsia" w:ascii="宋体" w:hAnsi="宋体" w:eastAsia="宋体" w:cs="宋体"/>
                <w:color w:val="auto"/>
                <w:sz w:val="24"/>
                <w:szCs w:val="24"/>
              </w:rPr>
              <w:t>万元，环保投资为</w:t>
            </w:r>
            <w:r>
              <w:rPr>
                <w:rFonts w:hint="eastAsia" w:ascii="宋体" w:hAnsi="宋体" w:eastAsia="宋体" w:cs="宋体"/>
                <w:color w:val="auto"/>
                <w:sz w:val="24"/>
                <w:szCs w:val="24"/>
                <w:lang w:val="en-US" w:eastAsia="zh-CN"/>
              </w:rPr>
              <w:t>66</w:t>
            </w:r>
            <w:r>
              <w:rPr>
                <w:rFonts w:hint="eastAsia" w:ascii="宋体" w:hAnsi="宋体" w:eastAsia="宋体" w:cs="宋体"/>
                <w:color w:val="auto"/>
                <w:sz w:val="24"/>
                <w:szCs w:val="24"/>
              </w:rPr>
              <w:t>万元，占总投资额比例约为</w:t>
            </w:r>
            <w:r>
              <w:rPr>
                <w:rFonts w:hint="eastAsia" w:ascii="宋体" w:hAnsi="宋体" w:eastAsia="宋体" w:cs="宋体"/>
                <w:color w:val="auto"/>
                <w:sz w:val="24"/>
                <w:szCs w:val="24"/>
                <w:lang w:val="en-US" w:eastAsia="zh-CN"/>
              </w:rPr>
              <w:t>12.3</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一期工程</w:t>
            </w:r>
            <w:r>
              <w:rPr>
                <w:rFonts w:hint="eastAsia" w:ascii="宋体" w:hAnsi="宋体" w:eastAsia="宋体" w:cs="宋体"/>
                <w:color w:val="auto"/>
                <w:sz w:val="24"/>
                <w:szCs w:val="24"/>
              </w:rPr>
              <w:t>实际总投资</w:t>
            </w:r>
            <w:r>
              <w:rPr>
                <w:rFonts w:hint="eastAsia" w:ascii="宋体" w:hAnsi="宋体" w:eastAsia="宋体" w:cs="宋体"/>
                <w:color w:val="auto"/>
                <w:sz w:val="24"/>
                <w:szCs w:val="24"/>
                <w:lang w:val="en-US" w:eastAsia="zh-CN"/>
              </w:rPr>
              <w:t>300</w:t>
            </w:r>
            <w:r>
              <w:rPr>
                <w:rFonts w:hint="eastAsia" w:ascii="宋体" w:hAnsi="宋体" w:eastAsia="宋体" w:cs="宋体"/>
                <w:color w:val="auto"/>
                <w:sz w:val="24"/>
                <w:szCs w:val="24"/>
                <w:highlight w:val="none"/>
              </w:rPr>
              <w:t>万元，环保投资</w:t>
            </w:r>
            <w:r>
              <w:rPr>
                <w:rFonts w:hint="eastAsia" w:ascii="宋体" w:hAnsi="宋体" w:eastAsia="宋体" w:cs="宋体"/>
                <w:color w:val="auto"/>
                <w:sz w:val="24"/>
                <w:szCs w:val="24"/>
                <w:highlight w:val="none"/>
                <w:lang w:val="en-US" w:eastAsia="zh-CN"/>
              </w:rPr>
              <w:t>63</w:t>
            </w:r>
            <w:r>
              <w:rPr>
                <w:rFonts w:hint="eastAsia" w:ascii="宋体" w:hAnsi="宋体" w:eastAsia="宋体" w:cs="宋体"/>
                <w:color w:val="auto"/>
                <w:sz w:val="24"/>
                <w:szCs w:val="24"/>
                <w:highlight w:val="none"/>
              </w:rPr>
              <w:t>万元，占总投资额比例约为</w:t>
            </w:r>
            <w:r>
              <w:rPr>
                <w:rFonts w:hint="eastAsia" w:ascii="宋体" w:hAnsi="宋体" w:eastAsia="宋体" w:cs="宋体"/>
                <w:color w:val="auto"/>
                <w:sz w:val="24"/>
                <w:szCs w:val="24"/>
                <w:highlight w:val="none"/>
                <w:lang w:val="en-US" w:eastAsia="zh-CN"/>
              </w:rPr>
              <w:t>21.0%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rPr>
              <w:t>环保投资详见表1-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w:t>
            </w:r>
          </w:p>
          <w:p w14:paraId="51E1FFB1">
            <w:pPr>
              <w:rPr>
                <w:rFonts w:hint="default" w:ascii="Times New Roman" w:hAnsi="Times New Roman" w:eastAsia="宋体" w:cs="Times New Roman"/>
                <w:b/>
                <w:bCs/>
                <w:color w:val="auto"/>
                <w:sz w:val="24"/>
                <w:szCs w:val="22"/>
                <w:highlight w:val="none"/>
                <w:lang w:val="en-US" w:eastAsia="zh-CN"/>
              </w:rPr>
            </w:pPr>
            <w:r>
              <w:rPr>
                <w:rFonts w:hint="default" w:ascii="Times New Roman" w:hAnsi="Times New Roman" w:cs="Times New Roman"/>
                <w:b/>
                <w:bCs/>
                <w:color w:val="auto"/>
                <w:sz w:val="24"/>
                <w:szCs w:val="22"/>
                <w:highlight w:val="none"/>
              </w:rPr>
              <w:t>表1-</w:t>
            </w:r>
            <w:r>
              <w:rPr>
                <w:rFonts w:hint="default" w:ascii="Times New Roman" w:hAnsi="Times New Roman" w:cs="Times New Roman"/>
                <w:b/>
                <w:bCs/>
                <w:color w:val="auto"/>
                <w:sz w:val="24"/>
                <w:szCs w:val="22"/>
                <w:highlight w:val="none"/>
                <w:lang w:val="en-US" w:eastAsia="zh-CN"/>
              </w:rPr>
              <w:t>5</w:t>
            </w:r>
            <w:r>
              <w:rPr>
                <w:rFonts w:hint="default" w:ascii="Times New Roman" w:hAnsi="Times New Roman" w:cs="Times New Roman"/>
                <w:b/>
                <w:bCs/>
                <w:color w:val="auto"/>
                <w:sz w:val="24"/>
                <w:szCs w:val="22"/>
                <w:highlight w:val="none"/>
              </w:rPr>
              <w:t xml:space="preserve">                 </w:t>
            </w:r>
            <w:r>
              <w:rPr>
                <w:rFonts w:hint="default" w:ascii="Times New Roman" w:hAnsi="Times New Roman" w:cs="Times New Roman"/>
                <w:b/>
                <w:bCs/>
                <w:color w:val="auto"/>
                <w:sz w:val="24"/>
                <w:szCs w:val="22"/>
                <w:highlight w:val="none"/>
                <w:lang w:val="en-US" w:eastAsia="zh-CN"/>
              </w:rPr>
              <w:t xml:space="preserve">       </w:t>
            </w:r>
            <w:r>
              <w:rPr>
                <w:rFonts w:hint="default" w:ascii="Times New Roman" w:hAnsi="Times New Roman" w:cs="Times New Roman"/>
                <w:b/>
                <w:bCs/>
                <w:color w:val="auto"/>
                <w:sz w:val="24"/>
                <w:szCs w:val="22"/>
                <w:highlight w:val="none"/>
              </w:rPr>
              <w:t>环保投资一览表</w:t>
            </w:r>
            <w:r>
              <w:rPr>
                <w:rFonts w:hint="default" w:ascii="Times New Roman" w:hAnsi="Times New Roman" w:cs="Times New Roman"/>
                <w:b/>
                <w:bCs/>
                <w:color w:val="auto"/>
                <w:sz w:val="24"/>
                <w:szCs w:val="22"/>
                <w:highlight w:val="none"/>
                <w:lang w:val="en-US" w:eastAsia="zh-CN"/>
              </w:rPr>
              <w:t xml:space="preserve">                 单位：</w:t>
            </w:r>
            <w:r>
              <w:rPr>
                <w:rFonts w:hint="default" w:ascii="Times New Roman" w:hAnsi="Times New Roman" w:cs="Times New Roman"/>
                <w:b/>
                <w:bCs w:val="0"/>
                <w:color w:val="auto"/>
                <w:sz w:val="21"/>
                <w:szCs w:val="21"/>
                <w:lang w:eastAsia="zh-CN"/>
              </w:rPr>
              <w:t>万元</w:t>
            </w:r>
          </w:p>
          <w:tbl>
            <w:tblPr>
              <w:tblStyle w:val="15"/>
              <w:tblW w:w="8790"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2662"/>
              <w:gridCol w:w="1058"/>
              <w:gridCol w:w="2625"/>
              <w:gridCol w:w="1375"/>
            </w:tblGrid>
            <w:tr w14:paraId="2479FBD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0" w:type="dxa"/>
                  <w:noWrap w:val="0"/>
                  <w:vAlign w:val="center"/>
                </w:tcPr>
                <w:p w14:paraId="1B197A70">
                  <w:pPr>
                    <w:spacing w:line="300" w:lineRule="exact"/>
                    <w:jc w:val="center"/>
                    <w:rPr>
                      <w:rFonts w:hint="default" w:ascii="Times New Roman" w:hAnsi="Times New Roman" w:eastAsia="宋体" w:cs="Times New Roman"/>
                      <w:b/>
                      <w:bCs w:val="0"/>
                      <w:color w:val="auto"/>
                      <w:sz w:val="21"/>
                      <w:szCs w:val="21"/>
                      <w:lang w:eastAsia="zh-CN"/>
                    </w:rPr>
                  </w:pPr>
                  <w:r>
                    <w:rPr>
                      <w:rFonts w:hint="default" w:ascii="Times New Roman" w:hAnsi="Times New Roman" w:cs="Times New Roman"/>
                      <w:b/>
                      <w:bCs w:val="0"/>
                      <w:color w:val="auto"/>
                      <w:sz w:val="21"/>
                      <w:szCs w:val="21"/>
                      <w:lang w:eastAsia="zh-CN"/>
                    </w:rPr>
                    <w:t>类别</w:t>
                  </w:r>
                </w:p>
              </w:tc>
              <w:tc>
                <w:tcPr>
                  <w:tcW w:w="2662" w:type="dxa"/>
                  <w:noWrap w:val="0"/>
                  <w:vAlign w:val="center"/>
                </w:tcPr>
                <w:p w14:paraId="3CC69D8F">
                  <w:pPr>
                    <w:spacing w:line="300" w:lineRule="exact"/>
                    <w:jc w:val="center"/>
                    <w:rPr>
                      <w:rFonts w:hint="default" w:ascii="Times New Roman" w:hAnsi="Times New Roman" w:cs="Times New Roman"/>
                      <w:b/>
                      <w:bCs w:val="0"/>
                      <w:color w:val="auto"/>
                      <w:sz w:val="21"/>
                      <w:szCs w:val="21"/>
                    </w:rPr>
                  </w:pPr>
                  <w:r>
                    <w:rPr>
                      <w:rFonts w:hint="default" w:ascii="Times New Roman" w:hAnsi="Times New Roman" w:cs="Times New Roman"/>
                      <w:b/>
                      <w:bCs w:val="0"/>
                      <w:color w:val="auto"/>
                      <w:sz w:val="21"/>
                      <w:szCs w:val="21"/>
                    </w:rPr>
                    <w:t>环评设计环保设施</w:t>
                  </w:r>
                </w:p>
              </w:tc>
              <w:tc>
                <w:tcPr>
                  <w:tcW w:w="1058" w:type="dxa"/>
                  <w:noWrap w:val="0"/>
                  <w:vAlign w:val="center"/>
                </w:tcPr>
                <w:p w14:paraId="7220A8F8">
                  <w:pPr>
                    <w:spacing w:line="300" w:lineRule="exact"/>
                    <w:jc w:val="center"/>
                    <w:rPr>
                      <w:rFonts w:hint="default" w:ascii="Times New Roman" w:hAnsi="Times New Roman" w:eastAsia="宋体" w:cs="Times New Roman"/>
                      <w:b/>
                      <w:bCs w:val="0"/>
                      <w:color w:val="auto"/>
                      <w:sz w:val="21"/>
                      <w:szCs w:val="21"/>
                      <w:lang w:eastAsia="zh-CN"/>
                    </w:rPr>
                  </w:pPr>
                  <w:r>
                    <w:rPr>
                      <w:rFonts w:hint="default" w:ascii="Times New Roman" w:hAnsi="Times New Roman" w:cs="Times New Roman"/>
                      <w:b/>
                      <w:bCs w:val="0"/>
                      <w:color w:val="auto"/>
                      <w:sz w:val="21"/>
                      <w:szCs w:val="21"/>
                      <w:lang w:eastAsia="zh-CN"/>
                    </w:rPr>
                    <w:t>环评</w:t>
                  </w:r>
                  <w:r>
                    <w:rPr>
                      <w:rFonts w:hint="default" w:ascii="Times New Roman" w:hAnsi="Times New Roman" w:cs="Times New Roman"/>
                      <w:b/>
                      <w:bCs w:val="0"/>
                      <w:color w:val="auto"/>
                      <w:sz w:val="21"/>
                      <w:szCs w:val="21"/>
                    </w:rPr>
                    <w:t>设计投资</w:t>
                  </w:r>
                </w:p>
              </w:tc>
              <w:tc>
                <w:tcPr>
                  <w:tcW w:w="2625" w:type="dxa"/>
                  <w:noWrap w:val="0"/>
                  <w:vAlign w:val="center"/>
                </w:tcPr>
                <w:p w14:paraId="7C585538">
                  <w:pPr>
                    <w:spacing w:line="300" w:lineRule="exact"/>
                    <w:jc w:val="center"/>
                    <w:rPr>
                      <w:rFonts w:hint="default" w:ascii="Times New Roman" w:hAnsi="Times New Roman" w:cs="Times New Roman"/>
                      <w:b/>
                      <w:bCs w:val="0"/>
                      <w:color w:val="auto"/>
                      <w:sz w:val="21"/>
                      <w:szCs w:val="21"/>
                    </w:rPr>
                  </w:pPr>
                  <w:r>
                    <w:rPr>
                      <w:rFonts w:hint="default" w:ascii="Times New Roman" w:hAnsi="Times New Roman" w:cs="Times New Roman"/>
                      <w:b/>
                      <w:bCs w:val="0"/>
                      <w:color w:val="auto"/>
                      <w:sz w:val="21"/>
                      <w:szCs w:val="21"/>
                    </w:rPr>
                    <w:t>实际环保设施</w:t>
                  </w:r>
                </w:p>
              </w:tc>
              <w:tc>
                <w:tcPr>
                  <w:tcW w:w="1375" w:type="dxa"/>
                  <w:noWrap w:val="0"/>
                  <w:vAlign w:val="center"/>
                </w:tcPr>
                <w:p w14:paraId="2E05818D">
                  <w:pPr>
                    <w:spacing w:line="300" w:lineRule="exact"/>
                    <w:jc w:val="center"/>
                    <w:rPr>
                      <w:rFonts w:hint="default" w:ascii="Times New Roman" w:hAnsi="Times New Roman" w:eastAsia="宋体" w:cs="Times New Roman"/>
                      <w:b/>
                      <w:bCs w:val="0"/>
                      <w:color w:val="auto"/>
                      <w:sz w:val="21"/>
                      <w:szCs w:val="21"/>
                      <w:lang w:eastAsia="zh-CN"/>
                    </w:rPr>
                  </w:pPr>
                  <w:r>
                    <w:rPr>
                      <w:rFonts w:hint="default" w:ascii="Times New Roman" w:hAnsi="Times New Roman" w:cs="Times New Roman"/>
                      <w:b/>
                      <w:bCs w:val="0"/>
                      <w:color w:val="auto"/>
                      <w:sz w:val="21"/>
                      <w:szCs w:val="21"/>
                    </w:rPr>
                    <w:t>实际投资</w:t>
                  </w:r>
                </w:p>
              </w:tc>
            </w:tr>
            <w:tr w14:paraId="5C2ABE0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8" w:hRule="atLeast"/>
                <w:jc w:val="center"/>
              </w:trPr>
              <w:tc>
                <w:tcPr>
                  <w:tcW w:w="1070" w:type="dxa"/>
                  <w:vMerge w:val="restart"/>
                  <w:noWrap w:val="0"/>
                  <w:vAlign w:val="center"/>
                </w:tcPr>
                <w:p w14:paraId="250D1F48">
                  <w:pPr>
                    <w:widowControl w:val="0"/>
                    <w:adjustRightInd w:val="0"/>
                    <w:ind w:firstLine="0" w:firstLineChars="0"/>
                    <w:jc w:val="center"/>
                    <w:textAlignment w:val="baseline"/>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rPr>
                    <w:t>废气</w:t>
                  </w:r>
                </w:p>
              </w:tc>
              <w:tc>
                <w:tcPr>
                  <w:tcW w:w="2662" w:type="dxa"/>
                  <w:noWrap w:val="0"/>
                  <w:vAlign w:val="center"/>
                </w:tcPr>
                <w:p w14:paraId="7CCE82A8">
                  <w:pPr>
                    <w:jc w:val="center"/>
                    <w:rPr>
                      <w:rFonts w:hint="eastAsia" w:ascii="Times New Roman" w:hAnsi="Times New Roman" w:eastAsia="宋体" w:cs="Times New Roman"/>
                      <w:color w:val="auto"/>
                      <w:kern w:val="2"/>
                      <w:sz w:val="21"/>
                      <w:szCs w:val="21"/>
                      <w:highlight w:val="none"/>
                      <w:lang w:val="en-US" w:eastAsia="zh-CN" w:bidi="ar-SA"/>
                    </w:rPr>
                  </w:pPr>
                  <w:r>
                    <w:rPr>
                      <w:rFonts w:hint="eastAsia" w:ascii="宋体" w:hAnsi="宋体" w:eastAsia="宋体" w:cs="宋体"/>
                    </w:rPr>
                    <w:t>车间设置为封闭区域，添加除臭剂和氧化剂，安装恶臭收集设备，收集的恶臭到UV光解除臭+活性炭吸附一体机处理后通过15m高排气筒(2#排气筒)排放。污水处理  设施设计为密闭式，恶臭气体经活性炭吸附处理后通过15m高排气筒(3#排气筒)排放</w:t>
                  </w:r>
                  <w:r>
                    <w:rPr>
                      <w:rFonts w:hint="eastAsia" w:ascii="宋体" w:hAnsi="宋体" w:eastAsia="宋体" w:cs="宋体"/>
                      <w:lang w:eastAsia="zh-CN"/>
                    </w:rPr>
                    <w:t>。</w:t>
                  </w:r>
                </w:p>
              </w:tc>
              <w:tc>
                <w:tcPr>
                  <w:tcW w:w="1058" w:type="dxa"/>
                  <w:vMerge w:val="restart"/>
                  <w:noWrap w:val="0"/>
                  <w:vAlign w:val="center"/>
                </w:tcPr>
                <w:p w14:paraId="4CBC9366">
                  <w:pPr>
                    <w:keepNext w:val="0"/>
                    <w:keepLines w:val="0"/>
                    <w:pageBreakBefore w:val="0"/>
                    <w:widowControl w:val="0"/>
                    <w:kinsoku/>
                    <w:wordWrap/>
                    <w:overflowPunct/>
                    <w:autoSpaceDE/>
                    <w:autoSpaceDN/>
                    <w:bidi w:val="0"/>
                    <w:adjustRightInd/>
                    <w:snapToGrid/>
                    <w:spacing w:line="360" w:lineRule="exact"/>
                    <w:ind w:left="-105" w:leftChars="-50" w:right="-105" w:rightChars="-50"/>
                    <w:jc w:val="center"/>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20</w:t>
                  </w:r>
                </w:p>
              </w:tc>
              <w:tc>
                <w:tcPr>
                  <w:tcW w:w="2625" w:type="dxa"/>
                  <w:shd w:val="clear" w:color="auto" w:fill="auto"/>
                  <w:noWrap w:val="0"/>
                  <w:vAlign w:val="center"/>
                </w:tcPr>
                <w:p w14:paraId="574511B1">
                  <w:pPr>
                    <w:jc w:val="left"/>
                    <w:rPr>
                      <w:rFonts w:hint="eastAsia" w:ascii="宋体" w:hAnsi="宋体" w:eastAsia="宋体" w:cs="宋体"/>
                    </w:rPr>
                  </w:pPr>
                  <w:r>
                    <w:rPr>
                      <w:rFonts w:hint="eastAsia" w:ascii="宋体" w:hAnsi="宋体" w:eastAsia="宋体" w:cs="宋体"/>
                    </w:rPr>
                    <w:t>待宰车间、屠宰车间、固废储存区产生的恶臭经UV</w:t>
                  </w:r>
                </w:p>
                <w:p w14:paraId="6D0119CE">
                  <w:pPr>
                    <w:jc w:val="left"/>
                    <w:rPr>
                      <w:rFonts w:hint="eastAsia" w:ascii="宋体" w:hAnsi="宋体" w:eastAsia="宋体" w:cs="宋体"/>
                      <w:lang w:val="en-US" w:eastAsia="zh-CN"/>
                    </w:rPr>
                  </w:pPr>
                  <w:r>
                    <w:rPr>
                      <w:rFonts w:hint="eastAsia" w:ascii="宋体" w:hAnsi="宋体" w:eastAsia="宋体" w:cs="宋体"/>
                    </w:rPr>
                    <w:t>光解除臭+活性炭吸附一体机工艺处理后</w:t>
                  </w:r>
                  <w:r>
                    <w:rPr>
                      <w:rFonts w:hint="eastAsia" w:ascii="宋体" w:hAnsi="宋体" w:eastAsia="宋体" w:cs="宋体"/>
                      <w:lang w:val="en-US" w:eastAsia="zh-CN"/>
                    </w:rPr>
                    <w:t>由15m高排气筒DA001排放；</w:t>
                  </w:r>
                </w:p>
                <w:p w14:paraId="38E4AAA8">
                  <w:pPr>
                    <w:jc w:val="left"/>
                    <w:rPr>
                      <w:rFonts w:hint="default" w:ascii="Times New Roman" w:hAnsi="Times New Roman" w:eastAsia="宋体" w:cs="Times New Roman"/>
                      <w:color w:val="auto"/>
                      <w:kern w:val="2"/>
                      <w:sz w:val="21"/>
                      <w:szCs w:val="21"/>
                      <w:highlight w:val="none"/>
                      <w:lang w:val="en-US" w:eastAsia="zh-CN" w:bidi="ar-SA"/>
                    </w:rPr>
                  </w:pPr>
                  <w:r>
                    <w:rPr>
                      <w:rFonts w:hint="eastAsia" w:ascii="宋体" w:hAnsi="宋体" w:eastAsia="宋体" w:cs="宋体"/>
                    </w:rPr>
                    <w:t>污水处理设施产生的恶臭</w:t>
                  </w:r>
                  <w:r>
                    <w:rPr>
                      <w:rFonts w:hint="eastAsia" w:ascii="宋体" w:hAnsi="宋体" w:eastAsia="宋体" w:cs="宋体"/>
                      <w:lang w:val="en-US" w:eastAsia="zh-CN"/>
                    </w:rPr>
                    <w:t>经</w:t>
                  </w:r>
                  <w:r>
                    <w:rPr>
                      <w:rFonts w:hint="eastAsia" w:ascii="宋体" w:hAnsi="宋体" w:eastAsia="宋体" w:cs="宋体"/>
                    </w:rPr>
                    <w:t>经活性炭吸附</w:t>
                  </w:r>
                  <w:r>
                    <w:rPr>
                      <w:rFonts w:hint="eastAsia" w:ascii="宋体" w:hAnsi="宋体" w:eastAsia="宋体" w:cs="宋体"/>
                      <w:lang w:val="en-US" w:eastAsia="zh-CN"/>
                    </w:rPr>
                    <w:t>处理后，由15m 高排气筒DA002</w:t>
                  </w:r>
                  <w:bookmarkStart w:id="23" w:name="_GoBack"/>
                  <w:bookmarkEnd w:id="23"/>
                  <w:r>
                    <w:rPr>
                      <w:rFonts w:hint="eastAsia" w:ascii="宋体" w:hAnsi="宋体" w:eastAsia="宋体" w:cs="宋体"/>
                      <w:lang w:val="en-US" w:eastAsia="zh-CN"/>
                    </w:rPr>
                    <w:t>排放；</w:t>
                  </w:r>
                </w:p>
              </w:tc>
              <w:tc>
                <w:tcPr>
                  <w:tcW w:w="1375" w:type="dxa"/>
                  <w:noWrap w:val="0"/>
                  <w:vAlign w:val="center"/>
                </w:tcPr>
                <w:p w14:paraId="0F50F649">
                  <w:pPr>
                    <w:ind w:left="-105" w:leftChars="-50" w:right="-105" w:rightChars="-5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25</w:t>
                  </w:r>
                </w:p>
              </w:tc>
            </w:tr>
            <w:tr w14:paraId="4475974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8" w:hRule="atLeast"/>
                <w:jc w:val="center"/>
              </w:trPr>
              <w:tc>
                <w:tcPr>
                  <w:tcW w:w="1070" w:type="dxa"/>
                  <w:vMerge w:val="continue"/>
                  <w:noWrap w:val="0"/>
                  <w:vAlign w:val="center"/>
                </w:tcPr>
                <w:p w14:paraId="24F2AA6C">
                  <w:pPr>
                    <w:widowControl w:val="0"/>
                    <w:adjustRightInd w:val="0"/>
                    <w:ind w:firstLine="0" w:firstLineChars="0"/>
                    <w:jc w:val="center"/>
                    <w:textAlignment w:val="baseline"/>
                    <w:rPr>
                      <w:rFonts w:hint="default" w:ascii="Times New Roman" w:hAnsi="Times New Roman" w:cs="Times New Roman"/>
                      <w:color w:val="auto"/>
                      <w:sz w:val="21"/>
                      <w:szCs w:val="21"/>
                    </w:rPr>
                  </w:pPr>
                </w:p>
              </w:tc>
              <w:tc>
                <w:tcPr>
                  <w:tcW w:w="2662" w:type="dxa"/>
                  <w:noWrap w:val="0"/>
                  <w:vAlign w:val="center"/>
                </w:tcPr>
                <w:p w14:paraId="7B3B0D3A">
                  <w:pPr>
                    <w:jc w:val="center"/>
                    <w:rPr>
                      <w:rFonts w:hint="default" w:ascii="Times New Roman" w:hAnsi="Times New Roman" w:eastAsia="宋体" w:cs="Times New Roman"/>
                      <w:color w:val="auto"/>
                      <w:kern w:val="2"/>
                      <w:sz w:val="21"/>
                      <w:szCs w:val="21"/>
                      <w:highlight w:val="none"/>
                      <w:lang w:val="en-US" w:eastAsia="zh-CN" w:bidi="ar-SA"/>
                    </w:rPr>
                  </w:pPr>
                  <w:r>
                    <w:rPr>
                      <w:rFonts w:hint="eastAsia" w:ascii="宋体" w:hAnsi="宋体" w:eastAsia="宋体" w:cs="宋体"/>
                    </w:rPr>
                    <w:t>食堂油烟配套油烟净化器和专用烟囱(1#排气筒),经过净化处理后通过烟囱高空排放。</w:t>
                  </w:r>
                </w:p>
              </w:tc>
              <w:tc>
                <w:tcPr>
                  <w:tcW w:w="1058" w:type="dxa"/>
                  <w:vMerge w:val="continue"/>
                  <w:noWrap w:val="0"/>
                  <w:vAlign w:val="center"/>
                </w:tcPr>
                <w:p w14:paraId="360231DA">
                  <w:pPr>
                    <w:keepNext w:val="0"/>
                    <w:keepLines w:val="0"/>
                    <w:pageBreakBefore w:val="0"/>
                    <w:widowControl w:val="0"/>
                    <w:kinsoku/>
                    <w:wordWrap/>
                    <w:overflowPunct/>
                    <w:autoSpaceDE/>
                    <w:autoSpaceDN/>
                    <w:bidi w:val="0"/>
                    <w:adjustRightInd/>
                    <w:snapToGrid/>
                    <w:spacing w:line="360" w:lineRule="exact"/>
                    <w:ind w:left="-105" w:leftChars="-50" w:right="-105" w:rightChars="-50"/>
                    <w:jc w:val="center"/>
                    <w:textAlignment w:val="auto"/>
                    <w:rPr>
                      <w:rFonts w:hint="default" w:ascii="Times New Roman" w:hAnsi="Times New Roman" w:cs="Times New Roman"/>
                      <w:color w:val="auto"/>
                      <w:sz w:val="21"/>
                      <w:szCs w:val="21"/>
                      <w:lang w:val="en-US" w:eastAsia="zh-CN"/>
                    </w:rPr>
                  </w:pPr>
                </w:p>
              </w:tc>
              <w:tc>
                <w:tcPr>
                  <w:tcW w:w="2625" w:type="dxa"/>
                  <w:shd w:val="clear" w:color="auto" w:fill="auto"/>
                  <w:noWrap w:val="0"/>
                  <w:vAlign w:val="center"/>
                </w:tcPr>
                <w:p w14:paraId="3F4F19BA">
                  <w:pPr>
                    <w:pStyle w:val="27"/>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未建设</w:t>
                  </w:r>
                </w:p>
              </w:tc>
              <w:tc>
                <w:tcPr>
                  <w:tcW w:w="1375" w:type="dxa"/>
                  <w:noWrap w:val="0"/>
                  <w:vAlign w:val="center"/>
                </w:tcPr>
                <w:p w14:paraId="402B3243">
                  <w:pPr>
                    <w:ind w:left="-105" w:leftChars="-50" w:right="-105" w:rightChars="-50"/>
                    <w:jc w:val="center"/>
                    <w:rPr>
                      <w:rFonts w:hint="default" w:ascii="Times New Roman" w:hAnsi="Times New Roman"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0</w:t>
                  </w:r>
                </w:p>
              </w:tc>
            </w:tr>
            <w:tr w14:paraId="1BD7D56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54" w:hRule="atLeast"/>
                <w:jc w:val="center"/>
              </w:trPr>
              <w:tc>
                <w:tcPr>
                  <w:tcW w:w="1070" w:type="dxa"/>
                  <w:noWrap w:val="0"/>
                  <w:vAlign w:val="center"/>
                </w:tcPr>
                <w:p w14:paraId="6A8262C9">
                  <w:pPr>
                    <w:widowControl w:val="0"/>
                    <w:adjustRightInd w:val="0"/>
                    <w:ind w:firstLine="0" w:firstLineChars="0"/>
                    <w:jc w:val="center"/>
                    <w:textAlignment w:val="baseline"/>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 废水</w:t>
                  </w:r>
                </w:p>
              </w:tc>
              <w:tc>
                <w:tcPr>
                  <w:tcW w:w="2662" w:type="dxa"/>
                  <w:noWrap w:val="0"/>
                  <w:vAlign w:val="center"/>
                </w:tcPr>
                <w:p w14:paraId="5FCC20A0">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sz w:val="21"/>
                      <w:szCs w:val="21"/>
                      <w:lang w:val="en-US" w:eastAsia="zh-CN"/>
                    </w:rPr>
                    <w:t>污水处理设施</w:t>
                  </w:r>
                </w:p>
              </w:tc>
              <w:tc>
                <w:tcPr>
                  <w:tcW w:w="1058" w:type="dxa"/>
                  <w:noWrap w:val="0"/>
                  <w:vAlign w:val="center"/>
                </w:tcPr>
                <w:p w14:paraId="0D586276">
                  <w:pPr>
                    <w:keepNext w:val="0"/>
                    <w:keepLines w:val="0"/>
                    <w:pageBreakBefore w:val="0"/>
                    <w:widowControl w:val="0"/>
                    <w:kinsoku/>
                    <w:wordWrap/>
                    <w:overflowPunct/>
                    <w:autoSpaceDE/>
                    <w:autoSpaceDN/>
                    <w:bidi w:val="0"/>
                    <w:adjustRightInd/>
                    <w:snapToGrid/>
                    <w:spacing w:line="360" w:lineRule="exact"/>
                    <w:ind w:left="-50" w:leftChars="0" w:right="-50" w:rightChars="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w:t>
                  </w:r>
                </w:p>
              </w:tc>
              <w:tc>
                <w:tcPr>
                  <w:tcW w:w="2625" w:type="dxa"/>
                  <w:shd w:val="clear" w:color="auto" w:fill="auto"/>
                  <w:noWrap w:val="0"/>
                  <w:vAlign w:val="center"/>
                </w:tcPr>
                <w:p w14:paraId="0F7CAA9B">
                  <w:pPr>
                    <w:keepNext w:val="0"/>
                    <w:keepLines w:val="0"/>
                    <w:widowControl/>
                    <w:suppressLineNumbers w:val="0"/>
                    <w:jc w:val="left"/>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sz w:val="21"/>
                      <w:szCs w:val="21"/>
                    </w:rPr>
                    <w:t>屠宰废水和生活废水经厂区自建的污水处理设施</w:t>
                  </w:r>
                  <w:r>
                    <w:rPr>
                      <w:rFonts w:hint="eastAsia" w:ascii="宋体" w:hAnsi="宋体" w:eastAsia="宋体" w:cs="宋体"/>
                      <w:color w:val="auto"/>
                      <w:sz w:val="21"/>
                      <w:szCs w:val="21"/>
                      <w:lang w:eastAsia="zh-CN"/>
                    </w:rPr>
                    <w:t>经</w:t>
                  </w:r>
                  <w:r>
                    <w:rPr>
                      <w:rFonts w:hint="eastAsia" w:ascii="宋体" w:hAnsi="宋体" w:eastAsia="宋体" w:cs="宋体"/>
                      <w:color w:val="auto"/>
                      <w:sz w:val="21"/>
                      <w:szCs w:val="21"/>
                    </w:rPr>
                    <w:t>预处理+厌氧+好氧+消毒工艺</w:t>
                  </w:r>
                  <w:r>
                    <w:rPr>
                      <w:rFonts w:hint="eastAsia" w:ascii="宋体" w:hAnsi="宋体" w:eastAsia="宋体" w:cs="宋体"/>
                      <w:sz w:val="21"/>
                      <w:szCs w:val="21"/>
                    </w:rPr>
                    <w:t>处理</w:t>
                  </w:r>
                  <w:r>
                    <w:rPr>
                      <w:rFonts w:hint="eastAsia" w:ascii="宋体" w:hAnsi="宋体" w:eastAsia="宋体" w:cs="宋体"/>
                      <w:sz w:val="21"/>
                      <w:szCs w:val="21"/>
                      <w:lang w:val="en-US" w:eastAsia="zh-CN"/>
                    </w:rPr>
                    <w:t>后，并由15m高排气筒排放。</w:t>
                  </w:r>
                </w:p>
              </w:tc>
              <w:tc>
                <w:tcPr>
                  <w:tcW w:w="1375" w:type="dxa"/>
                  <w:noWrap w:val="0"/>
                  <w:vAlign w:val="center"/>
                </w:tcPr>
                <w:p w14:paraId="06099848">
                  <w:pPr>
                    <w:ind w:left="-105" w:leftChars="-50" w:right="-105" w:rightChars="-5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8</w:t>
                  </w:r>
                </w:p>
              </w:tc>
            </w:tr>
            <w:tr w14:paraId="0712712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0" w:type="dxa"/>
                  <w:noWrap w:val="0"/>
                  <w:vAlign w:val="center"/>
                </w:tcPr>
                <w:p w14:paraId="4B52A313">
                  <w:pPr>
                    <w:keepNext w:val="0"/>
                    <w:keepLines w:val="0"/>
                    <w:pageBreakBefore w:val="0"/>
                    <w:widowControl w:val="0"/>
                    <w:kinsoku/>
                    <w:wordWrap/>
                    <w:overflowPunct/>
                    <w:autoSpaceDE/>
                    <w:autoSpaceDN/>
                    <w:bidi w:val="0"/>
                    <w:adjustRightInd/>
                    <w:snapToGrid/>
                    <w:spacing w:line="360" w:lineRule="exact"/>
                    <w:ind w:left="-105" w:leftChars="-50" w:right="-105" w:rightChars="-50"/>
                    <w:jc w:val="center"/>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 xml:space="preserve"> 一般固废</w:t>
                  </w:r>
                </w:p>
              </w:tc>
              <w:tc>
                <w:tcPr>
                  <w:tcW w:w="2662" w:type="dxa"/>
                  <w:shd w:val="clear" w:color="auto" w:fill="auto"/>
                  <w:noWrap w:val="0"/>
                  <w:vAlign w:val="center"/>
                </w:tcPr>
                <w:p w14:paraId="7F398E50">
                  <w:pPr>
                    <w:pStyle w:val="5"/>
                    <w:spacing w:line="240" w:lineRule="auto"/>
                    <w:ind w:firstLine="0" w:firstLineChars="0"/>
                    <w:jc w:val="center"/>
                    <w:rPr>
                      <w:rFonts w:hint="eastAsia" w:ascii="宋体" w:hAnsi="宋体" w:eastAsia="宋体" w:cs="宋体"/>
                      <w:kern w:val="0"/>
                      <w:sz w:val="21"/>
                      <w:szCs w:val="21"/>
                      <w:lang w:val="en-US" w:eastAsia="zh-CN" w:bidi="en-US"/>
                    </w:rPr>
                  </w:pPr>
                  <w:r>
                    <w:rPr>
                      <w:rFonts w:hint="eastAsia" w:ascii="宋体" w:hAnsi="宋体" w:eastAsia="宋体" w:cs="宋体"/>
                      <w:spacing w:val="1"/>
                      <w:sz w:val="21"/>
                      <w:szCs w:val="21"/>
                    </w:rPr>
                    <w:t>暂存间、收集、拉运</w:t>
                  </w:r>
                </w:p>
              </w:tc>
              <w:tc>
                <w:tcPr>
                  <w:tcW w:w="1058" w:type="dxa"/>
                  <w:noWrap w:val="0"/>
                  <w:vAlign w:val="center"/>
                </w:tcPr>
                <w:p w14:paraId="5D4AC6E5">
                  <w:pPr>
                    <w:keepNext w:val="0"/>
                    <w:keepLines w:val="0"/>
                    <w:pageBreakBefore w:val="0"/>
                    <w:widowControl w:val="0"/>
                    <w:kinsoku/>
                    <w:wordWrap/>
                    <w:overflowPunct/>
                    <w:autoSpaceDE/>
                    <w:autoSpaceDN/>
                    <w:bidi w:val="0"/>
                    <w:adjustRightInd/>
                    <w:snapToGrid/>
                    <w:spacing w:line="360" w:lineRule="exact"/>
                    <w:ind w:left="-105" w:leftChars="-50" w:right="-105" w:rightChars="-50"/>
                    <w:jc w:val="center"/>
                    <w:textAlignment w:val="auto"/>
                    <w:rPr>
                      <w:rFonts w:hint="eastAsia" w:ascii="宋体" w:hAnsi="宋体" w:eastAsia="宋体" w:cs="宋体"/>
                      <w:color w:val="auto"/>
                      <w:spacing w:val="0"/>
                      <w:kern w:val="2"/>
                      <w:sz w:val="21"/>
                      <w:szCs w:val="21"/>
                      <w:lang w:val="en-US" w:eastAsia="zh-CN" w:bidi="ar-SA"/>
                    </w:rPr>
                  </w:pPr>
                  <w:r>
                    <w:rPr>
                      <w:rFonts w:hint="eastAsia" w:ascii="宋体" w:hAnsi="宋体" w:eastAsia="宋体" w:cs="宋体"/>
                      <w:color w:val="auto"/>
                      <w:spacing w:val="0"/>
                      <w:kern w:val="2"/>
                      <w:sz w:val="21"/>
                      <w:szCs w:val="21"/>
                      <w:lang w:val="en-US" w:eastAsia="zh-CN" w:bidi="ar-SA"/>
                    </w:rPr>
                    <w:t>5</w:t>
                  </w:r>
                </w:p>
              </w:tc>
              <w:tc>
                <w:tcPr>
                  <w:tcW w:w="2625" w:type="dxa"/>
                  <w:shd w:val="clear" w:color="auto" w:fill="auto"/>
                  <w:noWrap w:val="0"/>
                  <w:vAlign w:val="center"/>
                </w:tcPr>
                <w:p w14:paraId="2FA37182">
                  <w:pPr>
                    <w:keepNext w:val="0"/>
                    <w:keepLines w:val="0"/>
                    <w:widowControl/>
                    <w:suppressLineNumbers w:val="0"/>
                    <w:jc w:val="center"/>
                    <w:textAlignment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新建2座10平方米危废暂存间，</w:t>
                  </w:r>
                  <w:r>
                    <w:rPr>
                      <w:rFonts w:hint="eastAsia" w:ascii="宋体" w:hAnsi="宋体" w:eastAsia="宋体" w:cs="宋体"/>
                      <w:b w:val="0"/>
                      <w:bCs w:val="0"/>
                      <w:color w:val="auto"/>
                      <w:sz w:val="21"/>
                      <w:szCs w:val="21"/>
                      <w:highlight w:val="none"/>
                      <w:lang w:val="en-US" w:eastAsia="zh-CN"/>
                    </w:rPr>
                    <w:t>验收调查期间已与</w:t>
                  </w:r>
                  <w:r>
                    <w:rPr>
                      <w:rFonts w:hint="eastAsia" w:ascii="宋体" w:hAnsi="宋体" w:eastAsia="宋体" w:cs="宋体"/>
                      <w:spacing w:val="-1"/>
                      <w:sz w:val="21"/>
                      <w:szCs w:val="21"/>
                      <w:lang w:eastAsia="zh-CN"/>
                    </w:rPr>
                    <w:t>新疆国兴环保科技有限责任公司</w:t>
                  </w:r>
                  <w:r>
                    <w:rPr>
                      <w:rFonts w:hint="eastAsia" w:ascii="宋体" w:hAnsi="宋体" w:eastAsia="宋体" w:cs="宋体"/>
                      <w:b w:val="0"/>
                      <w:bCs w:val="0"/>
                      <w:color w:val="auto"/>
                      <w:sz w:val="21"/>
                      <w:szCs w:val="21"/>
                      <w:highlight w:val="none"/>
                      <w:lang w:val="en-US" w:eastAsia="zh-CN"/>
                    </w:rPr>
                    <w:t>签订危废处置协议</w:t>
                  </w:r>
                </w:p>
              </w:tc>
              <w:tc>
                <w:tcPr>
                  <w:tcW w:w="1375" w:type="dxa"/>
                  <w:noWrap w:val="0"/>
                  <w:vAlign w:val="center"/>
                </w:tcPr>
                <w:p w14:paraId="08CADD03">
                  <w:pPr>
                    <w:ind w:left="-105" w:leftChars="-50" w:right="-105" w:rightChars="-5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6</w:t>
                  </w:r>
                </w:p>
              </w:tc>
            </w:tr>
            <w:tr w14:paraId="44C2766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0" w:type="dxa"/>
                  <w:shd w:val="clear" w:color="auto" w:fill="auto"/>
                  <w:noWrap w:val="0"/>
                  <w:vAlign w:val="center"/>
                </w:tcPr>
                <w:p w14:paraId="371E8585">
                  <w:pPr>
                    <w:pStyle w:val="5"/>
                    <w:snapToGrid w:val="0"/>
                    <w:spacing w:line="240" w:lineRule="auto"/>
                    <w:ind w:firstLine="0" w:firstLineChars="0"/>
                    <w:jc w:val="center"/>
                    <w:rPr>
                      <w:rFonts w:hint="eastAsia" w:ascii="宋体" w:hAnsi="宋体" w:eastAsia="宋体" w:cs="宋体"/>
                      <w:kern w:val="0"/>
                      <w:sz w:val="21"/>
                      <w:szCs w:val="21"/>
                      <w:lang w:val="en-US" w:eastAsia="en-US" w:bidi="en-US"/>
                    </w:rPr>
                  </w:pPr>
                  <w:r>
                    <w:rPr>
                      <w:rFonts w:hint="eastAsia" w:ascii="宋体" w:hAnsi="宋体" w:eastAsia="宋体" w:cs="宋体"/>
                      <w:sz w:val="21"/>
                      <w:szCs w:val="21"/>
                    </w:rPr>
                    <w:t>噪声</w:t>
                  </w:r>
                </w:p>
              </w:tc>
              <w:tc>
                <w:tcPr>
                  <w:tcW w:w="2662" w:type="dxa"/>
                  <w:shd w:val="clear" w:color="auto" w:fill="auto"/>
                  <w:noWrap w:val="0"/>
                  <w:vAlign w:val="center"/>
                </w:tcPr>
                <w:p w14:paraId="1E6BEC94">
                  <w:pPr>
                    <w:pStyle w:val="5"/>
                    <w:snapToGrid w:val="0"/>
                    <w:spacing w:line="240" w:lineRule="auto"/>
                    <w:ind w:firstLine="0" w:firstLineChars="0"/>
                    <w:jc w:val="center"/>
                    <w:rPr>
                      <w:rFonts w:hint="eastAsia" w:ascii="宋体" w:hAnsi="宋体" w:eastAsia="宋体" w:cs="宋体"/>
                      <w:kern w:val="0"/>
                      <w:sz w:val="21"/>
                      <w:szCs w:val="21"/>
                      <w:lang w:val="en-US" w:eastAsia="zh-CN" w:bidi="en-US"/>
                    </w:rPr>
                  </w:pPr>
                  <w:r>
                    <w:rPr>
                      <w:rFonts w:hint="eastAsia" w:ascii="宋体" w:hAnsi="宋体" w:eastAsia="宋体" w:cs="宋体"/>
                      <w:sz w:val="21"/>
                      <w:szCs w:val="21"/>
                    </w:rPr>
                    <w:t>采取隔声、基础减振、消声等措施</w:t>
                  </w:r>
                </w:p>
              </w:tc>
              <w:tc>
                <w:tcPr>
                  <w:tcW w:w="1058" w:type="dxa"/>
                  <w:noWrap w:val="0"/>
                  <w:vAlign w:val="center"/>
                </w:tcPr>
                <w:p w14:paraId="4167E652">
                  <w:pPr>
                    <w:keepNext w:val="0"/>
                    <w:keepLines w:val="0"/>
                    <w:pageBreakBefore w:val="0"/>
                    <w:widowControl w:val="0"/>
                    <w:kinsoku/>
                    <w:wordWrap/>
                    <w:overflowPunct/>
                    <w:autoSpaceDE/>
                    <w:autoSpaceDN/>
                    <w:bidi w:val="0"/>
                    <w:adjustRightInd/>
                    <w:snapToGrid/>
                    <w:spacing w:line="360" w:lineRule="exact"/>
                    <w:ind w:left="-105" w:leftChars="-50" w:right="-105" w:rightChars="-50"/>
                    <w:jc w:val="center"/>
                    <w:textAlignment w:val="auto"/>
                    <w:rPr>
                      <w:rFonts w:hint="eastAsia" w:ascii="宋体" w:hAnsi="宋体" w:eastAsia="宋体" w:cs="宋体"/>
                      <w:color w:val="auto"/>
                      <w:spacing w:val="0"/>
                      <w:kern w:val="2"/>
                      <w:sz w:val="21"/>
                      <w:szCs w:val="21"/>
                      <w:lang w:val="en-US" w:eastAsia="zh-CN" w:bidi="ar-SA"/>
                    </w:rPr>
                  </w:pPr>
                  <w:r>
                    <w:rPr>
                      <w:rFonts w:hint="eastAsia" w:ascii="宋体" w:hAnsi="宋体" w:eastAsia="宋体" w:cs="宋体"/>
                      <w:color w:val="auto"/>
                      <w:spacing w:val="0"/>
                      <w:kern w:val="2"/>
                      <w:sz w:val="21"/>
                      <w:szCs w:val="21"/>
                      <w:lang w:val="en-US" w:eastAsia="zh-CN" w:bidi="ar-SA"/>
                    </w:rPr>
                    <w:t>3</w:t>
                  </w:r>
                </w:p>
              </w:tc>
              <w:tc>
                <w:tcPr>
                  <w:tcW w:w="2625" w:type="dxa"/>
                  <w:shd w:val="clear" w:color="auto" w:fill="auto"/>
                  <w:noWrap w:val="0"/>
                  <w:vAlign w:val="center"/>
                </w:tcPr>
                <w:p w14:paraId="0A9F74EA">
                  <w:pPr>
                    <w:keepNext w:val="0"/>
                    <w:keepLines w:val="0"/>
                    <w:widowControl/>
                    <w:suppressLineNumbers w:val="0"/>
                    <w:jc w:val="center"/>
                    <w:textAlignment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sz w:val="21"/>
                      <w:szCs w:val="21"/>
                    </w:rPr>
                    <w:t>基础减震，隔声降噪</w:t>
                  </w:r>
                </w:p>
              </w:tc>
              <w:tc>
                <w:tcPr>
                  <w:tcW w:w="1375" w:type="dxa"/>
                  <w:noWrap w:val="0"/>
                  <w:vAlign w:val="center"/>
                </w:tcPr>
                <w:p w14:paraId="46FA1094">
                  <w:pPr>
                    <w:ind w:left="-105" w:leftChars="-50" w:right="-105" w:rightChars="-5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4</w:t>
                  </w:r>
                </w:p>
              </w:tc>
            </w:tr>
            <w:tr w14:paraId="28A0C4B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3732" w:type="dxa"/>
                  <w:gridSpan w:val="2"/>
                  <w:noWrap w:val="0"/>
                  <w:vAlign w:val="center"/>
                </w:tcPr>
                <w:p w14:paraId="3A26D1AB">
                  <w:pPr>
                    <w:spacing w:line="300" w:lineRule="exact"/>
                    <w:jc w:val="center"/>
                    <w:rPr>
                      <w:rFonts w:hint="default" w:ascii="Times New Roman" w:hAnsi="Times New Roman" w:cs="Times New Roman"/>
                      <w:color w:val="auto"/>
                      <w:sz w:val="21"/>
                      <w:szCs w:val="21"/>
                    </w:rPr>
                  </w:pPr>
                  <w:r>
                    <w:rPr>
                      <w:rFonts w:hint="default" w:ascii="Times New Roman" w:hAnsi="Times New Roman" w:cs="Times New Roman" w:eastAsiaTheme="minorEastAsia"/>
                      <w:color w:val="auto"/>
                      <w:sz w:val="21"/>
                      <w:szCs w:val="21"/>
                      <w:lang w:eastAsia="zh-CN"/>
                    </w:rPr>
                    <w:t>设计环保投资</w:t>
                  </w:r>
                </w:p>
              </w:tc>
              <w:tc>
                <w:tcPr>
                  <w:tcW w:w="1058" w:type="dxa"/>
                  <w:noWrap w:val="0"/>
                  <w:vAlign w:val="center"/>
                </w:tcPr>
                <w:p w14:paraId="50211988">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33</w:t>
                  </w:r>
                </w:p>
              </w:tc>
              <w:tc>
                <w:tcPr>
                  <w:tcW w:w="2625" w:type="dxa"/>
                  <w:noWrap w:val="0"/>
                  <w:vAlign w:val="center"/>
                </w:tcPr>
                <w:p w14:paraId="4DA446FD">
                  <w:pPr>
                    <w:pStyle w:val="28"/>
                    <w:adjustRightInd/>
                    <w:spacing w:line="300" w:lineRule="exact"/>
                    <w:jc w:val="center"/>
                    <w:rPr>
                      <w:rFonts w:hint="default" w:ascii="Times New Roman" w:hAnsi="Times New Roman" w:cs="Times New Roman"/>
                      <w:color w:val="auto"/>
                      <w:sz w:val="21"/>
                      <w:szCs w:val="21"/>
                    </w:rPr>
                  </w:pPr>
                  <w:r>
                    <w:rPr>
                      <w:rFonts w:hint="default" w:ascii="Times New Roman" w:hAnsi="Times New Roman" w:cs="Times New Roman" w:eastAsiaTheme="minorEastAsia"/>
                      <w:color w:val="auto"/>
                      <w:sz w:val="21"/>
                      <w:szCs w:val="21"/>
                      <w:lang w:eastAsia="zh-CN"/>
                    </w:rPr>
                    <w:t>实际环保投资</w:t>
                  </w:r>
                </w:p>
              </w:tc>
              <w:tc>
                <w:tcPr>
                  <w:tcW w:w="1375" w:type="dxa"/>
                  <w:noWrap w:val="0"/>
                  <w:vAlign w:val="center"/>
                </w:tcPr>
                <w:p w14:paraId="51EBFDF6">
                  <w:pPr>
                    <w:pStyle w:val="5"/>
                    <w:snapToGrid w:val="0"/>
                    <w:spacing w:line="340" w:lineRule="exact"/>
                    <w:ind w:firstLine="0" w:firstLineChars="0"/>
                    <w:jc w:val="center"/>
                    <w:rPr>
                      <w:rFonts w:hint="default" w:ascii="Times New Roman" w:hAnsi="Times New Roman" w:eastAsia="宋体" w:cs="Times New Roman"/>
                      <w:color w:val="auto"/>
                      <w:kern w:val="0"/>
                      <w:sz w:val="21"/>
                      <w:szCs w:val="21"/>
                      <w:lang w:val="en-US" w:eastAsia="zh-CN" w:bidi="en-US"/>
                    </w:rPr>
                  </w:pPr>
                  <w:r>
                    <w:rPr>
                      <w:rFonts w:hint="eastAsia" w:ascii="Times New Roman" w:hAnsi="Times New Roman" w:cs="Times New Roman"/>
                      <w:color w:val="auto"/>
                      <w:kern w:val="0"/>
                      <w:sz w:val="21"/>
                      <w:szCs w:val="21"/>
                      <w:lang w:val="en-US" w:eastAsia="zh-CN" w:bidi="en-US"/>
                    </w:rPr>
                    <w:t>43</w:t>
                  </w:r>
                </w:p>
              </w:tc>
            </w:tr>
            <w:tr w14:paraId="6FDE20B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3732" w:type="dxa"/>
                  <w:gridSpan w:val="2"/>
                  <w:noWrap w:val="0"/>
                  <w:vAlign w:val="center"/>
                </w:tcPr>
                <w:p w14:paraId="288F3038">
                  <w:pPr>
                    <w:spacing w:line="300" w:lineRule="exact"/>
                    <w:jc w:val="center"/>
                    <w:rPr>
                      <w:rFonts w:hint="default" w:ascii="Times New Roman" w:hAnsi="Times New Roman" w:eastAsia="宋体" w:cs="Times New Roman"/>
                      <w:color w:val="auto"/>
                      <w:sz w:val="21"/>
                      <w:szCs w:val="21"/>
                      <w:lang w:eastAsia="zh-CN"/>
                    </w:rPr>
                  </w:pPr>
                  <w:r>
                    <w:rPr>
                      <w:rFonts w:hint="default" w:ascii="Times New Roman" w:hAnsi="Times New Roman" w:cs="Times New Roman" w:eastAsiaTheme="minorEastAsia"/>
                      <w:color w:val="auto"/>
                      <w:sz w:val="21"/>
                      <w:szCs w:val="21"/>
                      <w:lang w:eastAsia="zh-CN"/>
                    </w:rPr>
                    <w:t>设计</w:t>
                  </w:r>
                  <w:r>
                    <w:rPr>
                      <w:rFonts w:hint="default" w:ascii="Times New Roman" w:hAnsi="Times New Roman" w:cs="Times New Roman" w:eastAsiaTheme="minorEastAsia"/>
                      <w:color w:val="auto"/>
                      <w:sz w:val="21"/>
                      <w:szCs w:val="21"/>
                    </w:rPr>
                    <w:t>总投资</w:t>
                  </w:r>
                </w:p>
              </w:tc>
              <w:tc>
                <w:tcPr>
                  <w:tcW w:w="1058" w:type="dxa"/>
                  <w:noWrap w:val="0"/>
                  <w:vAlign w:val="center"/>
                </w:tcPr>
                <w:p w14:paraId="4DDFA42F">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2380</w:t>
                  </w:r>
                </w:p>
              </w:tc>
              <w:tc>
                <w:tcPr>
                  <w:tcW w:w="2625" w:type="dxa"/>
                  <w:noWrap w:val="0"/>
                  <w:vAlign w:val="center"/>
                </w:tcPr>
                <w:p w14:paraId="370FED1C">
                  <w:pPr>
                    <w:pStyle w:val="28"/>
                    <w:adjustRightInd/>
                    <w:spacing w:line="300" w:lineRule="exact"/>
                    <w:jc w:val="center"/>
                    <w:rPr>
                      <w:rFonts w:hint="default"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lang w:eastAsia="zh-CN"/>
                    </w:rPr>
                    <w:t>实际总投资</w:t>
                  </w:r>
                </w:p>
              </w:tc>
              <w:tc>
                <w:tcPr>
                  <w:tcW w:w="1375" w:type="dxa"/>
                  <w:noWrap w:val="0"/>
                  <w:vAlign w:val="center"/>
                </w:tcPr>
                <w:p w14:paraId="68FDFB7A">
                  <w:pPr>
                    <w:spacing w:line="300" w:lineRule="exact"/>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2400</w:t>
                  </w:r>
                </w:p>
              </w:tc>
            </w:tr>
            <w:tr w14:paraId="779FE3B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3732" w:type="dxa"/>
                  <w:gridSpan w:val="2"/>
                  <w:noWrap w:val="0"/>
                  <w:vAlign w:val="center"/>
                </w:tcPr>
                <w:p w14:paraId="47A4CD8C">
                  <w:pPr>
                    <w:spacing w:line="300" w:lineRule="exact"/>
                    <w:jc w:val="center"/>
                    <w:rPr>
                      <w:rFonts w:hint="default" w:ascii="Times New Roman" w:hAnsi="Times New Roman" w:cs="Times New Roman"/>
                      <w:color w:val="auto"/>
                      <w:sz w:val="21"/>
                      <w:szCs w:val="21"/>
                      <w:lang w:val="en-US" w:eastAsia="zh-CN"/>
                    </w:rPr>
                  </w:pPr>
                  <w:r>
                    <w:rPr>
                      <w:rFonts w:hint="default" w:ascii="Times New Roman" w:hAnsi="Times New Roman" w:cs="Times New Roman" w:eastAsiaTheme="minorEastAsia"/>
                      <w:color w:val="auto"/>
                      <w:sz w:val="21"/>
                      <w:szCs w:val="21"/>
                      <w:lang w:eastAsia="zh-CN"/>
                    </w:rPr>
                    <w:t>占总投资比例（</w:t>
                  </w:r>
                  <w:r>
                    <w:rPr>
                      <w:rFonts w:hint="default" w:ascii="Times New Roman" w:hAnsi="Times New Roman" w:cs="Times New Roman" w:eastAsiaTheme="minorEastAsia"/>
                      <w:color w:val="auto"/>
                      <w:sz w:val="21"/>
                      <w:szCs w:val="21"/>
                      <w:lang w:val="en-US" w:eastAsia="zh-CN"/>
                    </w:rPr>
                    <w:t>%</w:t>
                  </w:r>
                  <w:r>
                    <w:rPr>
                      <w:rFonts w:hint="default" w:ascii="Times New Roman" w:hAnsi="Times New Roman" w:cs="Times New Roman" w:eastAsiaTheme="minorEastAsia"/>
                      <w:color w:val="auto"/>
                      <w:sz w:val="21"/>
                      <w:szCs w:val="21"/>
                      <w:lang w:eastAsia="zh-CN"/>
                    </w:rPr>
                    <w:t>）</w:t>
                  </w:r>
                </w:p>
              </w:tc>
              <w:tc>
                <w:tcPr>
                  <w:tcW w:w="1058" w:type="dxa"/>
                  <w:noWrap w:val="0"/>
                  <w:vAlign w:val="center"/>
                </w:tcPr>
                <w:p w14:paraId="34919ADE">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1.4</w:t>
                  </w:r>
                </w:p>
              </w:tc>
              <w:tc>
                <w:tcPr>
                  <w:tcW w:w="2625" w:type="dxa"/>
                  <w:noWrap w:val="0"/>
                  <w:vAlign w:val="center"/>
                </w:tcPr>
                <w:p w14:paraId="0B903B3A">
                  <w:pPr>
                    <w:pStyle w:val="28"/>
                    <w:adjustRightInd/>
                    <w:spacing w:line="300" w:lineRule="exact"/>
                    <w:jc w:val="center"/>
                    <w:rPr>
                      <w:rFonts w:hint="default" w:ascii="Times New Roman" w:hAnsi="Times New Roman" w:cs="Times New Roman"/>
                      <w:color w:val="auto"/>
                      <w:sz w:val="21"/>
                      <w:szCs w:val="21"/>
                    </w:rPr>
                  </w:pPr>
                  <w:r>
                    <w:rPr>
                      <w:rFonts w:hint="default" w:ascii="Times New Roman" w:hAnsi="Times New Roman" w:cs="Times New Roman" w:eastAsiaTheme="minorEastAsia"/>
                      <w:color w:val="auto"/>
                      <w:sz w:val="21"/>
                      <w:szCs w:val="21"/>
                      <w:lang w:eastAsia="zh-CN"/>
                    </w:rPr>
                    <w:t>占总投资比例（</w:t>
                  </w:r>
                  <w:r>
                    <w:rPr>
                      <w:rFonts w:hint="default" w:ascii="Times New Roman" w:hAnsi="Times New Roman" w:cs="Times New Roman" w:eastAsiaTheme="minorEastAsia"/>
                      <w:color w:val="auto"/>
                      <w:sz w:val="21"/>
                      <w:szCs w:val="21"/>
                      <w:lang w:val="en-US" w:eastAsia="zh-CN"/>
                    </w:rPr>
                    <w:t>%</w:t>
                  </w:r>
                  <w:r>
                    <w:rPr>
                      <w:rFonts w:hint="default" w:ascii="Times New Roman" w:hAnsi="Times New Roman" w:cs="Times New Roman" w:eastAsiaTheme="minorEastAsia"/>
                      <w:color w:val="auto"/>
                      <w:sz w:val="21"/>
                      <w:szCs w:val="21"/>
                      <w:lang w:eastAsia="zh-CN"/>
                    </w:rPr>
                    <w:t>）</w:t>
                  </w:r>
                </w:p>
              </w:tc>
              <w:tc>
                <w:tcPr>
                  <w:tcW w:w="1375" w:type="dxa"/>
                  <w:noWrap w:val="0"/>
                  <w:vAlign w:val="center"/>
                </w:tcPr>
                <w:p w14:paraId="4AD32E6A">
                  <w:pPr>
                    <w:spacing w:line="300" w:lineRule="exact"/>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1.8</w:t>
                  </w:r>
                </w:p>
              </w:tc>
            </w:tr>
          </w:tbl>
          <w:p w14:paraId="23B491AA">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default" w:ascii="Times New Roman" w:hAnsi="Times New Roman" w:eastAsia="宋体" w:cs="Times New Roman"/>
                <w:b/>
                <w:bCs/>
                <w:color w:val="auto"/>
                <w:sz w:val="28"/>
                <w:szCs w:val="28"/>
                <w:highlight w:val="none"/>
                <w:lang w:eastAsia="zh-CN"/>
              </w:rPr>
            </w:pPr>
            <w:r>
              <w:rPr>
                <w:rFonts w:hint="default" w:ascii="Times New Roman" w:hAnsi="Times New Roman" w:cs="Times New Roman"/>
                <w:b/>
                <w:bCs/>
                <w:color w:val="auto"/>
                <w:sz w:val="28"/>
                <w:szCs w:val="28"/>
                <w:highlight w:val="none"/>
              </w:rPr>
              <w:t>1.</w:t>
            </w:r>
            <w:r>
              <w:rPr>
                <w:rFonts w:hint="default" w:ascii="Times New Roman" w:hAnsi="Times New Roman" w:cs="Times New Roman"/>
                <w:b/>
                <w:bCs/>
                <w:color w:val="auto"/>
                <w:sz w:val="28"/>
                <w:szCs w:val="28"/>
                <w:highlight w:val="none"/>
                <w:lang w:val="en-US" w:eastAsia="zh-CN"/>
              </w:rPr>
              <w:t>6</w:t>
            </w:r>
            <w:r>
              <w:rPr>
                <w:rFonts w:hint="default" w:ascii="Times New Roman" w:hAnsi="Times New Roman" w:cs="Times New Roman"/>
                <w:b/>
                <w:bCs/>
                <w:color w:val="auto"/>
                <w:sz w:val="28"/>
                <w:szCs w:val="28"/>
                <w:highlight w:val="none"/>
                <w:lang w:eastAsia="zh-CN"/>
              </w:rPr>
              <w:t>公用工程</w:t>
            </w:r>
          </w:p>
          <w:p w14:paraId="2D043873">
            <w:pPr>
              <w:pStyle w:val="20"/>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1.</w:t>
            </w:r>
            <w:r>
              <w:rPr>
                <w:rFonts w:hint="default" w:ascii="Times New Roman" w:hAnsi="Times New Roman" w:cs="Times New Roman"/>
                <w:b/>
                <w:bCs/>
                <w:color w:val="auto"/>
                <w:sz w:val="28"/>
                <w:szCs w:val="28"/>
                <w:highlight w:val="none"/>
                <w:lang w:val="en-US" w:eastAsia="zh-CN"/>
              </w:rPr>
              <w:t>6</w:t>
            </w:r>
            <w:r>
              <w:rPr>
                <w:rFonts w:hint="default" w:ascii="Times New Roman" w:hAnsi="Times New Roman" w:cs="Times New Roman"/>
                <w:b/>
                <w:bCs/>
                <w:color w:val="auto"/>
                <w:sz w:val="28"/>
                <w:szCs w:val="28"/>
                <w:highlight w:val="none"/>
              </w:rPr>
              <w:t>.1给排水</w:t>
            </w:r>
          </w:p>
          <w:p w14:paraId="6BF15BE5">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（1）给水</w:t>
            </w:r>
          </w:p>
          <w:p w14:paraId="50A13D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本项目主要为</w:t>
            </w:r>
            <w:r>
              <w:rPr>
                <w:rFonts w:hint="eastAsia" w:ascii="宋体" w:hAnsi="宋体" w:eastAsia="宋体" w:cs="宋体"/>
                <w:sz w:val="24"/>
                <w:szCs w:val="24"/>
              </w:rPr>
              <w:t>生活用水</w:t>
            </w:r>
            <w:r>
              <w:rPr>
                <w:rFonts w:hint="eastAsia" w:ascii="宋体" w:hAnsi="宋体" w:eastAsia="宋体" w:cs="宋体"/>
                <w:sz w:val="24"/>
                <w:szCs w:val="24"/>
                <w:lang w:eastAsia="zh-CN"/>
              </w:rPr>
              <w:t>、</w:t>
            </w:r>
            <w:r>
              <w:rPr>
                <w:rFonts w:hint="eastAsia" w:ascii="宋体" w:hAnsi="宋体" w:eastAsia="宋体" w:cs="宋体"/>
                <w:sz w:val="24"/>
                <w:szCs w:val="24"/>
              </w:rPr>
              <w:t>屠宰过程中包括圈栏冲洗、宰前淋洗、宰后烫毛或剥皮、开腔、劈半、 解体、内脏冲洗及车间冲洗过程</w:t>
            </w:r>
            <w:r>
              <w:rPr>
                <w:rFonts w:hint="eastAsia" w:ascii="宋体" w:hAnsi="宋体" w:eastAsia="宋体" w:cs="宋体"/>
                <w:sz w:val="24"/>
                <w:szCs w:val="24"/>
                <w:lang w:val="en-US" w:eastAsia="zh-CN"/>
              </w:rPr>
              <w:t>的生产用水</w:t>
            </w:r>
            <w:r>
              <w:rPr>
                <w:rFonts w:hint="eastAsia" w:ascii="宋体" w:hAnsi="宋体" w:eastAsia="宋体" w:cs="宋体"/>
                <w:sz w:val="24"/>
                <w:szCs w:val="24"/>
              </w:rPr>
              <w:t>。</w:t>
            </w:r>
          </w:p>
          <w:p w14:paraId="149F3C29">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生活用水：本项目工作人员为5人，主要为人员的盥洗用水，则项目员工生活用水量为90m³/a。</w:t>
            </w:r>
          </w:p>
          <w:p w14:paraId="3B6C4C19">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pacing w:val="5"/>
                <w:sz w:val="24"/>
                <w:szCs w:val="24"/>
                <w:lang w:eastAsia="zh-CN"/>
              </w:rPr>
            </w:pPr>
            <w:r>
              <w:rPr>
                <w:rFonts w:hint="eastAsia" w:ascii="宋体" w:hAnsi="宋体" w:eastAsia="宋体" w:cs="宋体"/>
                <w:kern w:val="2"/>
                <w:sz w:val="24"/>
                <w:szCs w:val="24"/>
                <w:lang w:val="en-US" w:eastAsia="zh-CN" w:bidi="ar-SA"/>
              </w:rPr>
              <w:t>生产用水：屠宰过程中包括圈栏冲洗、宰前淋洗、宰后烫毛或剥皮、开腔、劈半、 解体、内脏冲洗及车间冲洗过程的生产用水。则项目用水量</w:t>
            </w:r>
            <w:r>
              <w:rPr>
                <w:rFonts w:hint="eastAsia" w:ascii="宋体" w:hAnsi="宋体" w:eastAsia="宋体" w:cs="宋体"/>
                <w:spacing w:val="5"/>
                <w:sz w:val="24"/>
                <w:szCs w:val="24"/>
                <w:lang w:val="en-US" w:eastAsia="zh-CN"/>
              </w:rPr>
              <w:t>5</w:t>
            </w:r>
            <w:r>
              <w:rPr>
                <w:rFonts w:hint="eastAsia" w:ascii="宋体" w:hAnsi="宋体" w:eastAsia="宋体" w:cs="宋体"/>
                <w:spacing w:val="5"/>
                <w:sz w:val="24"/>
                <w:szCs w:val="24"/>
              </w:rPr>
              <w:t>500</w:t>
            </w:r>
            <w:r>
              <w:rPr>
                <w:rFonts w:hint="eastAsia" w:ascii="宋体" w:hAnsi="宋体" w:eastAsia="宋体" w:cs="宋体"/>
                <w:spacing w:val="5"/>
                <w:sz w:val="24"/>
                <w:szCs w:val="24"/>
                <w:lang w:val="en-US" w:eastAsia="zh-CN"/>
              </w:rPr>
              <w:t>0</w:t>
            </w:r>
            <w:r>
              <w:rPr>
                <w:rFonts w:hint="eastAsia" w:ascii="宋体" w:hAnsi="宋体" w:eastAsia="宋体" w:cs="宋体"/>
                <w:spacing w:val="5"/>
                <w:sz w:val="24"/>
                <w:szCs w:val="24"/>
              </w:rPr>
              <w:t>m³/a</w:t>
            </w:r>
            <w:r>
              <w:rPr>
                <w:rFonts w:hint="eastAsia" w:ascii="宋体" w:hAnsi="宋体" w:eastAsia="宋体" w:cs="宋体"/>
                <w:spacing w:val="5"/>
                <w:sz w:val="24"/>
                <w:szCs w:val="24"/>
                <w:lang w:eastAsia="zh-CN"/>
              </w:rPr>
              <w:t>。</w:t>
            </w:r>
          </w:p>
          <w:p w14:paraId="621085E4">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00" w:firstLineChars="200"/>
              <w:jc w:val="left"/>
              <w:textAlignment w:val="auto"/>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eastAsia="zh-CN"/>
              </w:rPr>
              <w:t>（</w:t>
            </w:r>
            <w:r>
              <w:rPr>
                <w:rFonts w:hint="eastAsia" w:ascii="宋体" w:hAnsi="宋体" w:eastAsia="宋体" w:cs="宋体"/>
                <w:spacing w:val="5"/>
                <w:sz w:val="24"/>
                <w:szCs w:val="24"/>
                <w:lang w:val="en-US" w:eastAsia="zh-CN"/>
              </w:rPr>
              <w:t>2）排水</w:t>
            </w:r>
          </w:p>
          <w:p w14:paraId="3DE45191">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本项目生活污水，主要为人员的盥洗废水，生产用水生活污水产生量为87.6m³/a；生产废水，屠宰过程中产生的废水，包括圈栏冲洗、宰前淋洗、宰后烫毛或剥皮、开腔、劈半、 解体、内脏冲洗及车间冲洗过程产生的废水，废水排放总量为45007m³/a(活屠重)，经厂区自建的污水处理设施处理后达到《肉类加工工业水污染物排放标准》(GB13457-92)表3一级标准后，定期拉运至伽师县纺织服装产业园区污水处理厂。</w:t>
            </w:r>
          </w:p>
          <w:p w14:paraId="0D9DA2B5">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4"/>
                <w:lang w:val="en-US" w:eastAsia="zh-CN" w:bidi="ar-SA"/>
              </w:rPr>
            </w:pPr>
            <w:r>
              <w:drawing>
                <wp:anchor distT="0" distB="0" distL="114300" distR="114300" simplePos="0" relativeHeight="251659264" behindDoc="0" locked="0" layoutInCell="1" allowOverlap="1">
                  <wp:simplePos x="0" y="0"/>
                  <wp:positionH relativeFrom="column">
                    <wp:posOffset>43815</wp:posOffset>
                  </wp:positionH>
                  <wp:positionV relativeFrom="paragraph">
                    <wp:posOffset>116840</wp:posOffset>
                  </wp:positionV>
                  <wp:extent cx="5215255" cy="2075180"/>
                  <wp:effectExtent l="0" t="0" r="4445" b="1270"/>
                  <wp:wrapNone/>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5"/>
                          <a:stretch>
                            <a:fillRect/>
                          </a:stretch>
                        </pic:blipFill>
                        <pic:spPr>
                          <a:xfrm>
                            <a:off x="0" y="0"/>
                            <a:ext cx="5215255" cy="2075180"/>
                          </a:xfrm>
                          <a:prstGeom prst="rect">
                            <a:avLst/>
                          </a:prstGeom>
                          <a:noFill/>
                          <a:ln>
                            <a:noFill/>
                          </a:ln>
                        </pic:spPr>
                      </pic:pic>
                    </a:graphicData>
                  </a:graphic>
                </wp:anchor>
              </w:drawing>
            </w:r>
          </w:p>
          <w:p w14:paraId="11173AE0">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4"/>
                <w:lang w:val="en-US" w:eastAsia="zh-CN" w:bidi="ar-SA"/>
              </w:rPr>
            </w:pPr>
          </w:p>
          <w:p w14:paraId="36B82319">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4"/>
                <w:lang w:val="en-US" w:eastAsia="zh-CN" w:bidi="ar-SA"/>
              </w:rPr>
            </w:pPr>
          </w:p>
          <w:p w14:paraId="42AD841E">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4"/>
                <w:lang w:val="en-US" w:eastAsia="zh-CN" w:bidi="ar-SA"/>
              </w:rPr>
            </w:pPr>
          </w:p>
          <w:p w14:paraId="693BFED8">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4"/>
                <w:lang w:val="en-US" w:eastAsia="zh-CN" w:bidi="ar-SA"/>
              </w:rPr>
            </w:pPr>
          </w:p>
          <w:p w14:paraId="78C3FCD6">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4"/>
                <w:lang w:val="en-US" w:eastAsia="zh-CN" w:bidi="ar-SA"/>
              </w:rPr>
            </w:pPr>
          </w:p>
          <w:p w14:paraId="01D0A775">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4"/>
                <w:lang w:val="en-US" w:eastAsia="zh-CN" w:bidi="ar-SA"/>
              </w:rPr>
            </w:pPr>
          </w:p>
          <w:p w14:paraId="3E65D75B">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4"/>
                <w:lang w:val="en-US" w:eastAsia="zh-CN" w:bidi="ar-SA"/>
              </w:rPr>
            </w:pPr>
          </w:p>
          <w:p w14:paraId="1DAB0EDE">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1.</w:t>
            </w:r>
            <w:r>
              <w:rPr>
                <w:rFonts w:hint="default" w:ascii="Times New Roman" w:hAnsi="Times New Roman" w:cs="Times New Roman"/>
                <w:b/>
                <w:bCs/>
                <w:color w:val="auto"/>
                <w:sz w:val="28"/>
                <w:szCs w:val="28"/>
                <w:highlight w:val="none"/>
                <w:lang w:val="en-US" w:eastAsia="zh-CN"/>
              </w:rPr>
              <w:t>6</w:t>
            </w:r>
            <w:r>
              <w:rPr>
                <w:rFonts w:hint="default" w:ascii="Times New Roman" w:hAnsi="Times New Roman" w:cs="Times New Roman"/>
                <w:b/>
                <w:bCs/>
                <w:color w:val="auto"/>
                <w:sz w:val="28"/>
                <w:szCs w:val="28"/>
                <w:highlight w:val="none"/>
              </w:rPr>
              <w:t>.2供电</w:t>
            </w:r>
          </w:p>
          <w:p w14:paraId="2431E6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8"/>
                <w:szCs w:val="28"/>
                <w:highlight w:val="none"/>
              </w:rPr>
            </w:pPr>
            <w:r>
              <w:rPr>
                <w:rFonts w:hint="eastAsia" w:ascii="宋体" w:hAnsi="宋体" w:eastAsia="宋体" w:cs="宋体"/>
                <w:color w:val="auto"/>
                <w:sz w:val="24"/>
                <w:szCs w:val="24"/>
                <w:highlight w:val="none"/>
                <w:lang w:eastAsia="zh-CN"/>
              </w:rPr>
              <w:t>本项目用电由</w:t>
            </w:r>
            <w:r>
              <w:rPr>
                <w:rFonts w:hint="eastAsia" w:ascii="宋体" w:hAnsi="宋体" w:eastAsia="宋体" w:cs="宋体"/>
                <w:spacing w:val="1"/>
                <w:sz w:val="24"/>
                <w:szCs w:val="24"/>
              </w:rPr>
              <w:t>市政供电所供给</w:t>
            </w:r>
            <w:r>
              <w:rPr>
                <w:rFonts w:hint="eastAsia" w:ascii="宋体" w:hAnsi="宋体" w:eastAsia="宋体" w:cs="宋体"/>
                <w:color w:val="auto"/>
                <w:sz w:val="24"/>
                <w:szCs w:val="24"/>
                <w:highlight w:val="none"/>
              </w:rPr>
              <w:t>。</w:t>
            </w:r>
          </w:p>
          <w:p w14:paraId="08E616BE">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default" w:ascii="Times New Roman" w:hAnsi="Times New Roman" w:eastAsia="宋体" w:cs="Times New Roman"/>
                <w:b/>
                <w:bCs/>
                <w:color w:val="auto"/>
                <w:sz w:val="28"/>
                <w:szCs w:val="28"/>
                <w:highlight w:val="none"/>
                <w:lang w:eastAsia="zh-CN"/>
              </w:rPr>
            </w:pPr>
            <w:r>
              <w:rPr>
                <w:rFonts w:hint="default" w:ascii="Times New Roman" w:hAnsi="Times New Roman" w:cs="Times New Roman"/>
                <w:b/>
                <w:bCs/>
                <w:color w:val="auto"/>
                <w:sz w:val="28"/>
                <w:szCs w:val="28"/>
                <w:highlight w:val="none"/>
              </w:rPr>
              <w:t>1.</w:t>
            </w:r>
            <w:r>
              <w:rPr>
                <w:rFonts w:hint="default" w:ascii="Times New Roman" w:hAnsi="Times New Roman" w:cs="Times New Roman"/>
                <w:b/>
                <w:bCs/>
                <w:color w:val="auto"/>
                <w:sz w:val="28"/>
                <w:szCs w:val="28"/>
                <w:highlight w:val="none"/>
                <w:lang w:val="en-US" w:eastAsia="zh-CN"/>
              </w:rPr>
              <w:t>6</w:t>
            </w:r>
            <w:r>
              <w:rPr>
                <w:rFonts w:hint="default" w:ascii="Times New Roman" w:hAnsi="Times New Roman" w:cs="Times New Roman"/>
                <w:b/>
                <w:bCs/>
                <w:color w:val="auto"/>
                <w:sz w:val="28"/>
                <w:szCs w:val="28"/>
                <w:highlight w:val="none"/>
              </w:rPr>
              <w:t>.3供</w:t>
            </w:r>
            <w:r>
              <w:rPr>
                <w:rFonts w:hint="default" w:ascii="Times New Roman" w:hAnsi="Times New Roman" w:cs="Times New Roman"/>
                <w:b/>
                <w:bCs/>
                <w:color w:val="auto"/>
                <w:sz w:val="28"/>
                <w:szCs w:val="28"/>
                <w:highlight w:val="none"/>
                <w:lang w:eastAsia="zh-CN"/>
              </w:rPr>
              <w:t>热</w:t>
            </w:r>
          </w:p>
          <w:p w14:paraId="4B6A6F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8"/>
                <w:szCs w:val="28"/>
                <w:lang w:val="en-US" w:eastAsia="zh-CN"/>
              </w:rPr>
            </w:pPr>
            <w:r>
              <w:rPr>
                <w:rFonts w:hint="eastAsia" w:ascii="宋体" w:hAnsi="宋体" w:eastAsia="宋体" w:cs="宋体"/>
                <w:color w:val="auto"/>
                <w:sz w:val="24"/>
                <w:szCs w:val="24"/>
                <w:lang w:val="en-US" w:eastAsia="zh-CN"/>
              </w:rPr>
              <w:t>本项目</w:t>
            </w:r>
            <w:r>
              <w:rPr>
                <w:rFonts w:hint="eastAsia" w:ascii="宋体" w:hAnsi="宋体" w:eastAsia="宋体" w:cs="宋体"/>
                <w:sz w:val="24"/>
                <w:szCs w:val="24"/>
              </w:rPr>
              <w:t>冬季采用电采暖的方式对项目的宿舍和办公区进行供暖</w:t>
            </w:r>
            <w:r>
              <w:rPr>
                <w:rFonts w:hint="eastAsia" w:ascii="宋体" w:hAnsi="宋体" w:eastAsia="宋体" w:cs="宋体"/>
                <w:color w:val="auto"/>
                <w:sz w:val="24"/>
                <w:szCs w:val="24"/>
                <w:lang w:val="en-US" w:eastAsia="zh-CN"/>
              </w:rPr>
              <w:t>。</w:t>
            </w:r>
          </w:p>
          <w:p w14:paraId="2C73F8FC">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1.</w:t>
            </w:r>
            <w:r>
              <w:rPr>
                <w:rFonts w:hint="default" w:ascii="Times New Roman" w:hAnsi="Times New Roman" w:cs="Times New Roman"/>
                <w:b/>
                <w:bCs/>
                <w:color w:val="auto"/>
                <w:sz w:val="28"/>
                <w:szCs w:val="28"/>
                <w:highlight w:val="none"/>
                <w:lang w:val="en-US" w:eastAsia="zh-CN"/>
              </w:rPr>
              <w:t>7</w:t>
            </w:r>
            <w:r>
              <w:rPr>
                <w:rFonts w:hint="default" w:ascii="Times New Roman" w:hAnsi="Times New Roman" w:cs="Times New Roman"/>
                <w:b/>
                <w:bCs/>
                <w:color w:val="auto"/>
                <w:sz w:val="28"/>
                <w:szCs w:val="28"/>
                <w:highlight w:val="none"/>
              </w:rPr>
              <w:t>劳动定员及生产周期</w:t>
            </w:r>
          </w:p>
          <w:p w14:paraId="7A4C44D3">
            <w:pPr>
              <w:pStyle w:val="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本项目劳动定员为5人，年工作天数约为300天，采用一班制生产，每班工作4小时，年生产1200小时。</w:t>
            </w:r>
          </w:p>
          <w:p w14:paraId="24CB71C2">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4"/>
                <w:lang w:val="en-US" w:eastAsia="zh-CN" w:bidi="ar-SA"/>
              </w:rPr>
            </w:pPr>
          </w:p>
          <w:p w14:paraId="063A0159">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4"/>
                <w:lang w:val="en-US" w:eastAsia="zh-CN" w:bidi="ar-SA"/>
              </w:rPr>
            </w:pPr>
          </w:p>
          <w:p w14:paraId="55ABA209">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4"/>
                <w:lang w:val="en-US" w:eastAsia="zh-CN" w:bidi="ar-SA"/>
              </w:rPr>
            </w:pPr>
          </w:p>
          <w:p w14:paraId="09567AD9">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4"/>
                <w:lang w:val="en-US" w:eastAsia="zh-CN" w:bidi="ar-SA"/>
              </w:rPr>
            </w:pPr>
          </w:p>
          <w:p w14:paraId="6C5C9539">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4"/>
                <w:lang w:val="en-US" w:eastAsia="zh-CN" w:bidi="ar-SA"/>
              </w:rPr>
            </w:pPr>
          </w:p>
          <w:p w14:paraId="3587E4DA">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4"/>
                <w:lang w:val="en-US" w:eastAsia="zh-CN" w:bidi="ar-SA"/>
              </w:rPr>
            </w:pPr>
          </w:p>
          <w:p w14:paraId="01BF6506">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4"/>
                <w:lang w:val="en-US" w:eastAsia="zh-CN" w:bidi="ar-SA"/>
              </w:rPr>
            </w:pPr>
          </w:p>
          <w:p w14:paraId="05135E53">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4"/>
                <w:lang w:val="en-US" w:eastAsia="zh-CN" w:bidi="ar-SA"/>
              </w:rPr>
            </w:pPr>
          </w:p>
          <w:p w14:paraId="01BE4452">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lang w:val="en-US" w:eastAsia="zh-CN" w:bidi="ar-SA"/>
              </w:rPr>
            </w:pPr>
          </w:p>
          <w:p w14:paraId="50B10303">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lang w:val="en-US" w:eastAsia="zh-CN" w:bidi="ar-SA"/>
              </w:rPr>
            </w:pPr>
          </w:p>
        </w:tc>
      </w:tr>
    </w:tbl>
    <w:p w14:paraId="675D5F1D">
      <w:pPr>
        <w:rPr>
          <w:rStyle w:val="18"/>
          <w:rFonts w:hint="default" w:ascii="Times New Roman" w:hAnsi="Times New Roman" w:cs="Times New Roman"/>
          <w:color w:val="auto"/>
          <w:highlight w:val="none"/>
        </w:rPr>
      </w:pPr>
      <w:bookmarkStart w:id="3" w:name="_Toc15201"/>
      <w:r>
        <w:rPr>
          <w:rStyle w:val="18"/>
          <w:rFonts w:hint="default" w:ascii="Times New Roman" w:hAnsi="Times New Roman" w:cs="Times New Roman"/>
          <w:color w:val="auto"/>
          <w:highlight w:val="none"/>
        </w:rPr>
        <w:t>表二  工艺流程及产污环节</w:t>
      </w:r>
    </w:p>
    <w:bookmarkEnd w:id="3"/>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6F789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349B371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t>2.1</w:t>
            </w:r>
            <w:r>
              <w:rPr>
                <w:rFonts w:hint="default" w:ascii="Times New Roman" w:hAnsi="Times New Roman" w:cs="Times New Roman"/>
                <w:b/>
                <w:bCs/>
                <w:color w:val="auto"/>
                <w:sz w:val="28"/>
                <w:highlight w:val="none"/>
              </w:rPr>
              <w:t>工艺流程</w:t>
            </w:r>
            <w:r>
              <w:rPr>
                <w:rFonts w:hint="default" w:ascii="Times New Roman" w:hAnsi="Times New Roman" w:cs="Times New Roman"/>
                <w:b/>
                <w:color w:val="auto"/>
                <w:sz w:val="28"/>
                <w:szCs w:val="28"/>
              </w:rPr>
              <w:t>及产污环节</w:t>
            </w:r>
          </w:p>
          <w:p w14:paraId="66BF52E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color w:val="auto"/>
                <w:sz w:val="28"/>
                <w:szCs w:val="28"/>
                <w:highlight w:val="none"/>
                <w:lang w:val="en-US" w:eastAsia="zh-CN"/>
              </w:rPr>
            </w:pPr>
            <w:r>
              <w:drawing>
                <wp:anchor distT="0" distB="0" distL="114300" distR="114300" simplePos="0" relativeHeight="251660288" behindDoc="0" locked="0" layoutInCell="1" allowOverlap="1">
                  <wp:simplePos x="0" y="0"/>
                  <wp:positionH relativeFrom="column">
                    <wp:posOffset>-30480</wp:posOffset>
                  </wp:positionH>
                  <wp:positionV relativeFrom="paragraph">
                    <wp:posOffset>292100</wp:posOffset>
                  </wp:positionV>
                  <wp:extent cx="5274310" cy="1169035"/>
                  <wp:effectExtent l="0" t="0" r="2540" b="2540"/>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6"/>
                          <a:stretch>
                            <a:fillRect/>
                          </a:stretch>
                        </pic:blipFill>
                        <pic:spPr>
                          <a:xfrm>
                            <a:off x="0" y="0"/>
                            <a:ext cx="5274310" cy="1169035"/>
                          </a:xfrm>
                          <a:prstGeom prst="rect">
                            <a:avLst/>
                          </a:prstGeom>
                          <a:noFill/>
                          <a:ln>
                            <a:noFill/>
                          </a:ln>
                        </pic:spPr>
                      </pic:pic>
                    </a:graphicData>
                  </a:graphic>
                </wp:anchor>
              </w:drawing>
            </w:r>
            <w:r>
              <w:rPr>
                <w:rFonts w:hint="default" w:ascii="Times New Roman" w:hAnsi="Times New Roman" w:cs="Times New Roman"/>
                <w:b/>
                <w:bCs/>
                <w:color w:val="auto"/>
                <w:sz w:val="28"/>
                <w:szCs w:val="28"/>
                <w:highlight w:val="none"/>
                <w:lang w:val="en-US" w:eastAsia="zh-CN"/>
              </w:rPr>
              <w:t>2.1.1施工期</w:t>
            </w:r>
          </w:p>
          <w:p w14:paraId="590B539B">
            <w:pPr>
              <w:pStyle w:val="11"/>
              <w:rPr>
                <w:rFonts w:hint="default"/>
                <w:lang w:val="en-US" w:eastAsia="zh-CN"/>
              </w:rPr>
            </w:pPr>
          </w:p>
          <w:p w14:paraId="7FE48E96">
            <w:pPr>
              <w:pStyle w:val="11"/>
              <w:ind w:left="0" w:leftChars="0" w:firstLine="0" w:firstLineChars="0"/>
              <w:rPr>
                <w:rFonts w:hint="default" w:ascii="Times New Roman" w:hAnsi="Times New Roman" w:cs="Times New Roman"/>
                <w:b/>
                <w:bCs/>
                <w:color w:val="auto"/>
                <w:sz w:val="28"/>
                <w:szCs w:val="28"/>
                <w:highlight w:val="none"/>
                <w:lang w:val="en-US" w:eastAsia="zh-CN"/>
              </w:rPr>
            </w:pPr>
          </w:p>
          <w:p w14:paraId="041535E7">
            <w:pPr>
              <w:pStyle w:val="11"/>
              <w:ind w:left="0" w:leftChars="0" w:firstLine="0" w:firstLineChars="0"/>
              <w:rPr>
                <w:rFonts w:hint="default" w:ascii="Times New Roman" w:hAnsi="Times New Roman" w:cs="Times New Roman"/>
                <w:b/>
                <w:bCs/>
                <w:color w:val="auto"/>
                <w:sz w:val="28"/>
                <w:szCs w:val="28"/>
                <w:highlight w:val="none"/>
                <w:lang w:val="en-US" w:eastAsia="zh-CN"/>
              </w:rPr>
            </w:pPr>
          </w:p>
          <w:p w14:paraId="1606E010">
            <w:pPr>
              <w:pStyle w:val="11"/>
              <w:ind w:left="0" w:leftChars="0" w:firstLine="0" w:firstLineChars="0"/>
              <w:jc w:val="center"/>
              <w:rPr>
                <w:rFonts w:hint="default" w:ascii="Times New Roman" w:hAnsi="Times New Roman" w:cs="Times New Roman"/>
                <w:b/>
                <w:bCs/>
                <w:color w:val="auto"/>
                <w:sz w:val="28"/>
                <w:szCs w:val="28"/>
                <w:highlight w:val="none"/>
                <w:lang w:val="en-US" w:eastAsia="zh-CN"/>
              </w:rPr>
            </w:pPr>
            <w:r>
              <w:rPr>
                <w:rFonts w:hint="eastAsia" w:ascii="Times New Roman" w:hAnsi="Times New Roman" w:cs="Times New Roman"/>
                <w:b/>
                <w:color w:val="auto"/>
                <w:sz w:val="24"/>
                <w:lang w:val="en-US" w:eastAsia="zh-CN"/>
              </w:rPr>
              <w:t xml:space="preserve">         </w:t>
            </w:r>
            <w:r>
              <w:rPr>
                <w:rFonts w:hint="default" w:ascii="Times New Roman" w:hAnsi="Times New Roman" w:cs="Times New Roman"/>
                <w:b/>
                <w:color w:val="auto"/>
                <w:sz w:val="24"/>
              </w:rPr>
              <w:t>图2</w:t>
            </w:r>
            <w:r>
              <w:rPr>
                <w:rFonts w:hint="default" w:ascii="Times New Roman" w:hAnsi="Times New Roman" w:cs="Times New Roman"/>
                <w:b/>
                <w:color w:val="auto"/>
                <w:sz w:val="24"/>
                <w:lang w:val="en-US" w:eastAsia="zh-CN"/>
              </w:rPr>
              <w:t>.1</w:t>
            </w:r>
            <w:r>
              <w:rPr>
                <w:rFonts w:hint="default" w:ascii="Times New Roman" w:hAnsi="Times New Roman" w:cs="Times New Roman"/>
                <w:b/>
                <w:color w:val="auto"/>
                <w:sz w:val="24"/>
              </w:rPr>
              <w:t xml:space="preserve"> </w:t>
            </w:r>
            <w:r>
              <w:rPr>
                <w:rFonts w:hint="default" w:ascii="Times New Roman" w:hAnsi="Times New Roman" w:cs="Times New Roman"/>
                <w:b/>
                <w:color w:val="auto"/>
                <w:sz w:val="24"/>
                <w:lang w:eastAsia="zh-CN"/>
              </w:rPr>
              <w:t>施工期工艺流程及产污环节图</w:t>
            </w:r>
          </w:p>
          <w:p w14:paraId="335172F0">
            <w:pPr>
              <w:pStyle w:val="11"/>
              <w:ind w:left="0" w:leftChars="0" w:firstLine="0" w:firstLineChars="0"/>
              <w:rPr>
                <w:rFonts w:hint="default" w:ascii="Times New Roman" w:hAnsi="Times New Roman" w:cs="Times New Roman"/>
                <w:b/>
                <w:bCs/>
                <w:color w:val="auto"/>
                <w:sz w:val="28"/>
                <w:szCs w:val="28"/>
                <w:highlight w:val="none"/>
                <w:lang w:val="en-US" w:eastAsia="zh-CN"/>
              </w:rPr>
            </w:pPr>
            <w:r>
              <w:drawing>
                <wp:anchor distT="0" distB="0" distL="114300" distR="114300" simplePos="0" relativeHeight="251661312" behindDoc="0" locked="0" layoutInCell="1" allowOverlap="1">
                  <wp:simplePos x="0" y="0"/>
                  <wp:positionH relativeFrom="column">
                    <wp:posOffset>320040</wp:posOffset>
                  </wp:positionH>
                  <wp:positionV relativeFrom="paragraph">
                    <wp:posOffset>291465</wp:posOffset>
                  </wp:positionV>
                  <wp:extent cx="4693920" cy="5284470"/>
                  <wp:effectExtent l="0" t="0" r="1905" b="1905"/>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a:stretch>
                            <a:fillRect/>
                          </a:stretch>
                        </pic:blipFill>
                        <pic:spPr>
                          <a:xfrm>
                            <a:off x="0" y="0"/>
                            <a:ext cx="4693920" cy="5284470"/>
                          </a:xfrm>
                          <a:prstGeom prst="rect">
                            <a:avLst/>
                          </a:prstGeom>
                          <a:noFill/>
                          <a:ln>
                            <a:noFill/>
                          </a:ln>
                        </pic:spPr>
                      </pic:pic>
                    </a:graphicData>
                  </a:graphic>
                </wp:anchor>
              </w:drawing>
            </w:r>
            <w:r>
              <w:rPr>
                <w:rFonts w:hint="default" w:ascii="Times New Roman" w:hAnsi="Times New Roman" w:cs="Times New Roman"/>
                <w:b/>
                <w:bCs/>
                <w:color w:val="auto"/>
                <w:sz w:val="28"/>
                <w:szCs w:val="28"/>
                <w:highlight w:val="none"/>
                <w:lang w:val="en-US" w:eastAsia="zh-CN"/>
              </w:rPr>
              <w:t>2.1.2运营期</w:t>
            </w:r>
          </w:p>
          <w:p w14:paraId="75F4723B">
            <w:pPr>
              <w:pStyle w:val="11"/>
              <w:ind w:left="0" w:leftChars="0" w:firstLine="0" w:firstLineChars="0"/>
              <w:rPr>
                <w:rFonts w:hint="default" w:ascii="Times New Roman" w:hAnsi="Times New Roman" w:cs="Times New Roman"/>
                <w:b/>
                <w:bCs/>
                <w:color w:val="auto"/>
                <w:sz w:val="28"/>
                <w:szCs w:val="28"/>
                <w:highlight w:val="none"/>
                <w:lang w:val="en-US" w:eastAsia="zh-CN"/>
              </w:rPr>
            </w:pPr>
          </w:p>
          <w:p w14:paraId="3A82F2C2">
            <w:pPr>
              <w:pStyle w:val="11"/>
              <w:ind w:left="0" w:leftChars="0" w:firstLine="0" w:firstLineChars="0"/>
              <w:rPr>
                <w:rFonts w:hint="default" w:ascii="Times New Roman" w:hAnsi="Times New Roman" w:cs="Times New Roman"/>
                <w:b/>
                <w:bCs/>
                <w:color w:val="auto"/>
                <w:sz w:val="28"/>
                <w:szCs w:val="28"/>
                <w:highlight w:val="none"/>
                <w:lang w:val="en-US" w:eastAsia="zh-CN"/>
              </w:rPr>
            </w:pPr>
          </w:p>
          <w:p w14:paraId="75158038">
            <w:pPr>
              <w:pStyle w:val="11"/>
              <w:ind w:left="0" w:leftChars="0" w:firstLine="0" w:firstLineChars="0"/>
              <w:rPr>
                <w:rFonts w:hint="default" w:ascii="Times New Roman" w:hAnsi="Times New Roman" w:cs="Times New Roman"/>
                <w:b/>
                <w:bCs/>
                <w:color w:val="auto"/>
                <w:sz w:val="28"/>
                <w:szCs w:val="28"/>
                <w:highlight w:val="none"/>
                <w:lang w:val="en-US" w:eastAsia="zh-CN"/>
              </w:rPr>
            </w:pPr>
          </w:p>
          <w:p w14:paraId="1F0804B2">
            <w:pPr>
              <w:pStyle w:val="11"/>
              <w:ind w:left="0" w:leftChars="0" w:firstLine="0" w:firstLineChars="0"/>
              <w:rPr>
                <w:rFonts w:hint="default" w:ascii="Times New Roman" w:hAnsi="Times New Roman" w:cs="Times New Roman"/>
                <w:b/>
                <w:bCs/>
                <w:color w:val="auto"/>
                <w:sz w:val="28"/>
                <w:szCs w:val="28"/>
                <w:highlight w:val="none"/>
                <w:lang w:val="en-US" w:eastAsia="zh-CN"/>
              </w:rPr>
            </w:pPr>
          </w:p>
          <w:p w14:paraId="2F91CB16">
            <w:pPr>
              <w:pStyle w:val="11"/>
              <w:ind w:left="0" w:leftChars="0" w:firstLine="0" w:firstLineChars="0"/>
              <w:rPr>
                <w:rFonts w:hint="default" w:ascii="Times New Roman" w:hAnsi="Times New Roman" w:cs="Times New Roman"/>
                <w:b/>
                <w:bCs/>
                <w:color w:val="auto"/>
                <w:sz w:val="28"/>
                <w:szCs w:val="28"/>
                <w:highlight w:val="none"/>
                <w:lang w:val="en-US" w:eastAsia="zh-CN"/>
              </w:rPr>
            </w:pPr>
          </w:p>
          <w:p w14:paraId="3431455D">
            <w:pPr>
              <w:pStyle w:val="11"/>
              <w:ind w:left="0" w:leftChars="0" w:firstLine="0" w:firstLineChars="0"/>
              <w:rPr>
                <w:rFonts w:hint="default" w:ascii="Times New Roman" w:hAnsi="Times New Roman" w:cs="Times New Roman"/>
                <w:b/>
                <w:bCs/>
                <w:color w:val="auto"/>
                <w:sz w:val="28"/>
                <w:szCs w:val="28"/>
                <w:highlight w:val="none"/>
                <w:lang w:val="en-US" w:eastAsia="zh-CN"/>
              </w:rPr>
            </w:pPr>
          </w:p>
          <w:p w14:paraId="1B973098">
            <w:pPr>
              <w:pStyle w:val="11"/>
              <w:ind w:left="0" w:leftChars="0" w:firstLine="0" w:firstLineChars="0"/>
              <w:rPr>
                <w:rFonts w:hint="default" w:ascii="Times New Roman" w:hAnsi="Times New Roman" w:cs="Times New Roman"/>
                <w:b/>
                <w:bCs/>
                <w:color w:val="auto"/>
                <w:sz w:val="28"/>
                <w:szCs w:val="28"/>
                <w:highlight w:val="none"/>
                <w:lang w:val="en-US" w:eastAsia="zh-CN"/>
              </w:rPr>
            </w:pPr>
          </w:p>
          <w:p w14:paraId="2ACC70DD">
            <w:pPr>
              <w:pStyle w:val="11"/>
              <w:ind w:left="0" w:leftChars="0" w:firstLine="0" w:firstLineChars="0"/>
              <w:rPr>
                <w:rFonts w:hint="default" w:ascii="Times New Roman" w:hAnsi="Times New Roman" w:cs="Times New Roman"/>
                <w:b/>
                <w:bCs/>
                <w:color w:val="auto"/>
                <w:sz w:val="28"/>
                <w:szCs w:val="28"/>
                <w:highlight w:val="none"/>
                <w:lang w:val="en-US" w:eastAsia="zh-CN"/>
              </w:rPr>
            </w:pPr>
          </w:p>
          <w:p w14:paraId="40B20D64">
            <w:pPr>
              <w:pStyle w:val="11"/>
              <w:ind w:left="0" w:leftChars="0" w:firstLine="0" w:firstLineChars="0"/>
              <w:rPr>
                <w:rFonts w:hint="default" w:ascii="Times New Roman" w:hAnsi="Times New Roman" w:cs="Times New Roman"/>
                <w:b/>
                <w:bCs/>
                <w:color w:val="auto"/>
                <w:sz w:val="28"/>
                <w:szCs w:val="28"/>
                <w:highlight w:val="none"/>
                <w:lang w:val="en-US" w:eastAsia="zh-CN"/>
              </w:rPr>
            </w:pPr>
          </w:p>
          <w:p w14:paraId="2A04B88F">
            <w:pPr>
              <w:pStyle w:val="11"/>
              <w:ind w:left="0" w:leftChars="0" w:firstLine="0" w:firstLineChars="0"/>
              <w:rPr>
                <w:rFonts w:hint="default" w:ascii="Times New Roman" w:hAnsi="Times New Roman" w:cs="Times New Roman"/>
                <w:b/>
                <w:bCs/>
                <w:color w:val="auto"/>
                <w:sz w:val="28"/>
                <w:szCs w:val="28"/>
                <w:highlight w:val="none"/>
                <w:lang w:val="en-US" w:eastAsia="zh-CN"/>
              </w:rPr>
            </w:pPr>
          </w:p>
          <w:p w14:paraId="5AED5531">
            <w:pPr>
              <w:pStyle w:val="11"/>
              <w:ind w:left="0" w:leftChars="0" w:firstLine="0" w:firstLineChars="0"/>
              <w:rPr>
                <w:rFonts w:hint="default" w:ascii="Times New Roman" w:hAnsi="Times New Roman" w:cs="Times New Roman"/>
                <w:b/>
                <w:bCs/>
                <w:color w:val="auto"/>
                <w:sz w:val="28"/>
                <w:szCs w:val="28"/>
                <w:highlight w:val="none"/>
                <w:lang w:val="en-US" w:eastAsia="zh-CN"/>
              </w:rPr>
            </w:pPr>
          </w:p>
          <w:p w14:paraId="13108D3F">
            <w:pPr>
              <w:pStyle w:val="11"/>
              <w:ind w:left="0" w:leftChars="0" w:firstLine="0" w:firstLineChars="0"/>
              <w:jc w:val="center"/>
              <w:rPr>
                <w:rFonts w:hint="default" w:ascii="Times New Roman" w:hAnsi="Times New Roman" w:cs="Times New Roman"/>
                <w:b/>
                <w:bCs/>
                <w:color w:val="auto"/>
                <w:sz w:val="28"/>
                <w:szCs w:val="28"/>
                <w:highlight w:val="none"/>
                <w:lang w:val="en-US" w:eastAsia="zh-CN"/>
              </w:rPr>
            </w:pPr>
            <w:r>
              <w:rPr>
                <w:rFonts w:hint="eastAsia" w:ascii="Times New Roman" w:hAnsi="Times New Roman" w:cs="Times New Roman"/>
                <w:b/>
                <w:color w:val="auto"/>
                <w:sz w:val="24"/>
                <w:lang w:val="en-US" w:eastAsia="zh-CN"/>
              </w:rPr>
              <w:t xml:space="preserve">        </w:t>
            </w:r>
            <w:r>
              <w:rPr>
                <w:rFonts w:hint="default" w:ascii="Times New Roman" w:hAnsi="Times New Roman" w:cs="Times New Roman"/>
                <w:b/>
                <w:color w:val="auto"/>
                <w:sz w:val="24"/>
              </w:rPr>
              <w:t>图2</w:t>
            </w:r>
            <w:r>
              <w:rPr>
                <w:rFonts w:hint="default" w:ascii="Times New Roman" w:hAnsi="Times New Roman" w:cs="Times New Roman"/>
                <w:b/>
                <w:color w:val="auto"/>
                <w:sz w:val="24"/>
                <w:lang w:val="en-US" w:eastAsia="zh-CN"/>
              </w:rPr>
              <w:t>.2</w:t>
            </w:r>
            <w:r>
              <w:rPr>
                <w:rFonts w:hint="default" w:ascii="Times New Roman" w:hAnsi="Times New Roman" w:cs="Times New Roman"/>
                <w:b/>
                <w:color w:val="auto"/>
                <w:sz w:val="24"/>
              </w:rPr>
              <w:t xml:space="preserve"> </w:t>
            </w:r>
            <w:r>
              <w:rPr>
                <w:rFonts w:hint="default" w:ascii="Times New Roman" w:hAnsi="Times New Roman" w:cs="Times New Roman"/>
                <w:b/>
                <w:color w:val="auto"/>
                <w:sz w:val="24"/>
                <w:lang w:eastAsia="zh-CN"/>
              </w:rPr>
              <w:t>生产工艺流程及产污环节图</w:t>
            </w:r>
          </w:p>
          <w:p w14:paraId="2C3928BB">
            <w:pPr>
              <w:pStyle w:val="11"/>
              <w:ind w:left="0" w:leftChars="0" w:firstLine="0" w:firstLineChars="0"/>
              <w:rPr>
                <w:rFonts w:hint="default" w:ascii="Times New Roman" w:hAnsi="Times New Roman" w:cs="Times New Roman"/>
                <w:b/>
                <w:bCs w:val="0"/>
                <w:color w:val="auto"/>
                <w:spacing w:val="-6"/>
                <w:sz w:val="28"/>
                <w:szCs w:val="28"/>
                <w:lang w:eastAsia="zh-CN"/>
              </w:rPr>
            </w:pPr>
            <w:r>
              <w:rPr>
                <w:rFonts w:hint="default" w:ascii="Times New Roman" w:hAnsi="Times New Roman" w:cs="Times New Roman"/>
                <w:b/>
                <w:bCs w:val="0"/>
                <w:color w:val="auto"/>
                <w:spacing w:val="-6"/>
                <w:sz w:val="28"/>
                <w:szCs w:val="28"/>
                <w:lang w:eastAsia="zh-CN"/>
              </w:rPr>
              <w:t>生产</w:t>
            </w:r>
            <w:r>
              <w:rPr>
                <w:rFonts w:hint="default" w:ascii="Times New Roman" w:hAnsi="Times New Roman" w:eastAsia="宋体" w:cs="Times New Roman"/>
                <w:b/>
                <w:bCs w:val="0"/>
                <w:color w:val="auto"/>
                <w:sz w:val="28"/>
                <w:szCs w:val="28"/>
                <w:highlight w:val="none"/>
                <w:lang w:eastAsia="zh-CN"/>
              </w:rPr>
              <w:t>工艺流程</w:t>
            </w:r>
            <w:r>
              <w:rPr>
                <w:rFonts w:hint="default" w:ascii="Times New Roman" w:hAnsi="Times New Roman" w:cs="Times New Roman"/>
                <w:b/>
                <w:bCs w:val="0"/>
                <w:color w:val="auto"/>
                <w:spacing w:val="-6"/>
                <w:sz w:val="28"/>
                <w:szCs w:val="28"/>
                <w:lang w:eastAsia="zh-CN"/>
              </w:rPr>
              <w:t>简述：</w:t>
            </w:r>
          </w:p>
          <w:p w14:paraId="761F9C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本项目为牛、羊定点屠宰加工项目，牛、羊在入场前由当地畜牧防疫站统 一进行检验合格后才能进入本项目进行屠宰，故本项目不设肉制品检验环节。本次评价要求本项目严禁收病害牛、羊及不合格牛、羊。</w:t>
            </w:r>
          </w:p>
          <w:p w14:paraId="669C28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(1)宰前处理：经防疫站检疫合格后的牛、羊通过汽车运送到本项目内， 在卸车之前由项目内检疫员向押运员索取检疫证或防疫注射证，以便从侧面了解产地疫情；持证核对品种及头数，发现不符，及时查明原因，直到认为没有可疑疫情时允许卸下，借过磅验级之际，留神观察牲畜健康状态，对可疑者应做进一步诊断，必要时组织会诊。当确诊疫病时，及时封锁，上报疫情。同时立即采取措施，由项目专业人员处理，确保人畜的安全。</w:t>
            </w:r>
          </w:p>
          <w:p w14:paraId="0D6FC2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检查合格则进入待宰间内，保证牛、羊有充分的休息时间，使牛、羊保持安静的状态，防止代谢机能旺盛。</w:t>
            </w:r>
          </w:p>
          <w:p w14:paraId="14ACF6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(2)宰前检疫：是在临宰前对牛、羊进行一次普查，确保其健康，是避免屠宰过程中病牛、羊与健康牛、羊相互污染，保证产品质量的有效措施。</w:t>
            </w:r>
          </w:p>
          <w:p w14:paraId="56B3D5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(3)淋浴：经宰前检疫合格的牛、羊由工人沿着指定的通道将牛、羊牵到喷淋区。用水进行喷淋，清洗全身，以减少屠宰过程中牛、羊身上的附着物对牛、羊胴体的污染。</w:t>
            </w:r>
          </w:p>
          <w:p w14:paraId="34E284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(4)电麻：将淋浴后的牛、羊赶入电击区，在90V左右的电压下对牛、 羊进行约5-10s的电麻，将其击晕。接着由人工使用吊勾套牢牛、羊的一条后 腿，并挂在电动提升机的吊钩上，启动电动提升机将牛、羊吊起，使牛、羊完 全吊在高轨上。</w:t>
            </w:r>
          </w:p>
          <w:p w14:paraId="1B54F6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(5)宰杀放血：从牛、羊喉部下刀割断食管、气管和血管进行放血，放血时间约为9分钟。牛、羊血在放血自动线下槽内由收购牛、羊血的单位收集清运外销。</w:t>
            </w:r>
          </w:p>
          <w:p w14:paraId="228ED0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(6)摇烫、剥毛、去头蹄尾：放血完成后的牛、羊由提升机运至烫毛池，进行烫毛，然后通过刨毛机进行脱毛处理，刨下的牛、羊毛由收购牛、羊毛的单位自行收集外运。</w:t>
            </w:r>
          </w:p>
          <w:p w14:paraId="516B30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(7)剖腹、取内脏：牛、羊毛清除完成后，将牛、羊开膛，取出红白内脏，内脏经简单处理后外销。</w:t>
            </w:r>
          </w:p>
          <w:p w14:paraId="2AA6AA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(8)锯半：将牛、羊胴体由桥式劈半锯对半劈开后外运。</w:t>
            </w:r>
          </w:p>
          <w:p w14:paraId="3CB411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为了避免交叉污染，确保产品的卫生和质量，本项目屠宰工艺采用流水作业方案，原料从非清洁区流向清洁区。刨毛后采用人工刮除余毛。本项目屠宰的牛、羊在入场前由畜牧防疫站统一进行检验合格后才能进入本项目进行屠宰，故本项目无不合格牛、羊肉。</w:t>
            </w:r>
          </w:p>
          <w:p w14:paraId="729623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项目牛、羊进场后必须保证24小时后宰杀，车间地面及机械器具须当天冲洗和消毒，牛、羊血、牛、羊毛、肠胃内废弃物和牛、羊粪等必须当天清理妥善处置，不能堆存，避免造成污染。</w:t>
            </w:r>
          </w:p>
          <w:p w14:paraId="1E1F3E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本项目屠宰后的牛、羊肉直接由牛、羊肉贩卖商外运销售，项目内不进行牛、羊肉、内脏等的加工。</w:t>
            </w:r>
          </w:p>
          <w:p w14:paraId="447FC452">
            <w:pPr>
              <w:pStyle w:val="11"/>
              <w:ind w:left="0" w:leftChars="0" w:firstLine="562" w:firstLineChars="200"/>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t>2.</w:t>
            </w:r>
            <w:r>
              <w:rPr>
                <w:rFonts w:hint="default" w:ascii="Times New Roman" w:hAnsi="Times New Roman" w:cs="Times New Roman"/>
                <w:b/>
                <w:color w:val="auto"/>
                <w:sz w:val="28"/>
                <w:szCs w:val="28"/>
                <w:highlight w:val="none"/>
                <w:lang w:val="en-US" w:eastAsia="zh-CN"/>
              </w:rPr>
              <w:t>2</w:t>
            </w:r>
            <w:r>
              <w:rPr>
                <w:rFonts w:hint="default" w:ascii="Times New Roman" w:hAnsi="Times New Roman" w:cs="Times New Roman"/>
                <w:b/>
                <w:bCs/>
                <w:color w:val="auto"/>
                <w:sz w:val="28"/>
                <w:highlight w:val="none"/>
              </w:rPr>
              <w:t>项目</w:t>
            </w:r>
            <w:r>
              <w:rPr>
                <w:rFonts w:hint="default" w:ascii="Times New Roman" w:hAnsi="Times New Roman" w:cs="Times New Roman"/>
                <w:b/>
                <w:color w:val="auto"/>
                <w:sz w:val="28"/>
                <w:szCs w:val="28"/>
                <w:highlight w:val="none"/>
              </w:rPr>
              <w:t>变</w:t>
            </w:r>
            <w:r>
              <w:rPr>
                <w:rFonts w:hint="default" w:ascii="Times New Roman" w:hAnsi="Times New Roman" w:cs="Times New Roman"/>
                <w:b/>
                <w:color w:val="auto"/>
                <w:sz w:val="28"/>
                <w:szCs w:val="28"/>
                <w:highlight w:val="none"/>
                <w:lang w:eastAsia="zh-CN"/>
              </w:rPr>
              <w:t>动</w:t>
            </w:r>
            <w:r>
              <w:rPr>
                <w:rFonts w:hint="default" w:ascii="Times New Roman" w:hAnsi="Times New Roman" w:cs="Times New Roman"/>
                <w:b/>
                <w:color w:val="auto"/>
                <w:sz w:val="28"/>
                <w:szCs w:val="28"/>
                <w:highlight w:val="none"/>
              </w:rPr>
              <w:t>内容</w:t>
            </w:r>
          </w:p>
          <w:p w14:paraId="3A8D827E">
            <w:pPr>
              <w:pStyle w:val="11"/>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right="0" w:rightChars="0" w:firstLine="480" w:firstLineChars="20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环评及批复设计本项目职工食堂食堂油烟经油烟净化器处理后通过8m高排气筒排放。因企业受市场销售的时间特殊性，只在早上进行屠宰加工，故所以工作时间限制，员工工作时间为早8点到早12点，每天工作时间为四个小时，不在企业内就餐，不存在在职工食堂内开展做饭以及集中就餐的情况，职工在12点结束一天工作后，各自离开企业。企业按照工作特殊性，未按照环评要求建设职工食堂。</w:t>
            </w:r>
          </w:p>
          <w:p w14:paraId="03E4CD55">
            <w:pPr>
              <w:pStyle w:val="8"/>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snapToGrid w:val="0"/>
                <w:color w:val="auto"/>
                <w:sz w:val="24"/>
                <w:szCs w:val="24"/>
                <w:highlight w:val="none"/>
                <w:lang w:val="en-US" w:eastAsia="zh-CN"/>
              </w:rPr>
              <w:t>变动情况见下表2-1。</w:t>
            </w:r>
          </w:p>
          <w:p w14:paraId="76B331AB">
            <w:pPr>
              <w:rPr>
                <w:rFonts w:hint="default" w:ascii="Times New Roman" w:hAnsi="Times New Roman" w:cs="Times New Roman"/>
                <w:b/>
                <w:bCs/>
                <w:color w:val="auto"/>
                <w:sz w:val="24"/>
                <w:szCs w:val="22"/>
                <w:highlight w:val="none"/>
              </w:rPr>
            </w:pPr>
            <w:r>
              <w:rPr>
                <w:rFonts w:hint="default" w:ascii="Times New Roman" w:hAnsi="Times New Roman" w:cs="Times New Roman"/>
                <w:b/>
                <w:bCs/>
                <w:color w:val="auto"/>
                <w:sz w:val="24"/>
                <w:szCs w:val="22"/>
                <w:highlight w:val="none"/>
              </w:rPr>
              <w:t>表</w:t>
            </w:r>
            <w:r>
              <w:rPr>
                <w:rFonts w:hint="default" w:ascii="Times New Roman" w:hAnsi="Times New Roman" w:cs="Times New Roman"/>
                <w:b/>
                <w:bCs/>
                <w:color w:val="auto"/>
                <w:sz w:val="24"/>
                <w:szCs w:val="22"/>
                <w:highlight w:val="none"/>
                <w:lang w:val="en-US" w:eastAsia="zh-CN"/>
              </w:rPr>
              <w:t>2</w:t>
            </w:r>
            <w:r>
              <w:rPr>
                <w:rFonts w:hint="default" w:ascii="Times New Roman" w:hAnsi="Times New Roman" w:cs="Times New Roman"/>
                <w:b/>
                <w:bCs/>
                <w:color w:val="auto"/>
                <w:sz w:val="24"/>
                <w:szCs w:val="22"/>
                <w:highlight w:val="none"/>
              </w:rPr>
              <w:t>-</w:t>
            </w:r>
            <w:r>
              <w:rPr>
                <w:rFonts w:hint="default" w:ascii="Times New Roman" w:hAnsi="Times New Roman" w:cs="Times New Roman"/>
                <w:b/>
                <w:bCs/>
                <w:color w:val="auto"/>
                <w:sz w:val="24"/>
                <w:szCs w:val="22"/>
                <w:highlight w:val="none"/>
                <w:lang w:val="en-US" w:eastAsia="zh-CN"/>
              </w:rPr>
              <w:t>1                    工程变动情况</w:t>
            </w:r>
            <w:r>
              <w:rPr>
                <w:rFonts w:hint="default" w:ascii="Times New Roman" w:hAnsi="Times New Roman" w:cs="Times New Roman"/>
                <w:b/>
                <w:bCs/>
                <w:color w:val="auto"/>
                <w:sz w:val="24"/>
                <w:szCs w:val="22"/>
                <w:highlight w:val="none"/>
              </w:rPr>
              <w:t>一览表</w:t>
            </w:r>
          </w:p>
          <w:tbl>
            <w:tblPr>
              <w:tblStyle w:val="15"/>
              <w:tblW w:w="8671" w:type="dxa"/>
              <w:jc w:val="center"/>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Layout w:type="autofit"/>
              <w:tblCellMar>
                <w:top w:w="0" w:type="dxa"/>
                <w:left w:w="108" w:type="dxa"/>
                <w:bottom w:w="0" w:type="dxa"/>
                <w:right w:w="108" w:type="dxa"/>
              </w:tblCellMar>
            </w:tblPr>
            <w:tblGrid>
              <w:gridCol w:w="427"/>
              <w:gridCol w:w="2274"/>
              <w:gridCol w:w="2363"/>
              <w:gridCol w:w="1384"/>
              <w:gridCol w:w="1158"/>
              <w:gridCol w:w="1065"/>
            </w:tblGrid>
            <w:tr w14:paraId="2BFAAC53">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693" w:hRule="atLeast"/>
                <w:jc w:val="center"/>
              </w:trPr>
              <w:tc>
                <w:tcPr>
                  <w:tcW w:w="406" w:type="dxa"/>
                  <w:tcBorders>
                    <w:tl2br w:val="nil"/>
                    <w:tr2bl w:val="nil"/>
                  </w:tcBorders>
                  <w:noWrap w:val="0"/>
                  <w:vAlign w:val="center"/>
                </w:tcPr>
                <w:p w14:paraId="023B71DD">
                  <w:pPr>
                    <w:spacing w:line="240" w:lineRule="auto"/>
                    <w:ind w:firstLine="0" w:firstLineChars="0"/>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序号</w:t>
                  </w:r>
                </w:p>
              </w:tc>
              <w:tc>
                <w:tcPr>
                  <w:tcW w:w="2281" w:type="dxa"/>
                  <w:tcBorders>
                    <w:tl2br w:val="nil"/>
                    <w:tr2bl w:val="nil"/>
                  </w:tcBorders>
                  <w:noWrap w:val="0"/>
                  <w:vAlign w:val="center"/>
                </w:tcPr>
                <w:p w14:paraId="57B1E0AC">
                  <w:pPr>
                    <w:spacing w:line="240" w:lineRule="auto"/>
                    <w:ind w:firstLine="0" w:firstLine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sz w:val="21"/>
                      <w:szCs w:val="21"/>
                      <w:highlight w:val="none"/>
                      <w:lang w:eastAsia="zh-CN"/>
                    </w:rPr>
                    <w:t>环评建设内容</w:t>
                  </w:r>
                </w:p>
              </w:tc>
              <w:tc>
                <w:tcPr>
                  <w:tcW w:w="2370" w:type="dxa"/>
                  <w:tcBorders>
                    <w:tl2br w:val="nil"/>
                    <w:tr2bl w:val="nil"/>
                  </w:tcBorders>
                  <w:noWrap w:val="0"/>
                  <w:vAlign w:val="center"/>
                </w:tcPr>
                <w:p w14:paraId="4035DBF3">
                  <w:pPr>
                    <w:spacing w:line="240" w:lineRule="auto"/>
                    <w:ind w:firstLine="0" w:firstLine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sz w:val="21"/>
                      <w:szCs w:val="21"/>
                      <w:highlight w:val="none"/>
                      <w:lang w:eastAsia="zh-CN"/>
                    </w:rPr>
                    <w:t>实际建设内容</w:t>
                  </w:r>
                </w:p>
              </w:tc>
              <w:tc>
                <w:tcPr>
                  <w:tcW w:w="1387" w:type="dxa"/>
                  <w:tcBorders>
                    <w:tl2br w:val="nil"/>
                    <w:tr2bl w:val="nil"/>
                  </w:tcBorders>
                  <w:noWrap w:val="0"/>
                  <w:vAlign w:val="center"/>
                </w:tcPr>
                <w:p w14:paraId="16C5B733">
                  <w:pPr>
                    <w:spacing w:line="240" w:lineRule="auto"/>
                    <w:ind w:firstLine="0" w:firstLine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sz w:val="21"/>
                      <w:szCs w:val="21"/>
                      <w:highlight w:val="none"/>
                      <w:lang w:eastAsia="zh-CN"/>
                    </w:rPr>
                    <w:t>变动原因</w:t>
                  </w:r>
                </w:p>
              </w:tc>
              <w:tc>
                <w:tcPr>
                  <w:tcW w:w="1160" w:type="dxa"/>
                  <w:tcBorders>
                    <w:tl2br w:val="nil"/>
                    <w:tr2bl w:val="nil"/>
                  </w:tcBorders>
                  <w:noWrap w:val="0"/>
                  <w:vAlign w:val="center"/>
                </w:tcPr>
                <w:p w14:paraId="79AE6CB6">
                  <w:pPr>
                    <w:spacing w:line="240" w:lineRule="auto"/>
                    <w:ind w:firstLine="0" w:firstLine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sz w:val="21"/>
                      <w:szCs w:val="21"/>
                      <w:highlight w:val="none"/>
                      <w:lang w:eastAsia="zh-CN"/>
                    </w:rPr>
                    <w:t>变动对环境影响</w:t>
                  </w:r>
                </w:p>
              </w:tc>
              <w:tc>
                <w:tcPr>
                  <w:tcW w:w="1067" w:type="dxa"/>
                  <w:tcBorders>
                    <w:tl2br w:val="nil"/>
                    <w:tr2bl w:val="nil"/>
                  </w:tcBorders>
                  <w:noWrap w:val="0"/>
                  <w:vAlign w:val="center"/>
                </w:tcPr>
                <w:p w14:paraId="4874EE20">
                  <w:pPr>
                    <w:spacing w:line="240" w:lineRule="auto"/>
                    <w:ind w:firstLine="0" w:firstLine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sz w:val="21"/>
                      <w:szCs w:val="21"/>
                      <w:highlight w:val="none"/>
                      <w:lang w:eastAsia="zh-CN"/>
                    </w:rPr>
                    <w:t>是否属于重大变动</w:t>
                  </w:r>
                </w:p>
              </w:tc>
            </w:tr>
            <w:tr w14:paraId="5C4D3BE7">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423" w:hRule="atLeast"/>
                <w:jc w:val="center"/>
              </w:trPr>
              <w:tc>
                <w:tcPr>
                  <w:tcW w:w="406" w:type="dxa"/>
                  <w:tcBorders>
                    <w:tl2br w:val="nil"/>
                    <w:tr2bl w:val="nil"/>
                  </w:tcBorders>
                  <w:noWrap w:val="0"/>
                  <w:vAlign w:val="center"/>
                </w:tcPr>
                <w:p w14:paraId="06D78BF5">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2281" w:type="dxa"/>
                  <w:tcBorders>
                    <w:tl2br w:val="nil"/>
                    <w:tr2bl w:val="nil"/>
                  </w:tcBorders>
                  <w:noWrap w:val="0"/>
                  <w:vAlign w:val="center"/>
                </w:tcPr>
                <w:p w14:paraId="34628C20">
                  <w:pPr>
                    <w:jc w:val="center"/>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kern w:val="2"/>
                      <w:sz w:val="24"/>
                      <w:szCs w:val="24"/>
                      <w:lang w:val="en-US" w:eastAsia="zh-CN" w:bidi="ar-SA"/>
                    </w:rPr>
                    <w:t>职工食堂食堂油烟经油烟净化器处理后通过8m高排气筒排放</w:t>
                  </w:r>
                </w:p>
              </w:tc>
              <w:tc>
                <w:tcPr>
                  <w:tcW w:w="2370" w:type="dxa"/>
                  <w:tcBorders>
                    <w:tl2br w:val="nil"/>
                    <w:tr2bl w:val="nil"/>
                  </w:tcBorders>
                  <w:noWrap w:val="0"/>
                  <w:vAlign w:val="center"/>
                </w:tcPr>
                <w:p w14:paraId="3B4CF75F">
                  <w:pPr>
                    <w:spacing w:line="240" w:lineRule="auto"/>
                    <w:ind w:firstLine="0" w:firstLineChars="0"/>
                    <w:jc w:val="center"/>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未建设职工食堂</w:t>
                  </w:r>
                </w:p>
              </w:tc>
              <w:tc>
                <w:tcPr>
                  <w:tcW w:w="1387" w:type="dxa"/>
                  <w:tcBorders>
                    <w:tl2br w:val="nil"/>
                    <w:tr2bl w:val="nil"/>
                  </w:tcBorders>
                  <w:noWrap w:val="0"/>
                  <w:vAlign w:val="center"/>
                </w:tcPr>
                <w:p w14:paraId="497A692C">
                  <w:pPr>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职工不在企业就餐</w:t>
                  </w:r>
                </w:p>
              </w:tc>
              <w:tc>
                <w:tcPr>
                  <w:tcW w:w="1160" w:type="dxa"/>
                  <w:tcBorders>
                    <w:tl2br w:val="nil"/>
                    <w:tr2bl w:val="nil"/>
                  </w:tcBorders>
                  <w:noWrap w:val="0"/>
                  <w:vAlign w:val="center"/>
                </w:tcPr>
                <w:p w14:paraId="6C598BA7">
                  <w:pPr>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未增加环境的不利影响</w:t>
                  </w:r>
                </w:p>
              </w:tc>
              <w:tc>
                <w:tcPr>
                  <w:tcW w:w="1067" w:type="dxa"/>
                  <w:tcBorders>
                    <w:tl2br w:val="nil"/>
                    <w:tr2bl w:val="nil"/>
                  </w:tcBorders>
                  <w:noWrap w:val="0"/>
                  <w:vAlign w:val="center"/>
                </w:tcPr>
                <w:p w14:paraId="4FB7A2FE">
                  <w:pPr>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否</w:t>
                  </w:r>
                </w:p>
              </w:tc>
            </w:tr>
          </w:tbl>
          <w:p w14:paraId="09CE6435">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default"/>
                <w:lang w:val="en-US" w:eastAsia="zh-CN"/>
              </w:rPr>
            </w:pPr>
            <w:r>
              <w:rPr>
                <w:rFonts w:hint="default" w:ascii="宋体" w:hAnsi="宋体" w:eastAsia="宋体" w:cs="宋体"/>
                <w:kern w:val="2"/>
                <w:sz w:val="24"/>
                <w:szCs w:val="24"/>
                <w:lang w:val="en-US" w:eastAsia="zh-CN" w:bidi="ar-SA"/>
              </w:rPr>
              <w:t>上述变动未增加环境的不利影响、未新增污染物，对照生态环境部《关于印发环评管理中部分行业建设项目重大变动清单的通知》（环办〔2015〕52号）、《关于印发</w:t>
            </w:r>
            <w:r>
              <w:rPr>
                <w:rFonts w:hint="eastAsia" w:ascii="宋体" w:hAnsi="宋体" w:eastAsia="宋体" w:cs="宋体"/>
                <w:kern w:val="2"/>
                <w:sz w:val="24"/>
                <w:szCs w:val="24"/>
                <w:lang w:val="en-US" w:eastAsia="zh-CN" w:bidi="ar-SA"/>
              </w:rPr>
              <w:t>〈</w:t>
            </w:r>
            <w:r>
              <w:rPr>
                <w:rFonts w:hint="default" w:ascii="宋体" w:hAnsi="宋体" w:eastAsia="宋体" w:cs="宋体"/>
                <w:kern w:val="2"/>
                <w:sz w:val="24"/>
                <w:szCs w:val="24"/>
                <w:lang w:val="en-US" w:eastAsia="zh-CN" w:bidi="ar-SA"/>
              </w:rPr>
              <w:t>污染影响类建设项目重大变动清单（试行）</w:t>
            </w:r>
            <w:r>
              <w:rPr>
                <w:rFonts w:hint="eastAsia" w:ascii="宋体" w:hAnsi="宋体" w:eastAsia="宋体" w:cs="宋体"/>
                <w:kern w:val="2"/>
                <w:sz w:val="24"/>
                <w:szCs w:val="24"/>
                <w:lang w:val="en-US" w:eastAsia="zh-CN" w:bidi="ar-SA"/>
              </w:rPr>
              <w:t>〉的通知》</w:t>
            </w:r>
            <w:r>
              <w:rPr>
                <w:rFonts w:hint="default" w:ascii="宋体" w:hAnsi="宋体" w:eastAsia="宋体" w:cs="宋体"/>
                <w:kern w:val="2"/>
                <w:sz w:val="24"/>
                <w:szCs w:val="24"/>
                <w:lang w:val="en-US" w:eastAsia="zh-CN" w:bidi="ar-SA"/>
              </w:rPr>
              <w:t>（环办环评函〔2020〕688号）及新疆维吾尔自治区生态环境厅《关于印发</w:t>
            </w:r>
            <w:r>
              <w:rPr>
                <w:rFonts w:hint="eastAsia" w:ascii="宋体" w:hAnsi="宋体" w:eastAsia="宋体" w:cs="宋体"/>
                <w:kern w:val="2"/>
                <w:sz w:val="24"/>
                <w:szCs w:val="24"/>
                <w:lang w:val="en-US" w:eastAsia="zh-CN" w:bidi="ar-SA"/>
              </w:rPr>
              <w:t>〈</w:t>
            </w:r>
            <w:r>
              <w:rPr>
                <w:rFonts w:hint="default" w:ascii="宋体" w:hAnsi="宋体" w:eastAsia="宋体" w:cs="宋体"/>
                <w:kern w:val="2"/>
                <w:sz w:val="24"/>
                <w:szCs w:val="24"/>
                <w:lang w:val="en-US" w:eastAsia="zh-CN" w:bidi="ar-SA"/>
              </w:rPr>
              <w:t>新疆维吾尔自治区环境影响评价管理中建设项目重大变动界定程序规定</w:t>
            </w:r>
            <w:r>
              <w:rPr>
                <w:rFonts w:hint="eastAsia" w:ascii="宋体" w:hAnsi="宋体" w:eastAsia="宋体" w:cs="宋体"/>
                <w:kern w:val="2"/>
                <w:sz w:val="24"/>
                <w:szCs w:val="24"/>
                <w:lang w:val="en-US" w:eastAsia="zh-CN" w:bidi="ar-SA"/>
              </w:rPr>
              <w:t>〉的通知》</w:t>
            </w:r>
            <w:r>
              <w:rPr>
                <w:rFonts w:hint="default" w:ascii="宋体" w:hAnsi="宋体" w:eastAsia="宋体" w:cs="宋体"/>
                <w:kern w:val="2"/>
                <w:sz w:val="24"/>
                <w:szCs w:val="24"/>
                <w:lang w:val="en-US" w:eastAsia="zh-CN" w:bidi="ar-SA"/>
              </w:rPr>
              <w:t>（新环环评发〔2019〕140号）等国家及自治区相关标准规范，均不属于重大变动。</w:t>
            </w:r>
          </w:p>
        </w:tc>
      </w:tr>
    </w:tbl>
    <w:p w14:paraId="09E4DB23">
      <w:pPr>
        <w:pStyle w:val="11"/>
        <w:ind w:left="0" w:leftChars="0" w:firstLine="0" w:firstLineChars="0"/>
        <w:rPr>
          <w:rStyle w:val="18"/>
          <w:rFonts w:hint="default" w:ascii="Times New Roman" w:hAnsi="Times New Roman" w:cs="Times New Roman"/>
          <w:color w:val="auto"/>
          <w:highlight w:val="none"/>
        </w:rPr>
      </w:pPr>
      <w:bookmarkStart w:id="4" w:name="_Toc22260"/>
      <w:bookmarkStart w:id="5" w:name="_Toc27088"/>
      <w:r>
        <w:rPr>
          <w:rStyle w:val="18"/>
          <w:rFonts w:hint="default" w:ascii="Times New Roman" w:hAnsi="Times New Roman" w:cs="Times New Roman"/>
          <w:color w:val="auto"/>
          <w:highlight w:val="none"/>
        </w:rPr>
        <w:t>表三  主要污染源及环保措施</w:t>
      </w:r>
      <w:bookmarkEnd w:id="4"/>
    </w:p>
    <w:bookmarkEnd w:id="5"/>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3A7DC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2D222D05">
            <w:pPr>
              <w:pStyle w:val="11"/>
              <w:ind w:left="0" w:leftChars="0" w:firstLine="0" w:firstLineChars="0"/>
              <w:rPr>
                <w:rFonts w:hint="default" w:ascii="Times New Roman" w:hAnsi="Times New Roman" w:cs="Times New Roman"/>
                <w:b/>
                <w:bCs/>
                <w:color w:val="auto"/>
                <w:sz w:val="28"/>
                <w:highlight w:val="none"/>
              </w:rPr>
            </w:pPr>
            <w:r>
              <w:rPr>
                <w:rFonts w:hint="default" w:ascii="Times New Roman" w:hAnsi="Times New Roman" w:cs="Times New Roman"/>
                <w:b/>
                <w:bCs/>
                <w:color w:val="auto"/>
                <w:sz w:val="28"/>
                <w:szCs w:val="28"/>
              </w:rPr>
              <w:t>3.1</w:t>
            </w:r>
            <w:r>
              <w:rPr>
                <w:rFonts w:hint="default" w:ascii="Times New Roman" w:hAnsi="Times New Roman" w:cs="Times New Roman"/>
                <w:b/>
                <w:bCs/>
                <w:color w:val="auto"/>
                <w:sz w:val="28"/>
                <w:highlight w:val="none"/>
              </w:rPr>
              <w:t>废气</w:t>
            </w:r>
          </w:p>
          <w:p w14:paraId="69677ACB">
            <w:pPr>
              <w:pStyle w:val="20"/>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sz w:val="24"/>
                <w:szCs w:val="24"/>
              </w:rPr>
            </w:pPr>
            <w:r>
              <w:rPr>
                <w:sz w:val="24"/>
                <w:szCs w:val="24"/>
              </w:rPr>
              <w:t>本项目运营期废气主要有待宰车间、屠宰车间、固废储存区以及污水处理设施产生的恶臭。</w:t>
            </w:r>
          </w:p>
          <w:p w14:paraId="0E73BB8F">
            <w:pPr>
              <w:pStyle w:val="20"/>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spacing w:val="8"/>
                <w:sz w:val="24"/>
                <w:szCs w:val="24"/>
                <w:lang w:eastAsia="zh-CN"/>
              </w:rPr>
            </w:pPr>
            <w:r>
              <w:rPr>
                <w:rFonts w:hint="eastAsia"/>
                <w:sz w:val="24"/>
                <w:szCs w:val="24"/>
                <w:lang w:eastAsia="zh-CN"/>
              </w:rPr>
              <w:t>（</w:t>
            </w:r>
            <w:r>
              <w:rPr>
                <w:rFonts w:hint="eastAsia"/>
                <w:sz w:val="24"/>
                <w:szCs w:val="24"/>
                <w:lang w:val="en-US" w:eastAsia="zh-CN"/>
              </w:rPr>
              <w:t>1）</w:t>
            </w:r>
            <w:r>
              <w:rPr>
                <w:sz w:val="24"/>
                <w:szCs w:val="24"/>
              </w:rPr>
              <w:t>待宰车间、屠宰车间、固废储存区产生的</w:t>
            </w:r>
            <w:r>
              <w:rPr>
                <w:rFonts w:hint="eastAsia"/>
                <w:spacing w:val="8"/>
                <w:sz w:val="24"/>
                <w:szCs w:val="24"/>
                <w:lang w:val="en-US" w:eastAsia="zh-CN"/>
              </w:rPr>
              <w:t>主要污染物为氨、硫化氢、臭气浓度；</w:t>
            </w:r>
            <w:r>
              <w:rPr>
                <w:sz w:val="24"/>
                <w:szCs w:val="24"/>
              </w:rPr>
              <w:t>经UV</w:t>
            </w:r>
            <w:r>
              <w:rPr>
                <w:spacing w:val="8"/>
                <w:sz w:val="24"/>
                <w:szCs w:val="24"/>
              </w:rPr>
              <w:t>光解除臭+活性炭吸附一体机工艺处理后</w:t>
            </w:r>
            <w:r>
              <w:rPr>
                <w:rFonts w:hint="eastAsia"/>
                <w:spacing w:val="8"/>
                <w:sz w:val="24"/>
                <w:szCs w:val="24"/>
                <w:lang w:eastAsia="zh-CN"/>
              </w:rPr>
              <w:t>，</w:t>
            </w:r>
            <w:r>
              <w:rPr>
                <w:rFonts w:hint="eastAsia"/>
                <w:spacing w:val="8"/>
                <w:sz w:val="24"/>
                <w:szCs w:val="24"/>
                <w:lang w:val="en-US" w:eastAsia="zh-CN"/>
              </w:rPr>
              <w:t>共用一根</w:t>
            </w:r>
            <w:r>
              <w:rPr>
                <w:spacing w:val="4"/>
                <w:sz w:val="24"/>
                <w:szCs w:val="24"/>
              </w:rPr>
              <w:t>15m高排气筒</w:t>
            </w:r>
            <w:r>
              <w:rPr>
                <w:spacing w:val="8"/>
                <w:sz w:val="24"/>
                <w:szCs w:val="24"/>
              </w:rPr>
              <w:t>有组织排放</w:t>
            </w:r>
            <w:r>
              <w:rPr>
                <w:rFonts w:hint="eastAsia"/>
                <w:spacing w:val="8"/>
                <w:sz w:val="24"/>
                <w:szCs w:val="24"/>
                <w:lang w:eastAsia="zh-CN"/>
              </w:rPr>
              <w:t>（</w:t>
            </w:r>
            <w:r>
              <w:rPr>
                <w:rFonts w:hint="eastAsia"/>
                <w:spacing w:val="8"/>
                <w:sz w:val="24"/>
                <w:szCs w:val="24"/>
                <w:lang w:val="en-US" w:eastAsia="zh-CN"/>
              </w:rPr>
              <w:t>DA001）</w:t>
            </w:r>
            <w:r>
              <w:rPr>
                <w:rFonts w:hint="eastAsia"/>
                <w:spacing w:val="8"/>
                <w:sz w:val="24"/>
                <w:szCs w:val="24"/>
                <w:lang w:eastAsia="zh-CN"/>
              </w:rPr>
              <w:t>。</w:t>
            </w:r>
          </w:p>
          <w:p w14:paraId="10D0B0F1">
            <w:pPr>
              <w:pStyle w:val="20"/>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default" w:eastAsia="宋体"/>
                <w:spacing w:val="8"/>
                <w:sz w:val="24"/>
                <w:szCs w:val="24"/>
                <w:lang w:val="en-US" w:eastAsia="zh-CN"/>
              </w:rPr>
            </w:pPr>
            <w:r>
              <w:rPr>
                <w:rFonts w:hint="eastAsia"/>
                <w:sz w:val="24"/>
                <w:szCs w:val="24"/>
                <w:lang w:eastAsia="zh-CN"/>
              </w:rPr>
              <w:t>（</w:t>
            </w:r>
            <w:r>
              <w:rPr>
                <w:rFonts w:hint="eastAsia"/>
                <w:sz w:val="24"/>
                <w:szCs w:val="24"/>
                <w:lang w:val="en-US" w:eastAsia="zh-CN"/>
              </w:rPr>
              <w:t>2）</w:t>
            </w:r>
            <w:r>
              <w:rPr>
                <w:sz w:val="24"/>
                <w:szCs w:val="24"/>
              </w:rPr>
              <w:t>污水处理设施产生的恶臭</w:t>
            </w:r>
            <w:r>
              <w:rPr>
                <w:rFonts w:hint="eastAsia"/>
                <w:spacing w:val="8"/>
                <w:sz w:val="24"/>
                <w:szCs w:val="24"/>
                <w:lang w:val="en-US" w:eastAsia="zh-CN"/>
              </w:rPr>
              <w:t>主要污染物为氨、硫化氢、臭气浓度，</w:t>
            </w:r>
            <w:r>
              <w:rPr>
                <w:sz w:val="24"/>
                <w:szCs w:val="24"/>
              </w:rPr>
              <w:t>经活性炭吸附处理后</w:t>
            </w:r>
            <w:r>
              <w:rPr>
                <w:rFonts w:hint="eastAsia"/>
                <w:sz w:val="24"/>
                <w:szCs w:val="24"/>
                <w:lang w:eastAsia="zh-CN"/>
              </w:rPr>
              <w:t>，</w:t>
            </w:r>
            <w:r>
              <w:rPr>
                <w:rFonts w:hint="eastAsia"/>
                <w:sz w:val="24"/>
                <w:szCs w:val="24"/>
                <w:lang w:val="en-US" w:eastAsia="zh-CN"/>
              </w:rPr>
              <w:t>经15m高排气筒</w:t>
            </w:r>
            <w:r>
              <w:rPr>
                <w:sz w:val="24"/>
                <w:szCs w:val="24"/>
              </w:rPr>
              <w:t>有组织</w:t>
            </w:r>
            <w:r>
              <w:rPr>
                <w:spacing w:val="7"/>
                <w:sz w:val="24"/>
                <w:szCs w:val="24"/>
              </w:rPr>
              <w:t>排放</w:t>
            </w:r>
            <w:r>
              <w:rPr>
                <w:rFonts w:hint="eastAsia"/>
                <w:spacing w:val="7"/>
                <w:sz w:val="24"/>
                <w:szCs w:val="24"/>
                <w:lang w:eastAsia="zh-CN"/>
              </w:rPr>
              <w:t>（</w:t>
            </w:r>
            <w:r>
              <w:rPr>
                <w:rFonts w:hint="eastAsia"/>
                <w:spacing w:val="7"/>
                <w:sz w:val="24"/>
                <w:szCs w:val="24"/>
                <w:lang w:val="en-US" w:eastAsia="zh-CN"/>
              </w:rPr>
              <w:t>DA002）。</w:t>
            </w:r>
          </w:p>
          <w:p w14:paraId="6481E4E7">
            <w:pPr>
              <w:keepNext w:val="0"/>
              <w:keepLines w:val="0"/>
              <w:pageBreakBefore w:val="0"/>
              <w:widowControl w:val="0"/>
              <w:kinsoku/>
              <w:wordWrap/>
              <w:overflowPunct/>
              <w:topLinePunct w:val="0"/>
              <w:autoSpaceDE/>
              <w:autoSpaceDN/>
              <w:bidi w:val="0"/>
              <w:adjustRightInd/>
              <w:snapToGrid/>
              <w:ind w:firstLine="567"/>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highlight w:val="none"/>
                <w:lang w:val="en-US" w:eastAsia="zh-CN"/>
              </w:rPr>
              <w:t>废气产排情况见表3-1。</w:t>
            </w:r>
          </w:p>
          <w:p w14:paraId="2071719E">
            <w:pPr>
              <w:keepNext w:val="0"/>
              <w:keepLines w:val="0"/>
              <w:pageBreakBefore w:val="0"/>
              <w:widowControl w:val="0"/>
              <w:kinsoku/>
              <w:wordWrap/>
              <w:overflowPunct/>
              <w:topLinePunct w:val="0"/>
              <w:autoSpaceDE/>
              <w:autoSpaceDN/>
              <w:bidi w:val="0"/>
              <w:adjustRightInd w:val="0"/>
              <w:snapToGrid w:val="0"/>
              <w:jc w:val="both"/>
              <w:textAlignment w:val="auto"/>
              <w:rPr>
                <w:rFonts w:hint="default" w:ascii="Times New Roman" w:hAnsi="Times New Roman" w:cs="Times New Roman"/>
                <w:b/>
                <w:color w:val="auto"/>
                <w:szCs w:val="22"/>
              </w:rPr>
            </w:pPr>
            <w:r>
              <w:rPr>
                <w:rFonts w:hint="default" w:ascii="Times New Roman" w:hAnsi="Times New Roman" w:cs="Times New Roman"/>
                <w:b/>
                <w:color w:val="auto"/>
                <w:sz w:val="24"/>
                <w:szCs w:val="28"/>
              </w:rPr>
              <w:t xml:space="preserve">表3-1                  </w:t>
            </w:r>
            <w:r>
              <w:rPr>
                <w:rFonts w:hint="default" w:ascii="Times New Roman" w:hAnsi="Times New Roman" w:cs="Times New Roman"/>
                <w:b/>
                <w:color w:val="auto"/>
                <w:sz w:val="24"/>
                <w:szCs w:val="28"/>
                <w:lang w:val="en-US" w:eastAsia="zh-CN"/>
              </w:rPr>
              <w:t xml:space="preserve">   </w:t>
            </w:r>
            <w:r>
              <w:rPr>
                <w:rFonts w:hint="default" w:ascii="Times New Roman" w:hAnsi="Times New Roman" w:cs="Times New Roman"/>
                <w:b/>
                <w:color w:val="auto"/>
                <w:sz w:val="24"/>
                <w:szCs w:val="28"/>
              </w:rPr>
              <w:t>项目废气产排情况一览表</w:t>
            </w:r>
          </w:p>
          <w:tbl>
            <w:tblPr>
              <w:tblStyle w:val="15"/>
              <w:tblW w:w="4989"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74" w:type="dxa"/>
                <w:bottom w:w="0" w:type="dxa"/>
                <w:right w:w="74" w:type="dxa"/>
              </w:tblCellMar>
            </w:tblPr>
            <w:tblGrid>
              <w:gridCol w:w="697"/>
              <w:gridCol w:w="715"/>
              <w:gridCol w:w="1088"/>
              <w:gridCol w:w="2991"/>
              <w:gridCol w:w="2797"/>
            </w:tblGrid>
            <w:tr w14:paraId="0094834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74" w:type="dxa"/>
                  <w:bottom w:w="0" w:type="dxa"/>
                  <w:right w:w="74" w:type="dxa"/>
                </w:tblCellMar>
              </w:tblPrEx>
              <w:trPr>
                <w:trHeight w:val="429" w:hRule="atLeast"/>
                <w:jc w:val="center"/>
              </w:trPr>
              <w:tc>
                <w:tcPr>
                  <w:tcW w:w="420" w:type="pct"/>
                  <w:noWrap w:val="0"/>
                  <w:vAlign w:val="center"/>
                </w:tcPr>
                <w:p w14:paraId="01D09250">
                  <w:pPr>
                    <w:jc w:val="center"/>
                    <w:rPr>
                      <w:rFonts w:hint="default" w:ascii="Times New Roman" w:hAnsi="Times New Roman" w:eastAsia="宋体" w:cs="Times New Roman"/>
                      <w:b/>
                      <w:bCs/>
                      <w:color w:val="auto"/>
                      <w:kern w:val="2"/>
                      <w:sz w:val="21"/>
                      <w:szCs w:val="21"/>
                      <w:lang w:val="en-US" w:eastAsia="zh-CN" w:bidi="ar-SA"/>
                    </w:rPr>
                  </w:pPr>
                  <w:r>
                    <w:rPr>
                      <w:rFonts w:hint="default" w:ascii="Times New Roman" w:hAnsi="Times New Roman" w:eastAsia="宋体" w:cs="Times New Roman"/>
                      <w:b/>
                      <w:bCs/>
                      <w:color w:val="auto"/>
                      <w:kern w:val="2"/>
                      <w:sz w:val="21"/>
                      <w:szCs w:val="21"/>
                      <w:lang w:val="en-US" w:eastAsia="zh-CN" w:bidi="ar-SA"/>
                    </w:rPr>
                    <w:t>项目</w:t>
                  </w:r>
                </w:p>
              </w:tc>
              <w:tc>
                <w:tcPr>
                  <w:tcW w:w="431" w:type="pct"/>
                  <w:noWrap w:val="0"/>
                  <w:vAlign w:val="center"/>
                </w:tcPr>
                <w:p w14:paraId="63C0C96B">
                  <w:pPr>
                    <w:jc w:val="center"/>
                    <w:rPr>
                      <w:rFonts w:hint="default" w:ascii="Times New Roman" w:hAnsi="Times New Roman" w:cs="Times New Roman"/>
                      <w:b/>
                      <w:bCs/>
                      <w:color w:val="auto"/>
                      <w:sz w:val="21"/>
                      <w:szCs w:val="21"/>
                      <w:lang w:eastAsia="zh-CN"/>
                    </w:rPr>
                  </w:pPr>
                  <w:r>
                    <w:rPr>
                      <w:rFonts w:hint="default" w:ascii="Times New Roman" w:hAnsi="Times New Roman" w:cs="Times New Roman"/>
                      <w:b/>
                      <w:bCs/>
                      <w:color w:val="auto"/>
                      <w:sz w:val="21"/>
                      <w:szCs w:val="21"/>
                      <w:lang w:eastAsia="zh-CN"/>
                    </w:rPr>
                    <w:t>产污</w:t>
                  </w:r>
                </w:p>
                <w:p w14:paraId="2B5BA98C">
                  <w:pPr>
                    <w:jc w:val="center"/>
                    <w:rPr>
                      <w:rFonts w:hint="default" w:ascii="Times New Roman" w:hAnsi="Times New Roman" w:eastAsia="宋体" w:cs="Times New Roman"/>
                      <w:b/>
                      <w:bCs/>
                      <w:color w:val="auto"/>
                      <w:sz w:val="21"/>
                      <w:szCs w:val="21"/>
                      <w:lang w:eastAsia="zh-CN"/>
                    </w:rPr>
                  </w:pPr>
                  <w:r>
                    <w:rPr>
                      <w:rFonts w:hint="default" w:ascii="Times New Roman" w:hAnsi="Times New Roman" w:cs="Times New Roman"/>
                      <w:b/>
                      <w:bCs/>
                      <w:color w:val="auto"/>
                      <w:sz w:val="21"/>
                      <w:szCs w:val="21"/>
                      <w:lang w:eastAsia="zh-CN"/>
                    </w:rPr>
                    <w:t>环节</w:t>
                  </w:r>
                </w:p>
              </w:tc>
              <w:tc>
                <w:tcPr>
                  <w:tcW w:w="656" w:type="pct"/>
                  <w:noWrap w:val="0"/>
                  <w:vAlign w:val="center"/>
                </w:tcPr>
                <w:p w14:paraId="0B431E40">
                  <w:pPr>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主要</w:t>
                  </w:r>
                </w:p>
                <w:p w14:paraId="35BE380A">
                  <w:pPr>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污染物</w:t>
                  </w:r>
                </w:p>
              </w:tc>
              <w:tc>
                <w:tcPr>
                  <w:tcW w:w="1803" w:type="pct"/>
                  <w:noWrap w:val="0"/>
                  <w:vAlign w:val="center"/>
                </w:tcPr>
                <w:p w14:paraId="456DD128">
                  <w:pPr>
                    <w:jc w:val="cente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环评设计治理措施</w:t>
                  </w:r>
                </w:p>
              </w:tc>
              <w:tc>
                <w:tcPr>
                  <w:tcW w:w="1686" w:type="pct"/>
                  <w:noWrap w:val="0"/>
                  <w:vAlign w:val="center"/>
                </w:tcPr>
                <w:p w14:paraId="27D6AB7C">
                  <w:pPr>
                    <w:jc w:val="center"/>
                    <w:rPr>
                      <w:rFonts w:hint="default" w:ascii="Times New Roman" w:hAnsi="Times New Roman" w:eastAsia="宋体" w:cs="Times New Roman"/>
                      <w:b/>
                      <w:bCs/>
                      <w:color w:val="auto"/>
                      <w:kern w:val="2"/>
                      <w:sz w:val="21"/>
                      <w:szCs w:val="21"/>
                      <w:lang w:val="en-US" w:eastAsia="zh-CN" w:bidi="ar-SA"/>
                    </w:rPr>
                  </w:pPr>
                  <w:r>
                    <w:rPr>
                      <w:rFonts w:hint="default" w:ascii="Times New Roman" w:hAnsi="Times New Roman" w:eastAsia="宋体" w:cs="Times New Roman"/>
                      <w:b/>
                      <w:bCs/>
                      <w:color w:val="auto"/>
                      <w:sz w:val="21"/>
                      <w:szCs w:val="21"/>
                      <w:lang w:eastAsia="zh-CN"/>
                    </w:rPr>
                    <w:t>实际</w:t>
                  </w:r>
                  <w:r>
                    <w:rPr>
                      <w:rFonts w:hint="default" w:ascii="Times New Roman" w:hAnsi="Times New Roman" w:eastAsia="宋体" w:cs="Times New Roman"/>
                      <w:b/>
                      <w:bCs/>
                      <w:color w:val="auto"/>
                      <w:sz w:val="21"/>
                      <w:szCs w:val="21"/>
                    </w:rPr>
                    <w:t>治理措施</w:t>
                  </w:r>
                </w:p>
              </w:tc>
            </w:tr>
            <w:tr w14:paraId="4BC3D37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74" w:type="dxa"/>
                  <w:bottom w:w="0" w:type="dxa"/>
                  <w:right w:w="74" w:type="dxa"/>
                </w:tblCellMar>
              </w:tblPrEx>
              <w:trPr>
                <w:trHeight w:val="90" w:hRule="atLeast"/>
                <w:jc w:val="center"/>
              </w:trPr>
              <w:tc>
                <w:tcPr>
                  <w:tcW w:w="420" w:type="pct"/>
                  <w:noWrap w:val="0"/>
                  <w:vAlign w:val="center"/>
                </w:tcPr>
                <w:p w14:paraId="158B5289">
                  <w:pPr>
                    <w:jc w:val="left"/>
                    <w:rPr>
                      <w:sz w:val="21"/>
                      <w:szCs w:val="21"/>
                    </w:rPr>
                  </w:pPr>
                  <w:r>
                    <w:rPr>
                      <w:sz w:val="21"/>
                      <w:szCs w:val="21"/>
                    </w:rPr>
                    <w:t>待宰车间、</w:t>
                  </w:r>
                </w:p>
                <w:p w14:paraId="0E59DA76">
                  <w:pPr>
                    <w:jc w:val="left"/>
                    <w:rPr>
                      <w:sz w:val="21"/>
                      <w:szCs w:val="21"/>
                    </w:rPr>
                  </w:pPr>
                  <w:r>
                    <w:rPr>
                      <w:sz w:val="21"/>
                      <w:szCs w:val="21"/>
                    </w:rPr>
                    <w:t>屠宰车间、</w:t>
                  </w:r>
                </w:p>
                <w:p w14:paraId="2E8E1113">
                  <w:pPr>
                    <w:jc w:val="left"/>
                    <w:rPr>
                      <w:rFonts w:hint="default" w:ascii="Times New Roman" w:hAnsi="Times New Roman" w:eastAsia="宋体" w:cs="Times New Roman"/>
                      <w:color w:val="auto"/>
                      <w:sz w:val="21"/>
                      <w:szCs w:val="21"/>
                      <w:lang w:eastAsia="zh-CN"/>
                    </w:rPr>
                  </w:pPr>
                  <w:r>
                    <w:rPr>
                      <w:sz w:val="21"/>
                      <w:szCs w:val="21"/>
                    </w:rPr>
                    <w:t>固废储存区</w:t>
                  </w:r>
                </w:p>
              </w:tc>
              <w:tc>
                <w:tcPr>
                  <w:tcW w:w="431" w:type="pct"/>
                  <w:noWrap w:val="0"/>
                  <w:vAlign w:val="center"/>
                </w:tcPr>
                <w:p w14:paraId="7DC520BC">
                  <w:pPr>
                    <w:jc w:val="left"/>
                    <w:rPr>
                      <w:sz w:val="21"/>
                      <w:szCs w:val="21"/>
                    </w:rPr>
                  </w:pPr>
                  <w:r>
                    <w:rPr>
                      <w:sz w:val="21"/>
                      <w:szCs w:val="21"/>
                    </w:rPr>
                    <w:t>待宰车间、</w:t>
                  </w:r>
                </w:p>
                <w:p w14:paraId="76D872F1">
                  <w:pPr>
                    <w:jc w:val="left"/>
                    <w:rPr>
                      <w:sz w:val="21"/>
                      <w:szCs w:val="21"/>
                    </w:rPr>
                  </w:pPr>
                  <w:r>
                    <w:rPr>
                      <w:sz w:val="21"/>
                      <w:szCs w:val="21"/>
                    </w:rPr>
                    <w:t>屠宰车间、</w:t>
                  </w:r>
                </w:p>
                <w:p w14:paraId="1D0F501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color w:val="auto"/>
                      <w:sz w:val="21"/>
                      <w:szCs w:val="21"/>
                      <w:lang w:eastAsia="zh-CN"/>
                    </w:rPr>
                  </w:pPr>
                  <w:r>
                    <w:rPr>
                      <w:sz w:val="21"/>
                      <w:szCs w:val="21"/>
                    </w:rPr>
                    <w:t>固废储存区</w:t>
                  </w:r>
                </w:p>
              </w:tc>
              <w:tc>
                <w:tcPr>
                  <w:tcW w:w="656" w:type="pct"/>
                  <w:noWrap w:val="0"/>
                  <w:vAlign w:val="center"/>
                </w:tcPr>
                <w:p w14:paraId="52FDA7F0">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rPr>
                  </w:pPr>
                  <w:r>
                    <w:rPr>
                      <w:rFonts w:hint="eastAsia" w:ascii="Times New Roman" w:hAnsi="Times New Roman" w:cs="Times New Roman"/>
                      <w:color w:val="auto"/>
                      <w:sz w:val="21"/>
                      <w:szCs w:val="21"/>
                      <w:highlight w:val="none"/>
                      <w:vertAlign w:val="baseline"/>
                      <w:lang w:val="en-US" w:eastAsia="zh-CN"/>
                    </w:rPr>
                    <w:t>氨、硫化氢、臭气浓度</w:t>
                  </w:r>
                </w:p>
              </w:tc>
              <w:tc>
                <w:tcPr>
                  <w:tcW w:w="1803" w:type="pct"/>
                  <w:noWrap w:val="0"/>
                  <w:vAlign w:val="center"/>
                </w:tcPr>
                <w:p w14:paraId="32C9B911">
                  <w:pPr>
                    <w:jc w:val="center"/>
                    <w:rPr>
                      <w:rFonts w:hint="eastAsia" w:ascii="宋体" w:hAnsi="宋体" w:eastAsia="宋体" w:cs="宋体"/>
                    </w:rPr>
                  </w:pPr>
                  <w:r>
                    <w:rPr>
                      <w:rFonts w:hint="eastAsia" w:ascii="宋体" w:hAnsi="宋体" w:eastAsia="宋体" w:cs="宋体"/>
                    </w:rPr>
                    <w:t>经UV光解除臭+活性炭吸</w:t>
                  </w:r>
                </w:p>
                <w:p w14:paraId="67A7CF91">
                  <w:pPr>
                    <w:jc w:val="center"/>
                    <w:rPr>
                      <w:rFonts w:hint="eastAsia" w:ascii="宋体" w:hAnsi="宋体" w:eastAsia="宋体" w:cs="宋体"/>
                    </w:rPr>
                  </w:pPr>
                  <w:r>
                    <w:rPr>
                      <w:rFonts w:hint="eastAsia" w:ascii="宋体" w:hAnsi="宋体" w:eastAsia="宋体" w:cs="宋体"/>
                    </w:rPr>
                    <w:t>附一体机工艺处理后经15m</w:t>
                  </w:r>
                </w:p>
                <w:p w14:paraId="1935FB2F">
                  <w:pPr>
                    <w:jc w:val="center"/>
                    <w:rPr>
                      <w:rFonts w:hint="eastAsia" w:ascii="宋体" w:hAnsi="宋体" w:eastAsia="宋体" w:cs="宋体"/>
                      <w:lang w:eastAsia="zh-CN"/>
                    </w:rPr>
                  </w:pPr>
                  <w:r>
                    <w:rPr>
                      <w:rFonts w:hint="eastAsia" w:ascii="宋体" w:hAnsi="宋体" w:eastAsia="宋体" w:cs="宋体"/>
                    </w:rPr>
                    <w:t>高排气筒排放</w:t>
                  </w:r>
                  <w:r>
                    <w:rPr>
                      <w:rFonts w:hint="eastAsia" w:ascii="宋体" w:hAnsi="宋体" w:eastAsia="宋体" w:cs="宋体"/>
                      <w:lang w:eastAsia="zh-CN"/>
                    </w:rPr>
                    <w:t>。</w:t>
                  </w:r>
                </w:p>
              </w:tc>
              <w:tc>
                <w:tcPr>
                  <w:tcW w:w="1686" w:type="pct"/>
                  <w:shd w:val="clear" w:color="auto" w:fill="auto"/>
                  <w:noWrap w:val="0"/>
                  <w:vAlign w:val="center"/>
                </w:tcPr>
                <w:p w14:paraId="26C52CDA">
                  <w:pPr>
                    <w:jc w:val="center"/>
                    <w:rPr>
                      <w:rFonts w:hint="eastAsia" w:ascii="宋体" w:hAnsi="宋体" w:eastAsia="宋体" w:cs="宋体"/>
                    </w:rPr>
                  </w:pPr>
                  <w:r>
                    <w:rPr>
                      <w:rFonts w:hint="eastAsia" w:ascii="宋体" w:hAnsi="宋体" w:eastAsia="宋体" w:cs="宋体"/>
                    </w:rPr>
                    <w:t>经UV光解除臭+活性炭吸</w:t>
                  </w:r>
                </w:p>
                <w:p w14:paraId="459B8A7D">
                  <w:pPr>
                    <w:jc w:val="center"/>
                    <w:rPr>
                      <w:rFonts w:hint="eastAsia" w:ascii="宋体" w:hAnsi="宋体" w:eastAsia="宋体" w:cs="宋体"/>
                    </w:rPr>
                  </w:pPr>
                  <w:r>
                    <w:rPr>
                      <w:rFonts w:hint="eastAsia" w:ascii="宋体" w:hAnsi="宋体" w:eastAsia="宋体" w:cs="宋体"/>
                    </w:rPr>
                    <w:t>附一体机工艺处理后经15m</w:t>
                  </w:r>
                </w:p>
                <w:p w14:paraId="55E8EC84">
                  <w:pPr>
                    <w:jc w:val="center"/>
                    <w:rPr>
                      <w:rFonts w:hint="eastAsia" w:ascii="宋体" w:hAnsi="宋体" w:eastAsia="宋体" w:cs="宋体"/>
                      <w:lang w:val="en-US"/>
                    </w:rPr>
                  </w:pPr>
                  <w:r>
                    <w:rPr>
                      <w:rFonts w:hint="eastAsia" w:ascii="宋体" w:hAnsi="宋体" w:eastAsia="宋体" w:cs="宋体"/>
                    </w:rPr>
                    <w:t>高排气筒</w:t>
                  </w:r>
                  <w:r>
                    <w:rPr>
                      <w:rFonts w:hint="eastAsia" w:ascii="宋体" w:hAnsi="宋体" w:eastAsia="宋体" w:cs="宋体"/>
                      <w:lang w:eastAsia="zh-CN"/>
                    </w:rPr>
                    <w:t>（</w:t>
                  </w:r>
                  <w:r>
                    <w:rPr>
                      <w:rFonts w:hint="eastAsia" w:ascii="宋体" w:hAnsi="宋体" w:eastAsia="宋体" w:cs="宋体"/>
                      <w:lang w:val="en-US" w:eastAsia="zh-CN"/>
                    </w:rPr>
                    <w:t>DA001）</w:t>
                  </w:r>
                  <w:r>
                    <w:rPr>
                      <w:rFonts w:hint="eastAsia" w:ascii="宋体" w:hAnsi="宋体" w:eastAsia="宋体" w:cs="宋体"/>
                    </w:rPr>
                    <w:t>排放</w:t>
                  </w:r>
                </w:p>
              </w:tc>
            </w:tr>
            <w:tr w14:paraId="7802A82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74" w:type="dxa"/>
                  <w:bottom w:w="0" w:type="dxa"/>
                  <w:right w:w="74" w:type="dxa"/>
                </w:tblCellMar>
              </w:tblPrEx>
              <w:trPr>
                <w:trHeight w:val="707" w:hRule="atLeast"/>
                <w:jc w:val="center"/>
              </w:trPr>
              <w:tc>
                <w:tcPr>
                  <w:tcW w:w="420" w:type="pct"/>
                  <w:noWrap w:val="0"/>
                  <w:vAlign w:val="center"/>
                </w:tcPr>
                <w:p w14:paraId="5C764835">
                  <w:pPr>
                    <w:jc w:val="center"/>
                    <w:rPr>
                      <w:rFonts w:hint="default" w:ascii="Times New Roman" w:hAnsi="Times New Roman"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污水处理站</w:t>
                  </w:r>
                </w:p>
              </w:tc>
              <w:tc>
                <w:tcPr>
                  <w:tcW w:w="431" w:type="pct"/>
                  <w:shd w:val="clear" w:color="auto" w:fill="auto"/>
                  <w:noWrap w:val="0"/>
                  <w:vAlign w:val="center"/>
                </w:tcPr>
                <w:p w14:paraId="3BC36BB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kern w:val="2"/>
                      <w:sz w:val="21"/>
                      <w:szCs w:val="21"/>
                      <w:highlight w:val="none"/>
                      <w:vertAlign w:val="baseline"/>
                      <w:lang w:val="en-US" w:eastAsia="zh-CN" w:bidi="ar-SA"/>
                    </w:rPr>
                    <w:t>污水处理</w:t>
                  </w:r>
                </w:p>
              </w:tc>
              <w:tc>
                <w:tcPr>
                  <w:tcW w:w="656" w:type="pct"/>
                  <w:shd w:val="clear" w:color="auto" w:fill="auto"/>
                  <w:noWrap w:val="0"/>
                  <w:vAlign w:val="center"/>
                </w:tcPr>
                <w:p w14:paraId="3CFA1DC0">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sz w:val="21"/>
                      <w:szCs w:val="21"/>
                      <w:highlight w:val="none"/>
                      <w:vertAlign w:val="baseline"/>
                      <w:lang w:val="en-US" w:eastAsia="zh-CN"/>
                    </w:rPr>
                    <w:t>氨、硫化氢、臭气浓度</w:t>
                  </w:r>
                </w:p>
              </w:tc>
              <w:tc>
                <w:tcPr>
                  <w:tcW w:w="1803" w:type="pct"/>
                  <w:noWrap w:val="0"/>
                  <w:vAlign w:val="center"/>
                </w:tcPr>
                <w:p w14:paraId="03475A74">
                  <w:pPr>
                    <w:jc w:val="left"/>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ascii="宋体" w:hAnsi="宋体" w:eastAsia="宋体" w:cs="宋体"/>
                    </w:rPr>
                    <w:t>采用加盖封闭式设计，通过风机抽吸作用，将恶臭气体收集后引至活性炭吸附除臭设备处理，通过15m 高排气筒排放</w:t>
                  </w:r>
                  <w:r>
                    <w:rPr>
                      <w:rFonts w:hint="eastAsia" w:ascii="宋体" w:hAnsi="宋体" w:eastAsia="宋体" w:cs="宋体"/>
                      <w:lang w:eastAsia="zh-CN"/>
                    </w:rPr>
                    <w:t>。</w:t>
                  </w:r>
                </w:p>
              </w:tc>
              <w:tc>
                <w:tcPr>
                  <w:tcW w:w="1686" w:type="pct"/>
                  <w:noWrap w:val="0"/>
                  <w:vAlign w:val="center"/>
                </w:tcPr>
                <w:p w14:paraId="49DE48A6">
                  <w:pPr>
                    <w:pStyle w:val="27"/>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color w:val="auto"/>
                      <w:sz w:val="21"/>
                      <w:szCs w:val="21"/>
                    </w:rPr>
                  </w:pPr>
                  <w:r>
                    <w:rPr>
                      <w:rFonts w:hint="eastAsia" w:ascii="宋体" w:hAnsi="宋体" w:eastAsia="宋体" w:cs="宋体"/>
                    </w:rPr>
                    <w:t>采用加盖封闭式设计，通过风机抽吸作用，将恶臭气体收集后引至活性炭吸附除臭设备处理，通过15m高排气筒</w:t>
                  </w:r>
                  <w:r>
                    <w:rPr>
                      <w:rFonts w:hint="eastAsia" w:ascii="宋体" w:hAnsi="宋体" w:eastAsia="宋体" w:cs="宋体"/>
                      <w:lang w:eastAsia="zh-CN"/>
                    </w:rPr>
                    <w:t>（</w:t>
                  </w:r>
                  <w:r>
                    <w:rPr>
                      <w:rFonts w:hint="eastAsia" w:ascii="Times New Roman" w:hAnsi="Times New Roman" w:eastAsia="宋体" w:cs="Times New Roman"/>
                      <w:color w:val="auto"/>
                      <w:sz w:val="21"/>
                      <w:szCs w:val="21"/>
                      <w:lang w:val="en-US" w:eastAsia="zh-CN"/>
                    </w:rPr>
                    <w:t>DA002）</w:t>
                  </w:r>
                  <w:r>
                    <w:rPr>
                      <w:rFonts w:hint="eastAsia" w:ascii="宋体" w:hAnsi="宋体" w:eastAsia="宋体" w:cs="宋体"/>
                    </w:rPr>
                    <w:t>排放</w:t>
                  </w:r>
                </w:p>
              </w:tc>
            </w:tr>
          </w:tbl>
          <w:p w14:paraId="2F6F6C28">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3.2废水</w:t>
            </w:r>
          </w:p>
          <w:p w14:paraId="21B0E9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本项目为屠宰项目，运营过程中产生的废水主要为屠宰废水，其次为少量生活污水。</w:t>
            </w:r>
            <w:r>
              <w:rPr>
                <w:rFonts w:hint="eastAsia" w:ascii="宋体" w:hAnsi="宋体" w:eastAsia="宋体" w:cs="宋体"/>
                <w:sz w:val="24"/>
                <w:szCs w:val="24"/>
                <w:lang w:val="en-US" w:eastAsia="zh-CN"/>
              </w:rPr>
              <w:t>主要污染因子为</w:t>
            </w:r>
            <w:r>
              <w:rPr>
                <w:rFonts w:hint="eastAsia" w:ascii="宋体" w:hAnsi="宋体" w:eastAsia="宋体" w:cs="宋体"/>
                <w:sz w:val="24"/>
                <w:szCs w:val="24"/>
                <w:lang w:eastAsia="zh-CN"/>
              </w:rPr>
              <w:t>五日生化需氧量、</w:t>
            </w:r>
            <w:r>
              <w:rPr>
                <w:rFonts w:hint="eastAsia" w:ascii="宋体" w:hAnsi="宋体" w:eastAsia="宋体" w:cs="宋体"/>
                <w:sz w:val="24"/>
                <w:szCs w:val="24"/>
              </w:rPr>
              <w:t>化学需氧量</w:t>
            </w:r>
            <w:r>
              <w:rPr>
                <w:rFonts w:hint="eastAsia" w:ascii="宋体" w:hAnsi="宋体" w:eastAsia="宋体" w:cs="宋体"/>
                <w:sz w:val="24"/>
                <w:szCs w:val="24"/>
                <w:lang w:eastAsia="zh-CN"/>
              </w:rPr>
              <w:t>、</w:t>
            </w:r>
            <w:r>
              <w:rPr>
                <w:rFonts w:hint="eastAsia" w:ascii="宋体" w:hAnsi="宋体" w:eastAsia="宋体" w:cs="宋体"/>
                <w:sz w:val="24"/>
                <w:szCs w:val="24"/>
              </w:rPr>
              <w:t>氨氮</w:t>
            </w:r>
            <w:r>
              <w:rPr>
                <w:rFonts w:hint="eastAsia" w:ascii="宋体" w:hAnsi="宋体" w:eastAsia="宋体" w:cs="宋体"/>
                <w:sz w:val="24"/>
                <w:szCs w:val="24"/>
                <w:lang w:eastAsia="zh-CN"/>
              </w:rPr>
              <w:t>、悬浮物、</w:t>
            </w:r>
            <w:r>
              <w:rPr>
                <w:rFonts w:hint="eastAsia" w:ascii="宋体" w:hAnsi="宋体" w:eastAsia="宋体" w:cs="宋体"/>
                <w:sz w:val="24"/>
                <w:szCs w:val="24"/>
              </w:rPr>
              <w:t>粪大肠菌群</w:t>
            </w:r>
            <w:r>
              <w:rPr>
                <w:rFonts w:hint="eastAsia" w:ascii="宋体" w:hAnsi="宋体" w:eastAsia="宋体" w:cs="宋体"/>
                <w:sz w:val="24"/>
                <w:szCs w:val="24"/>
                <w:lang w:eastAsia="zh-CN"/>
              </w:rPr>
              <w:t>、动植物油、总磷、总氮、</w:t>
            </w:r>
            <w:r>
              <w:rPr>
                <w:rFonts w:hint="eastAsia" w:ascii="宋体" w:hAnsi="宋体" w:eastAsia="宋体" w:cs="宋体"/>
                <w:sz w:val="24"/>
                <w:szCs w:val="24"/>
                <w:lang w:val="en-US" w:eastAsia="zh-CN"/>
              </w:rPr>
              <w:t>阴离子表面活性剂。排放量约为40000t/a。</w:t>
            </w:r>
          </w:p>
          <w:p w14:paraId="45A61B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污水排入项目自建污水处理设施内</w:t>
            </w:r>
            <w:r>
              <w:rPr>
                <w:rFonts w:hint="eastAsia" w:ascii="宋体" w:hAnsi="宋体" w:eastAsia="宋体" w:cs="宋体"/>
                <w:sz w:val="24"/>
                <w:szCs w:val="24"/>
                <w:lang w:val="en-US" w:eastAsia="zh-CN"/>
              </w:rPr>
              <w:t>经</w:t>
            </w:r>
            <w:r>
              <w:rPr>
                <w:rFonts w:hint="eastAsia" w:ascii="宋体" w:hAnsi="宋体" w:eastAsia="宋体" w:cs="宋体"/>
                <w:sz w:val="24"/>
                <w:szCs w:val="24"/>
              </w:rPr>
              <w:t>预处理：采用粗格栅及细格栅+旋流沉砂池</w:t>
            </w:r>
            <w:r>
              <w:rPr>
                <w:rFonts w:hint="eastAsia" w:ascii="宋体" w:hAnsi="宋体" w:eastAsia="宋体" w:cs="宋体"/>
                <w:sz w:val="24"/>
                <w:szCs w:val="24"/>
                <w:lang w:eastAsia="zh-CN"/>
              </w:rPr>
              <w:t>；</w:t>
            </w:r>
            <w:r>
              <w:rPr>
                <w:rFonts w:hint="eastAsia" w:ascii="宋体" w:hAnsi="宋体" w:eastAsia="宋体" w:cs="宋体"/>
                <w:sz w:val="24"/>
                <w:szCs w:val="24"/>
              </w:rPr>
              <w:t>生化处理</w:t>
            </w:r>
            <w:r>
              <w:rPr>
                <w:rFonts w:hint="eastAsia" w:ascii="宋体" w:hAnsi="宋体" w:eastAsia="宋体" w:cs="宋体"/>
                <w:sz w:val="24"/>
                <w:szCs w:val="24"/>
                <w:lang w:eastAsia="zh-CN"/>
              </w:rPr>
              <w:t>：</w:t>
            </w:r>
            <w:r>
              <w:rPr>
                <w:rFonts w:hint="eastAsia" w:ascii="宋体" w:hAnsi="宋体" w:eastAsia="宋体" w:cs="宋体"/>
                <w:sz w:val="24"/>
                <w:szCs w:val="24"/>
              </w:rPr>
              <w:t>水解酸化+AA/O工艺；深度处理</w:t>
            </w:r>
            <w:r>
              <w:rPr>
                <w:rFonts w:hint="eastAsia" w:ascii="宋体" w:hAnsi="宋体" w:eastAsia="宋体" w:cs="宋体"/>
                <w:sz w:val="24"/>
                <w:szCs w:val="24"/>
                <w:lang w:eastAsia="zh-CN"/>
              </w:rPr>
              <w:t>：</w:t>
            </w:r>
            <w:r>
              <w:rPr>
                <w:rFonts w:hint="eastAsia" w:ascii="宋体" w:hAnsi="宋体" w:eastAsia="宋体" w:cs="宋体"/>
                <w:sz w:val="24"/>
                <w:szCs w:val="24"/>
              </w:rPr>
              <w:t>“高密度沉淀池+ 曝气生物滤池(BAF)+滤布滤池”处理工艺；消毒：采用投加次氯酸钠溶液的措施</w:t>
            </w:r>
            <w:r>
              <w:rPr>
                <w:rFonts w:hint="eastAsia" w:ascii="宋体" w:hAnsi="宋体" w:eastAsia="宋体" w:cs="宋体"/>
                <w:sz w:val="24"/>
                <w:szCs w:val="24"/>
                <w:lang w:val="en-US" w:eastAsia="zh-CN"/>
              </w:rPr>
              <w:t>处理后，</w:t>
            </w:r>
            <w:r>
              <w:rPr>
                <w:rFonts w:hint="eastAsia" w:ascii="宋体" w:hAnsi="宋体" w:eastAsia="宋体" w:cs="宋体"/>
                <w:sz w:val="24"/>
                <w:szCs w:val="24"/>
              </w:rPr>
              <w:t>定期拉运至伽师县纺织服装产业园区污水处理厂。</w:t>
            </w:r>
          </w:p>
          <w:p w14:paraId="75CE1B27">
            <w:pPr>
              <w:keepNext w:val="0"/>
              <w:keepLines w:val="0"/>
              <w:pageBreakBefore w:val="0"/>
              <w:widowControl w:val="0"/>
              <w:kinsoku/>
              <w:wordWrap/>
              <w:overflowPunct/>
              <w:topLinePunct w:val="0"/>
              <w:autoSpaceDE/>
              <w:autoSpaceDN/>
              <w:bidi w:val="0"/>
              <w:adjustRightInd/>
              <w:snapToGrid/>
              <w:spacing w:line="360" w:lineRule="auto"/>
              <w:ind w:firstLine="567"/>
              <w:jc w:val="both"/>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highlight w:val="none"/>
                <w:lang w:val="en-US" w:eastAsia="zh-CN"/>
              </w:rPr>
              <w:t>项目废水产排情况见表3-2。</w:t>
            </w:r>
          </w:p>
          <w:p w14:paraId="1DD198F8">
            <w:pP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表3-2                </w:t>
            </w:r>
            <w:r>
              <w:rPr>
                <w:rFonts w:hint="eastAsia" w:ascii="宋体" w:hAnsi="宋体" w:eastAsia="宋体" w:cs="宋体"/>
                <w:b/>
                <w:color w:val="auto"/>
                <w:sz w:val="24"/>
                <w:szCs w:val="24"/>
                <w:lang w:val="en-US" w:eastAsia="zh-CN"/>
              </w:rPr>
              <w:t xml:space="preserve"> </w:t>
            </w:r>
            <w:r>
              <w:rPr>
                <w:rFonts w:hint="eastAsia" w:ascii="宋体" w:hAnsi="宋体" w:eastAsia="宋体" w:cs="宋体"/>
                <w:b/>
                <w:color w:val="auto"/>
                <w:sz w:val="24"/>
                <w:szCs w:val="24"/>
              </w:rPr>
              <w:t xml:space="preserve">  </w:t>
            </w:r>
            <w:r>
              <w:rPr>
                <w:rFonts w:hint="eastAsia" w:ascii="宋体" w:hAnsi="宋体" w:eastAsia="宋体" w:cs="宋体"/>
                <w:b/>
                <w:color w:val="auto"/>
                <w:sz w:val="24"/>
                <w:szCs w:val="24"/>
                <w:lang w:val="en-US" w:eastAsia="zh-CN"/>
              </w:rPr>
              <w:t xml:space="preserve">   </w:t>
            </w:r>
            <w:r>
              <w:rPr>
                <w:rFonts w:hint="eastAsia" w:ascii="宋体" w:hAnsi="宋体" w:eastAsia="宋体" w:cs="宋体"/>
                <w:b/>
                <w:color w:val="auto"/>
                <w:sz w:val="24"/>
                <w:szCs w:val="24"/>
              </w:rPr>
              <w:t>废</w:t>
            </w:r>
            <w:r>
              <w:rPr>
                <w:rFonts w:hint="eastAsia" w:ascii="宋体" w:hAnsi="宋体" w:eastAsia="宋体" w:cs="宋体"/>
                <w:b/>
                <w:color w:val="auto"/>
                <w:sz w:val="24"/>
                <w:szCs w:val="24"/>
                <w:lang w:eastAsia="zh-CN"/>
              </w:rPr>
              <w:t>水</w:t>
            </w:r>
            <w:r>
              <w:rPr>
                <w:rFonts w:hint="eastAsia" w:ascii="宋体" w:hAnsi="宋体" w:eastAsia="宋体" w:cs="宋体"/>
                <w:b/>
                <w:color w:val="auto"/>
                <w:sz w:val="24"/>
                <w:szCs w:val="24"/>
              </w:rPr>
              <w:t>产排情况一览表</w:t>
            </w:r>
          </w:p>
          <w:tbl>
            <w:tblPr>
              <w:tblStyle w:val="15"/>
              <w:tblW w:w="8830"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826"/>
              <w:gridCol w:w="1264"/>
              <w:gridCol w:w="1646"/>
              <w:gridCol w:w="2626"/>
              <w:gridCol w:w="2468"/>
            </w:tblGrid>
            <w:tr w14:paraId="4D4F5F0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826" w:type="dxa"/>
                  <w:noWrap w:val="0"/>
                  <w:vAlign w:val="center"/>
                </w:tcPr>
                <w:p w14:paraId="3D50447E">
                  <w:pPr>
                    <w:widowControl/>
                    <w:jc w:val="center"/>
                    <w:rPr>
                      <w:rFonts w:hint="default" w:ascii="Times New Roman" w:hAnsi="Times New Roman" w:cs="Times New Roman"/>
                      <w:b/>
                      <w:bCs/>
                      <w:color w:val="auto"/>
                      <w:kern w:val="0"/>
                      <w:szCs w:val="21"/>
                    </w:rPr>
                  </w:pPr>
                  <w:r>
                    <w:rPr>
                      <w:rFonts w:hint="default" w:ascii="Times New Roman" w:hAnsi="Times New Roman" w:cs="Times New Roman"/>
                      <w:b/>
                      <w:bCs/>
                      <w:color w:val="auto"/>
                      <w:kern w:val="0"/>
                      <w:szCs w:val="21"/>
                      <w:lang w:eastAsia="zh-CN"/>
                    </w:rPr>
                    <w:t>项目</w:t>
                  </w:r>
                </w:p>
              </w:tc>
              <w:tc>
                <w:tcPr>
                  <w:tcW w:w="1264" w:type="dxa"/>
                  <w:noWrap w:val="0"/>
                  <w:vAlign w:val="center"/>
                </w:tcPr>
                <w:p w14:paraId="44F9D54A">
                  <w:pPr>
                    <w:widowControl/>
                    <w:jc w:val="center"/>
                    <w:rPr>
                      <w:rFonts w:hint="default" w:ascii="Times New Roman" w:hAnsi="Times New Roman" w:cs="Times New Roman"/>
                      <w:b/>
                      <w:bCs/>
                      <w:color w:val="auto"/>
                      <w:kern w:val="0"/>
                      <w:szCs w:val="21"/>
                    </w:rPr>
                  </w:pPr>
                  <w:r>
                    <w:rPr>
                      <w:rFonts w:hint="default" w:ascii="Times New Roman" w:hAnsi="Times New Roman" w:cs="Times New Roman"/>
                      <w:b/>
                      <w:bCs/>
                      <w:color w:val="auto"/>
                      <w:kern w:val="0"/>
                      <w:szCs w:val="21"/>
                      <w:lang w:eastAsia="zh-CN"/>
                    </w:rPr>
                    <w:t>排放</w:t>
                  </w:r>
                  <w:r>
                    <w:rPr>
                      <w:rFonts w:hint="default" w:ascii="Times New Roman" w:hAnsi="Times New Roman" w:cs="Times New Roman"/>
                      <w:b/>
                      <w:bCs/>
                      <w:color w:val="auto"/>
                      <w:kern w:val="0"/>
                      <w:szCs w:val="21"/>
                    </w:rPr>
                    <w:t>量</w:t>
                  </w:r>
                </w:p>
              </w:tc>
              <w:tc>
                <w:tcPr>
                  <w:tcW w:w="1646" w:type="dxa"/>
                  <w:noWrap w:val="0"/>
                  <w:vAlign w:val="center"/>
                </w:tcPr>
                <w:p w14:paraId="184D8461">
                  <w:pPr>
                    <w:widowControl/>
                    <w:jc w:val="center"/>
                    <w:rPr>
                      <w:rFonts w:hint="default" w:ascii="Times New Roman" w:hAnsi="Times New Roman" w:cs="Times New Roman"/>
                      <w:b/>
                      <w:bCs/>
                      <w:color w:val="auto"/>
                      <w:kern w:val="0"/>
                      <w:szCs w:val="21"/>
                    </w:rPr>
                  </w:pPr>
                  <w:r>
                    <w:rPr>
                      <w:rFonts w:hint="default" w:ascii="Times New Roman" w:hAnsi="Times New Roman" w:cs="Times New Roman"/>
                      <w:b/>
                      <w:bCs/>
                      <w:color w:val="auto"/>
                      <w:kern w:val="0"/>
                      <w:sz w:val="21"/>
                      <w:szCs w:val="21"/>
                    </w:rPr>
                    <w:t>污染物</w:t>
                  </w:r>
                </w:p>
              </w:tc>
              <w:tc>
                <w:tcPr>
                  <w:tcW w:w="2626" w:type="dxa"/>
                  <w:noWrap w:val="0"/>
                  <w:vAlign w:val="center"/>
                </w:tcPr>
                <w:p w14:paraId="15763223">
                  <w:pPr>
                    <w:widowControl/>
                    <w:jc w:val="center"/>
                    <w:rPr>
                      <w:rFonts w:hint="default" w:ascii="Times New Roman" w:hAnsi="Times New Roman" w:eastAsia="宋体" w:cs="Times New Roman"/>
                      <w:b/>
                      <w:bCs/>
                      <w:color w:val="auto"/>
                      <w:kern w:val="0"/>
                      <w:sz w:val="21"/>
                      <w:szCs w:val="21"/>
                      <w:lang w:eastAsia="zh-CN"/>
                    </w:rPr>
                  </w:pPr>
                  <w:r>
                    <w:rPr>
                      <w:rFonts w:hint="default" w:ascii="Times New Roman" w:hAnsi="Times New Roman" w:cs="Times New Roman"/>
                      <w:b/>
                      <w:bCs/>
                      <w:color w:val="auto"/>
                      <w:kern w:val="0"/>
                      <w:sz w:val="21"/>
                      <w:szCs w:val="21"/>
                      <w:lang w:eastAsia="zh-CN"/>
                    </w:rPr>
                    <w:t>环评设计治理措施</w:t>
                  </w:r>
                </w:p>
              </w:tc>
              <w:tc>
                <w:tcPr>
                  <w:tcW w:w="2468" w:type="dxa"/>
                  <w:noWrap w:val="0"/>
                  <w:vAlign w:val="center"/>
                </w:tcPr>
                <w:p w14:paraId="6AF3F188">
                  <w:pPr>
                    <w:widowControl/>
                    <w:jc w:val="center"/>
                    <w:rPr>
                      <w:rFonts w:hint="default" w:ascii="Times New Roman" w:hAnsi="Times New Roman" w:cs="Times New Roman"/>
                      <w:b/>
                      <w:bCs/>
                      <w:color w:val="auto"/>
                      <w:kern w:val="0"/>
                      <w:sz w:val="21"/>
                      <w:szCs w:val="21"/>
                      <w:lang w:eastAsia="zh-CN"/>
                    </w:rPr>
                  </w:pPr>
                  <w:r>
                    <w:rPr>
                      <w:rFonts w:hint="default" w:ascii="Times New Roman" w:hAnsi="Times New Roman" w:cs="Times New Roman"/>
                      <w:b/>
                      <w:bCs/>
                      <w:color w:val="auto"/>
                      <w:kern w:val="0"/>
                      <w:sz w:val="21"/>
                      <w:szCs w:val="21"/>
                      <w:lang w:eastAsia="zh-CN"/>
                    </w:rPr>
                    <w:t>实际治理措施</w:t>
                  </w:r>
                </w:p>
              </w:tc>
            </w:tr>
            <w:tr w14:paraId="262BA8F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37" w:hRule="atLeast"/>
                <w:jc w:val="center"/>
              </w:trPr>
              <w:tc>
                <w:tcPr>
                  <w:tcW w:w="826" w:type="dxa"/>
                  <w:shd w:val="clear" w:color="auto" w:fill="auto"/>
                  <w:noWrap w:val="0"/>
                  <w:vAlign w:val="center"/>
                </w:tcPr>
                <w:p w14:paraId="3A8EDE6B">
                  <w:pPr>
                    <w:jc w:val="center"/>
                    <w:rPr>
                      <w:rFonts w:hint="default" w:ascii="Times New Roman" w:hAnsi="Times New Roman" w:cs="Times New Roman"/>
                      <w:b w:val="0"/>
                      <w:bCs w:val="0"/>
                      <w:color w:val="auto"/>
                      <w:kern w:val="0"/>
                      <w:szCs w:val="21"/>
                    </w:rPr>
                  </w:pPr>
                  <w:r>
                    <w:rPr>
                      <w:rFonts w:hint="default" w:ascii="Times New Roman" w:hAnsi="Times New Roman" w:cs="Times New Roman"/>
                      <w:b w:val="0"/>
                      <w:bCs w:val="0"/>
                      <w:color w:val="auto"/>
                      <w:kern w:val="0"/>
                      <w:szCs w:val="21"/>
                    </w:rPr>
                    <w:t>生活</w:t>
                  </w:r>
                </w:p>
                <w:p w14:paraId="0E3863C7">
                  <w:pPr>
                    <w:jc w:val="center"/>
                    <w:rPr>
                      <w:rFonts w:hint="default" w:ascii="Times New Roman" w:hAnsi="Times New Roman" w:cs="Times New Roman" w:eastAsiaTheme="minorEastAsia"/>
                      <w:b w:val="0"/>
                      <w:bCs w:val="0"/>
                      <w:color w:val="auto"/>
                      <w:kern w:val="0"/>
                      <w:sz w:val="21"/>
                      <w:szCs w:val="21"/>
                      <w:lang w:val="en-US" w:eastAsia="zh-CN" w:bidi="ar-SA"/>
                    </w:rPr>
                  </w:pPr>
                  <w:r>
                    <w:rPr>
                      <w:rFonts w:hint="default" w:ascii="Times New Roman" w:hAnsi="Times New Roman" w:cs="Times New Roman"/>
                      <w:b w:val="0"/>
                      <w:bCs w:val="0"/>
                      <w:color w:val="auto"/>
                      <w:kern w:val="0"/>
                      <w:szCs w:val="21"/>
                    </w:rPr>
                    <w:t>污水</w:t>
                  </w:r>
                </w:p>
              </w:tc>
              <w:tc>
                <w:tcPr>
                  <w:tcW w:w="1264" w:type="dxa"/>
                  <w:shd w:val="clear" w:color="auto" w:fill="auto"/>
                  <w:noWrap w:val="0"/>
                  <w:vAlign w:val="center"/>
                </w:tcPr>
                <w:p w14:paraId="636CFDFD">
                  <w:pPr>
                    <w:jc w:val="center"/>
                    <w:rPr>
                      <w:rFonts w:hint="default" w:ascii="Times New Roman" w:hAnsi="Times New Roman" w:eastAsia="宋体" w:cs="Times New Roman"/>
                      <w:b w:val="0"/>
                      <w:bCs w:val="0"/>
                      <w:color w:val="auto"/>
                      <w:kern w:val="0"/>
                      <w:sz w:val="21"/>
                      <w:szCs w:val="21"/>
                      <w:lang w:val="en-US" w:eastAsia="zh-CN" w:bidi="ar-SA"/>
                    </w:rPr>
                  </w:pPr>
                  <w:r>
                    <w:rPr>
                      <w:spacing w:val="5"/>
                      <w:sz w:val="23"/>
                      <w:szCs w:val="23"/>
                    </w:rPr>
                    <w:t>87.6m³/a</w:t>
                  </w:r>
                </w:p>
              </w:tc>
              <w:tc>
                <w:tcPr>
                  <w:tcW w:w="1646" w:type="dxa"/>
                  <w:vMerge w:val="restart"/>
                  <w:shd w:val="clear" w:color="auto" w:fill="auto"/>
                  <w:noWrap w:val="0"/>
                  <w:vAlign w:val="center"/>
                </w:tcPr>
                <w:p w14:paraId="5C9BC488">
                  <w:pPr>
                    <w:jc w:val="center"/>
                    <w:rPr>
                      <w:rFonts w:hint="default" w:ascii="Times New Roman" w:hAnsi="Times New Roman" w:eastAsia="宋体" w:cs="Times New Roman"/>
                      <w:b w:val="0"/>
                      <w:bCs w:val="0"/>
                      <w:color w:val="auto"/>
                      <w:kern w:val="0"/>
                      <w:sz w:val="21"/>
                      <w:szCs w:val="21"/>
                      <w:lang w:val="en-US" w:eastAsia="zh-CN" w:bidi="ar-SA"/>
                    </w:rPr>
                  </w:pPr>
                  <w:r>
                    <w:rPr>
                      <w:rFonts w:hint="eastAsia" w:ascii="Times New Roman" w:hAnsi="Times New Roman" w:cs="Times New Roman"/>
                      <w:b w:val="0"/>
                      <w:bCs w:val="0"/>
                      <w:color w:val="auto"/>
                      <w:kern w:val="0"/>
                      <w:szCs w:val="21"/>
                      <w:lang w:eastAsia="zh-CN"/>
                    </w:rPr>
                    <w:t>五日生化需氧量、</w:t>
                  </w:r>
                  <w:r>
                    <w:rPr>
                      <w:rFonts w:hint="eastAsia" w:ascii="Times New Roman" w:hAnsi="Times New Roman" w:cs="Times New Roman"/>
                      <w:b w:val="0"/>
                      <w:bCs w:val="0"/>
                      <w:color w:val="auto"/>
                      <w:kern w:val="0"/>
                      <w:szCs w:val="21"/>
                    </w:rPr>
                    <w:t>化学需氧量</w:t>
                  </w:r>
                  <w:r>
                    <w:rPr>
                      <w:rFonts w:hint="eastAsia" w:ascii="Times New Roman" w:hAnsi="Times New Roman" w:cs="Times New Roman"/>
                      <w:b w:val="0"/>
                      <w:bCs w:val="0"/>
                      <w:color w:val="auto"/>
                      <w:kern w:val="0"/>
                      <w:szCs w:val="21"/>
                      <w:lang w:eastAsia="zh-CN"/>
                    </w:rPr>
                    <w:t>、</w:t>
                  </w:r>
                  <w:r>
                    <w:rPr>
                      <w:rFonts w:hint="eastAsia" w:ascii="Times New Roman" w:hAnsi="Times New Roman" w:cs="Times New Roman"/>
                      <w:b w:val="0"/>
                      <w:bCs w:val="0"/>
                      <w:color w:val="auto"/>
                      <w:kern w:val="0"/>
                      <w:szCs w:val="21"/>
                    </w:rPr>
                    <w:t>氨氮</w:t>
                  </w:r>
                  <w:r>
                    <w:rPr>
                      <w:rFonts w:hint="eastAsia" w:ascii="Times New Roman" w:hAnsi="Times New Roman" w:cs="Times New Roman"/>
                      <w:b w:val="0"/>
                      <w:bCs w:val="0"/>
                      <w:color w:val="auto"/>
                      <w:kern w:val="0"/>
                      <w:szCs w:val="21"/>
                      <w:lang w:eastAsia="zh-CN"/>
                    </w:rPr>
                    <w:t>、悬浮物、</w:t>
                  </w:r>
                  <w:r>
                    <w:rPr>
                      <w:rFonts w:hint="eastAsia" w:ascii="Times New Roman" w:hAnsi="Times New Roman" w:cs="Times New Roman"/>
                      <w:b w:val="0"/>
                      <w:bCs w:val="0"/>
                      <w:color w:val="auto"/>
                      <w:kern w:val="0"/>
                      <w:szCs w:val="21"/>
                    </w:rPr>
                    <w:t>粪大肠菌群</w:t>
                  </w:r>
                  <w:r>
                    <w:rPr>
                      <w:rFonts w:hint="eastAsia" w:ascii="Times New Roman" w:hAnsi="Times New Roman" w:cs="Times New Roman"/>
                      <w:b w:val="0"/>
                      <w:bCs w:val="0"/>
                      <w:color w:val="auto"/>
                      <w:kern w:val="0"/>
                      <w:szCs w:val="21"/>
                      <w:lang w:eastAsia="zh-CN"/>
                    </w:rPr>
                    <w:t>、动植物油、总磷、总氮、</w:t>
                  </w:r>
                  <w:r>
                    <w:rPr>
                      <w:rFonts w:hint="eastAsia" w:ascii="Times New Roman" w:hAnsi="Times New Roman" w:cs="Times New Roman"/>
                      <w:b w:val="0"/>
                      <w:bCs w:val="0"/>
                      <w:color w:val="auto"/>
                      <w:kern w:val="0"/>
                      <w:szCs w:val="21"/>
                      <w:lang w:val="en-US" w:eastAsia="zh-CN"/>
                    </w:rPr>
                    <w:t>阴离子表面活性剂</w:t>
                  </w:r>
                </w:p>
              </w:tc>
              <w:tc>
                <w:tcPr>
                  <w:tcW w:w="2626" w:type="dxa"/>
                  <w:vMerge w:val="restart"/>
                  <w:shd w:val="clear" w:color="auto" w:fill="auto"/>
                  <w:noWrap w:val="0"/>
                  <w:vAlign w:val="center"/>
                </w:tcPr>
                <w:p w14:paraId="1A7AE04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rPr>
                      <w:rFonts w:hint="default" w:ascii="Times New Roman" w:hAnsi="Times New Roman" w:eastAsia="宋体" w:cs="Times New Roman"/>
                      <w:b w:val="0"/>
                      <w:bCs w:val="0"/>
                      <w:color w:val="auto"/>
                      <w:kern w:val="0"/>
                      <w:sz w:val="21"/>
                      <w:szCs w:val="21"/>
                      <w:lang w:val="en-US" w:eastAsia="zh-CN" w:bidi="ar-SA"/>
                    </w:rPr>
                  </w:pPr>
                  <w:r>
                    <w:rPr>
                      <w:rFonts w:hint="eastAsia" w:ascii="Times New Roman" w:hAnsi="Times New Roman" w:cs="Times New Roman"/>
                      <w:b w:val="0"/>
                      <w:bCs w:val="0"/>
                      <w:color w:val="auto"/>
                      <w:kern w:val="0"/>
                      <w:szCs w:val="21"/>
                      <w:lang w:eastAsia="zh-CN"/>
                    </w:rPr>
                    <w:t>预处理(采用粗格栅及细格栅+旋流沉砂池) → 生化处理(水解酸化+AA/0工艺) → 深度处理(高密度沉淀池 +曝气生物滤池 BAF+ 滤布滤池) → 消毒(投加次氯酸钠溶液)处理后达到《肉类加工工业水污染物排放标准》 (GB13457-92)  表3中畜类屠宰加工的一级标准限值后，定期拉运至伽师县纺织服装产业园区污水处理厂处理。</w:t>
                  </w:r>
                </w:p>
              </w:tc>
              <w:tc>
                <w:tcPr>
                  <w:tcW w:w="2468" w:type="dxa"/>
                  <w:vMerge w:val="restart"/>
                  <w:shd w:val="clear" w:color="auto" w:fill="auto"/>
                  <w:noWrap w:val="0"/>
                  <w:vAlign w:val="center"/>
                </w:tcPr>
                <w:p w14:paraId="7334D4EC">
                  <w:pPr>
                    <w:widowControl/>
                    <w:jc w:val="center"/>
                    <w:rPr>
                      <w:rFonts w:hint="default" w:ascii="Times New Roman" w:hAnsi="Times New Roman" w:eastAsia="宋体" w:cs="Times New Roman"/>
                      <w:b w:val="0"/>
                      <w:bCs w:val="0"/>
                      <w:color w:val="auto"/>
                      <w:kern w:val="0"/>
                      <w:sz w:val="21"/>
                      <w:szCs w:val="21"/>
                      <w:lang w:val="en-US" w:eastAsia="zh-CN" w:bidi="ar-SA"/>
                    </w:rPr>
                  </w:pPr>
                  <w:r>
                    <w:rPr>
                      <w:rFonts w:hint="eastAsia" w:ascii="Times New Roman" w:hAnsi="Times New Roman" w:cs="Times New Roman"/>
                      <w:b w:val="0"/>
                      <w:bCs w:val="0"/>
                      <w:color w:val="auto"/>
                      <w:kern w:val="0"/>
                      <w:szCs w:val="21"/>
                      <w:lang w:eastAsia="zh-CN"/>
                    </w:rPr>
                    <w:t>预处理(采用粗格栅及细格栅+旋流沉砂池) → 生化处理(水解酸化+AA/0工艺) → 深度处理(高密度沉淀池 +曝气生物滤池 BAF+ 滤布滤池) → 消毒(投加次氯酸钠溶液)处理后达到《肉类加工工业水污染物排放标准》 (GB13457-92)  表3中畜类屠宰加工的一级标准限值后，定期拉运至伽师县纺织服装产业园区污水处理厂处理。</w:t>
                  </w:r>
                </w:p>
              </w:tc>
            </w:tr>
            <w:tr w14:paraId="2C1445B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37" w:hRule="atLeast"/>
                <w:jc w:val="center"/>
              </w:trPr>
              <w:tc>
                <w:tcPr>
                  <w:tcW w:w="826" w:type="dxa"/>
                  <w:shd w:val="clear" w:color="auto" w:fill="auto"/>
                  <w:noWrap w:val="0"/>
                  <w:vAlign w:val="center"/>
                </w:tcPr>
                <w:p w14:paraId="4FE6149E">
                  <w:pPr>
                    <w:jc w:val="center"/>
                    <w:rPr>
                      <w:rFonts w:hint="default" w:ascii="Times New Roman" w:hAnsi="Times New Roman" w:cs="Times New Roman"/>
                      <w:b w:val="0"/>
                      <w:bCs w:val="0"/>
                      <w:color w:val="auto"/>
                      <w:kern w:val="0"/>
                      <w:szCs w:val="21"/>
                    </w:rPr>
                  </w:pPr>
                  <w:r>
                    <w:rPr>
                      <w:rFonts w:hint="eastAsia" w:ascii="Times New Roman" w:hAnsi="Times New Roman" w:cs="Times New Roman"/>
                      <w:b w:val="0"/>
                      <w:bCs w:val="0"/>
                      <w:color w:val="auto"/>
                      <w:kern w:val="0"/>
                      <w:szCs w:val="21"/>
                      <w:lang w:val="en-US" w:eastAsia="zh-CN"/>
                    </w:rPr>
                    <w:t>生产废水</w:t>
                  </w:r>
                </w:p>
              </w:tc>
              <w:tc>
                <w:tcPr>
                  <w:tcW w:w="1264" w:type="dxa"/>
                  <w:shd w:val="clear" w:color="auto" w:fill="auto"/>
                  <w:noWrap w:val="0"/>
                  <w:vAlign w:val="center"/>
                </w:tcPr>
                <w:p w14:paraId="2CD5FD15">
                  <w:pPr>
                    <w:jc w:val="center"/>
                    <w:rPr>
                      <w:rFonts w:hint="eastAsia" w:ascii="Times New Roman" w:hAnsi="Times New Roman" w:cs="Times New Roman"/>
                      <w:b w:val="0"/>
                      <w:bCs w:val="0"/>
                      <w:color w:val="auto"/>
                      <w:szCs w:val="21"/>
                      <w:lang w:val="en-US" w:eastAsia="zh-CN"/>
                    </w:rPr>
                  </w:pPr>
                  <w:r>
                    <w:rPr>
                      <w:spacing w:val="5"/>
                      <w:sz w:val="23"/>
                      <w:szCs w:val="23"/>
                    </w:rPr>
                    <w:t>45007m³/a</w:t>
                  </w:r>
                </w:p>
              </w:tc>
              <w:tc>
                <w:tcPr>
                  <w:tcW w:w="1646" w:type="dxa"/>
                  <w:vMerge w:val="continue"/>
                  <w:shd w:val="clear" w:color="auto" w:fill="auto"/>
                  <w:noWrap w:val="0"/>
                  <w:vAlign w:val="center"/>
                </w:tcPr>
                <w:p w14:paraId="0E1AEF8A">
                  <w:pPr>
                    <w:jc w:val="center"/>
                    <w:rPr>
                      <w:rFonts w:hint="default" w:ascii="Times New Roman" w:hAnsi="Times New Roman" w:eastAsia="宋体" w:cs="Times New Roman"/>
                      <w:b w:val="0"/>
                      <w:bCs w:val="0"/>
                      <w:color w:val="auto"/>
                      <w:kern w:val="0"/>
                      <w:sz w:val="21"/>
                      <w:szCs w:val="21"/>
                      <w:lang w:val="en-US" w:eastAsia="zh-CN" w:bidi="ar-SA"/>
                    </w:rPr>
                  </w:pPr>
                </w:p>
              </w:tc>
              <w:tc>
                <w:tcPr>
                  <w:tcW w:w="2626" w:type="dxa"/>
                  <w:vMerge w:val="continue"/>
                  <w:shd w:val="clear" w:color="auto" w:fill="auto"/>
                  <w:noWrap w:val="0"/>
                  <w:vAlign w:val="center"/>
                </w:tcPr>
                <w:p w14:paraId="6723F3B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p>
              </w:tc>
              <w:tc>
                <w:tcPr>
                  <w:tcW w:w="2468" w:type="dxa"/>
                  <w:vMerge w:val="continue"/>
                  <w:shd w:val="clear" w:color="auto" w:fill="auto"/>
                  <w:noWrap w:val="0"/>
                  <w:vAlign w:val="center"/>
                </w:tcPr>
                <w:p w14:paraId="1C4DD1DF">
                  <w:pPr>
                    <w:widowControl/>
                    <w:jc w:val="center"/>
                    <w:rPr>
                      <w:rFonts w:hint="default" w:ascii="Times New Roman" w:hAnsi="Times New Roman" w:cs="Times New Roman"/>
                      <w:b w:val="0"/>
                      <w:bCs w:val="0"/>
                      <w:color w:val="auto"/>
                      <w:kern w:val="0"/>
                      <w:sz w:val="21"/>
                      <w:szCs w:val="21"/>
                      <w:lang w:eastAsia="zh-CN"/>
                    </w:rPr>
                  </w:pPr>
                </w:p>
              </w:tc>
            </w:tr>
          </w:tbl>
          <w:p w14:paraId="5FF53FF1">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3.</w:t>
            </w:r>
            <w:r>
              <w:rPr>
                <w:rFonts w:hint="default" w:ascii="Times New Roman" w:hAnsi="Times New Roman" w:cs="Times New Roman"/>
                <w:b/>
                <w:bCs/>
                <w:color w:val="auto"/>
                <w:sz w:val="28"/>
                <w:szCs w:val="28"/>
                <w:highlight w:val="none"/>
                <w:lang w:val="en-US" w:eastAsia="zh-CN"/>
              </w:rPr>
              <w:t>3</w:t>
            </w:r>
            <w:r>
              <w:rPr>
                <w:rFonts w:hint="default" w:ascii="Times New Roman" w:hAnsi="Times New Roman" w:cs="Times New Roman"/>
                <w:b/>
                <w:bCs/>
                <w:color w:val="auto"/>
                <w:sz w:val="28"/>
                <w:highlight w:val="none"/>
              </w:rPr>
              <w:t>噪声</w:t>
            </w:r>
          </w:p>
          <w:p w14:paraId="296F033C">
            <w:pPr>
              <w:pStyle w:val="29"/>
              <w:keepNext w:val="0"/>
              <w:keepLines w:val="0"/>
              <w:pageBreakBefore w:val="0"/>
              <w:widowControl/>
              <w:kinsoku/>
              <w:wordWrap/>
              <w:overflowPunct/>
              <w:topLinePunct w:val="0"/>
              <w:autoSpaceDE/>
              <w:autoSpaceDN/>
              <w:bidi w:val="0"/>
              <w:adjustRightInd/>
              <w:snapToGrid/>
              <w:spacing w:before="0" w:beforeLines="0" w:line="360" w:lineRule="auto"/>
              <w:ind w:left="0" w:leftChars="0" w:right="0" w:firstLine="480" w:firstLineChars="200"/>
              <w:jc w:val="both"/>
              <w:textAlignment w:val="baseline"/>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本项目</w:t>
            </w:r>
            <w:r>
              <w:rPr>
                <w:rFonts w:hint="eastAsia" w:ascii="宋体" w:hAnsi="宋体" w:eastAsia="宋体" w:cs="宋体"/>
                <w:b w:val="0"/>
                <w:bCs/>
                <w:spacing w:val="10"/>
                <w:sz w:val="24"/>
                <w:szCs w:val="24"/>
              </w:rPr>
              <w:t>主要是设备包括屠宰设备、分割设备、清</w:t>
            </w:r>
            <w:r>
              <w:rPr>
                <w:rFonts w:hint="eastAsia" w:ascii="宋体" w:hAnsi="宋体" w:eastAsia="宋体" w:cs="宋体"/>
                <w:b w:val="0"/>
                <w:bCs/>
                <w:spacing w:val="9"/>
                <w:sz w:val="24"/>
                <w:szCs w:val="24"/>
              </w:rPr>
              <w:t>洗机、提升机以及</w:t>
            </w:r>
            <w:r>
              <w:rPr>
                <w:rFonts w:hint="eastAsia" w:ascii="宋体" w:hAnsi="宋体" w:eastAsia="宋体" w:cs="宋体"/>
                <w:b w:val="0"/>
                <w:bCs/>
                <w:spacing w:val="10"/>
                <w:sz w:val="24"/>
                <w:szCs w:val="24"/>
              </w:rPr>
              <w:t>压缩机等机械设备运行产生的噪声和赶运、过磅、屠宰时的叫声等。</w:t>
            </w:r>
            <w:r>
              <w:rPr>
                <w:rFonts w:hint="eastAsia" w:ascii="宋体" w:hAnsi="宋体" w:eastAsia="宋体" w:cs="宋体"/>
                <w:b w:val="0"/>
                <w:bCs/>
                <w:sz w:val="24"/>
                <w:szCs w:val="24"/>
              </w:rPr>
              <w:t>采取吸声、隔声、减振、消声等降噪措施后，加之距离衰减、绿化隔声作用，同时本项目主要生产设备均位于生产车间内，生产车间距离最近厂界边界距离在10m以上</w:t>
            </w:r>
            <w:r>
              <w:rPr>
                <w:rFonts w:hint="eastAsia" w:ascii="宋体" w:hAnsi="宋体" w:eastAsia="宋体" w:cs="宋体"/>
                <w:b w:val="0"/>
                <w:bCs/>
                <w:sz w:val="24"/>
                <w:szCs w:val="24"/>
                <w:lang w:val="en-US" w:eastAsia="zh-CN"/>
              </w:rPr>
              <w:t>排放</w:t>
            </w:r>
            <w:r>
              <w:rPr>
                <w:rFonts w:hint="eastAsia" w:ascii="宋体" w:hAnsi="宋体" w:eastAsia="宋体" w:cs="宋体"/>
                <w:b w:val="0"/>
                <w:bCs/>
                <w:color w:val="auto"/>
                <w:kern w:val="2"/>
                <w:sz w:val="24"/>
                <w:szCs w:val="24"/>
                <w:highlight w:val="none"/>
                <w:lang w:val="en-US" w:eastAsia="zh-CN" w:bidi="ar-SA"/>
              </w:rPr>
              <w:t>。项目主要噪声设备及治理措施见表3-3。</w:t>
            </w:r>
          </w:p>
          <w:p w14:paraId="1BA81D97">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表3-3                     主要噪声设备及治理措施</w:t>
            </w:r>
          </w:p>
          <w:tbl>
            <w:tblPr>
              <w:tblStyle w:val="15"/>
              <w:tblW w:w="8837"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130"/>
              <w:gridCol w:w="2010"/>
              <w:gridCol w:w="2291"/>
              <w:gridCol w:w="3406"/>
            </w:tblGrid>
            <w:tr w14:paraId="4D16A46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130" w:type="dxa"/>
                  <w:tcBorders>
                    <w:tl2br w:val="nil"/>
                    <w:tr2bl w:val="nil"/>
                  </w:tcBorders>
                  <w:noWrap w:val="0"/>
                  <w:vAlign w:val="center"/>
                </w:tcPr>
                <w:p w14:paraId="45C66026">
                  <w:pPr>
                    <w:spacing w:line="240" w:lineRule="auto"/>
                    <w:jc w:val="center"/>
                    <w:rPr>
                      <w:rFonts w:hint="default" w:ascii="Times New Roman" w:hAnsi="Times New Roman" w:eastAsia="宋体" w:cs="Times New Roman"/>
                      <w:b/>
                      <w:bCs/>
                      <w:color w:val="auto"/>
                      <w:kern w:val="0"/>
                      <w:sz w:val="21"/>
                      <w:szCs w:val="21"/>
                      <w:highlight w:val="none"/>
                      <w:lang w:eastAsia="zh-CN"/>
                    </w:rPr>
                  </w:pPr>
                  <w:r>
                    <w:rPr>
                      <w:rFonts w:hint="default" w:ascii="Times New Roman" w:hAnsi="Times New Roman" w:cs="Times New Roman"/>
                      <w:b/>
                      <w:bCs/>
                      <w:color w:val="auto"/>
                      <w:kern w:val="0"/>
                      <w:sz w:val="21"/>
                      <w:szCs w:val="21"/>
                      <w:highlight w:val="none"/>
                      <w:lang w:eastAsia="zh-CN"/>
                    </w:rPr>
                    <w:t>噪声类型</w:t>
                  </w:r>
                </w:p>
              </w:tc>
              <w:tc>
                <w:tcPr>
                  <w:tcW w:w="2010" w:type="dxa"/>
                  <w:tcBorders>
                    <w:tl2br w:val="nil"/>
                    <w:tr2bl w:val="nil"/>
                  </w:tcBorders>
                  <w:noWrap w:val="0"/>
                  <w:vAlign w:val="center"/>
                </w:tcPr>
                <w:p w14:paraId="3B3B84C5">
                  <w:pPr>
                    <w:spacing w:line="240" w:lineRule="auto"/>
                    <w:jc w:val="center"/>
                    <w:rPr>
                      <w:rFonts w:hint="default" w:ascii="Times New Roman" w:hAnsi="Times New Roman" w:cs="Times New Roman"/>
                      <w:b/>
                      <w:bCs/>
                      <w:color w:val="auto"/>
                      <w:kern w:val="0"/>
                      <w:sz w:val="21"/>
                      <w:szCs w:val="21"/>
                      <w:highlight w:val="none"/>
                    </w:rPr>
                  </w:pPr>
                  <w:r>
                    <w:rPr>
                      <w:rFonts w:hint="default" w:ascii="Times New Roman" w:hAnsi="Times New Roman" w:cs="Times New Roman"/>
                      <w:b/>
                      <w:bCs/>
                      <w:color w:val="auto"/>
                      <w:kern w:val="0"/>
                      <w:sz w:val="21"/>
                      <w:szCs w:val="21"/>
                      <w:highlight w:val="none"/>
                    </w:rPr>
                    <w:t>声源名称</w:t>
                  </w:r>
                </w:p>
              </w:tc>
              <w:tc>
                <w:tcPr>
                  <w:tcW w:w="2291" w:type="dxa"/>
                  <w:tcBorders>
                    <w:tl2br w:val="nil"/>
                    <w:tr2bl w:val="nil"/>
                  </w:tcBorders>
                  <w:noWrap w:val="0"/>
                  <w:vAlign w:val="center"/>
                </w:tcPr>
                <w:p w14:paraId="7C76490C">
                  <w:pPr>
                    <w:spacing w:line="240" w:lineRule="auto"/>
                    <w:jc w:val="center"/>
                    <w:rPr>
                      <w:rFonts w:hint="default" w:ascii="Times New Roman" w:hAnsi="Times New Roman" w:eastAsia="宋体" w:cs="Times New Roman"/>
                      <w:b/>
                      <w:bCs/>
                      <w:color w:val="auto"/>
                      <w:kern w:val="0"/>
                      <w:sz w:val="21"/>
                      <w:szCs w:val="21"/>
                      <w:highlight w:val="none"/>
                      <w:lang w:val="en-US" w:eastAsia="zh-CN"/>
                    </w:rPr>
                  </w:pPr>
                  <w:r>
                    <w:rPr>
                      <w:rFonts w:hint="default" w:ascii="Times New Roman" w:hAnsi="Times New Roman" w:cs="Times New Roman"/>
                      <w:b/>
                      <w:bCs/>
                      <w:color w:val="auto"/>
                      <w:kern w:val="0"/>
                      <w:sz w:val="21"/>
                      <w:szCs w:val="21"/>
                      <w:highlight w:val="none"/>
                      <w:lang w:val="en-US" w:eastAsia="zh-CN"/>
                    </w:rPr>
                    <w:t>环评设计治理措施</w:t>
                  </w:r>
                </w:p>
              </w:tc>
              <w:tc>
                <w:tcPr>
                  <w:tcW w:w="3406" w:type="dxa"/>
                  <w:tcBorders>
                    <w:tl2br w:val="nil"/>
                    <w:tr2bl w:val="nil"/>
                  </w:tcBorders>
                  <w:noWrap w:val="0"/>
                  <w:vAlign w:val="center"/>
                </w:tcPr>
                <w:p w14:paraId="224713FC">
                  <w:pPr>
                    <w:spacing w:line="240" w:lineRule="auto"/>
                    <w:jc w:val="center"/>
                    <w:rPr>
                      <w:rFonts w:hint="default" w:ascii="Times New Roman" w:hAnsi="Times New Roman" w:cs="Times New Roman"/>
                      <w:b/>
                      <w:bCs/>
                      <w:color w:val="auto"/>
                      <w:kern w:val="0"/>
                      <w:sz w:val="21"/>
                      <w:szCs w:val="21"/>
                      <w:highlight w:val="none"/>
                    </w:rPr>
                  </w:pPr>
                  <w:r>
                    <w:rPr>
                      <w:rFonts w:hint="default" w:ascii="Times New Roman" w:hAnsi="Times New Roman" w:cs="Times New Roman"/>
                      <w:b/>
                      <w:bCs/>
                      <w:color w:val="auto"/>
                      <w:kern w:val="0"/>
                      <w:sz w:val="21"/>
                      <w:szCs w:val="21"/>
                      <w:highlight w:val="none"/>
                      <w:lang w:val="en-US" w:eastAsia="zh-CN"/>
                    </w:rPr>
                    <w:t>实际</w:t>
                  </w:r>
                  <w:r>
                    <w:rPr>
                      <w:rFonts w:hint="default" w:ascii="Times New Roman" w:hAnsi="Times New Roman" w:cs="Times New Roman"/>
                      <w:b/>
                      <w:bCs/>
                      <w:color w:val="auto"/>
                      <w:kern w:val="0"/>
                      <w:sz w:val="21"/>
                      <w:szCs w:val="21"/>
                      <w:highlight w:val="none"/>
                    </w:rPr>
                    <w:t>治理措施</w:t>
                  </w:r>
                </w:p>
              </w:tc>
            </w:tr>
            <w:tr w14:paraId="06782B9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130" w:type="dxa"/>
                  <w:tcBorders>
                    <w:tl2br w:val="nil"/>
                    <w:tr2bl w:val="nil"/>
                  </w:tcBorders>
                  <w:noWrap w:val="0"/>
                  <w:vAlign w:val="center"/>
                </w:tcPr>
                <w:p w14:paraId="6155A80A">
                  <w:pPr>
                    <w:spacing w:line="240" w:lineRule="auto"/>
                    <w:jc w:val="center"/>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cs="Times New Roman"/>
                      <w:color w:val="auto"/>
                      <w:kern w:val="0"/>
                      <w:sz w:val="21"/>
                      <w:szCs w:val="21"/>
                      <w:highlight w:val="none"/>
                      <w:lang w:val="en-US" w:eastAsia="zh-CN"/>
                    </w:rPr>
                    <w:t>运行设备</w:t>
                  </w:r>
                </w:p>
              </w:tc>
              <w:tc>
                <w:tcPr>
                  <w:tcW w:w="2010" w:type="dxa"/>
                  <w:tcBorders>
                    <w:tl2br w:val="nil"/>
                    <w:tr2bl w:val="nil"/>
                  </w:tcBorders>
                  <w:noWrap w:val="0"/>
                  <w:vAlign w:val="center"/>
                </w:tcPr>
                <w:p w14:paraId="01D699B0">
                  <w:pPr>
                    <w:spacing w:line="240" w:lineRule="auto"/>
                    <w:jc w:val="both"/>
                    <w:rPr>
                      <w:rFonts w:hint="default" w:ascii="Times New Roman" w:hAnsi="Times New Roman" w:eastAsia="宋体" w:cs="Times New Roman"/>
                      <w:color w:val="auto"/>
                      <w:kern w:val="0"/>
                      <w:sz w:val="21"/>
                      <w:szCs w:val="21"/>
                      <w:highlight w:val="none"/>
                      <w:lang w:eastAsia="zh-CN"/>
                    </w:rPr>
                  </w:pPr>
                  <w:r>
                    <w:rPr>
                      <w:rFonts w:hint="eastAsia" w:ascii="Times New Roman" w:hAnsi="Times New Roman" w:cs="Times New Roman"/>
                      <w:color w:val="auto"/>
                      <w:kern w:val="0"/>
                      <w:sz w:val="21"/>
                      <w:szCs w:val="21"/>
                      <w:highlight w:val="none"/>
                      <w:lang w:val="en-US" w:eastAsia="zh-CN"/>
                    </w:rPr>
                    <w:t>屠宰设备、分割设备、清洗机、提升机以及压缩机等机械设备运行产生的噪声和赶运、过磅、屠宰时的叫声</w:t>
                  </w:r>
                </w:p>
              </w:tc>
              <w:tc>
                <w:tcPr>
                  <w:tcW w:w="2291" w:type="dxa"/>
                  <w:tcBorders>
                    <w:tl2br w:val="nil"/>
                    <w:tr2bl w:val="nil"/>
                  </w:tcBorders>
                  <w:noWrap w:val="0"/>
                  <w:vAlign w:val="center"/>
                </w:tcPr>
                <w:p w14:paraId="6C20B3E1">
                  <w:pPr>
                    <w:spacing w:line="240" w:lineRule="auto"/>
                    <w:jc w:val="center"/>
                    <w:rPr>
                      <w:rFonts w:hint="default" w:ascii="Times New Roman" w:hAnsi="Times New Roman" w:eastAsia="宋体" w:cs="Times New Roman"/>
                      <w:color w:val="auto"/>
                      <w:highlight w:val="none"/>
                      <w:lang w:eastAsia="zh-CN"/>
                    </w:rPr>
                  </w:pPr>
                  <w:r>
                    <w:rPr>
                      <w:rFonts w:hint="default" w:ascii="Times New Roman" w:hAnsi="Times New Roman" w:cs="Times New Roman"/>
                      <w:color w:val="auto"/>
                    </w:rPr>
                    <w:t>消声、减振、隔声</w:t>
                  </w:r>
                </w:p>
              </w:tc>
              <w:tc>
                <w:tcPr>
                  <w:tcW w:w="3406" w:type="dxa"/>
                  <w:tcBorders>
                    <w:tl2br w:val="nil"/>
                    <w:tr2bl w:val="nil"/>
                  </w:tcBorders>
                  <w:noWrap w:val="0"/>
                  <w:vAlign w:val="center"/>
                </w:tcPr>
                <w:p w14:paraId="73DB1736">
                  <w:pPr>
                    <w:spacing w:line="240" w:lineRule="auto"/>
                    <w:jc w:val="center"/>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cs="Times New Roman"/>
                      <w:color w:val="auto"/>
                      <w:kern w:val="0"/>
                      <w:sz w:val="21"/>
                      <w:szCs w:val="21"/>
                      <w:highlight w:val="none"/>
                      <w:lang w:val="en-US" w:eastAsia="zh-CN"/>
                    </w:rPr>
                    <w:t>采取吸声、隔声、减振、消声等降噪措施后，加之距离衰减、绿化隔声作用，同时本项目主要生产设备均位于生产车间内，生产车间距离最近厂界边界距离在10m以上排放</w:t>
                  </w:r>
                </w:p>
              </w:tc>
            </w:tr>
          </w:tbl>
          <w:p w14:paraId="4E37F52E">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3.4固废</w:t>
            </w:r>
          </w:p>
          <w:p w14:paraId="3D9BC883">
            <w:pPr>
              <w:pStyle w:val="29"/>
              <w:keepNext w:val="0"/>
              <w:keepLines w:val="0"/>
              <w:pageBreakBefore w:val="0"/>
              <w:widowControl/>
              <w:numPr>
                <w:ilvl w:val="0"/>
                <w:numId w:val="0"/>
              </w:numPr>
              <w:kinsoku/>
              <w:wordWrap/>
              <w:overflowPunct/>
              <w:topLinePunct w:val="0"/>
              <w:autoSpaceDE/>
              <w:autoSpaceDN/>
              <w:bidi w:val="0"/>
              <w:adjustRightInd/>
              <w:snapToGrid/>
              <w:spacing w:before="0" w:beforeLines="0" w:line="360" w:lineRule="auto"/>
              <w:ind w:right="0" w:rightChars="0" w:firstLine="480" w:firstLineChars="200"/>
              <w:jc w:val="both"/>
              <w:textAlignment w:val="baseline"/>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本项目工程固体废物主要为危险废物、一般工业固体废物及生活垃圾。</w:t>
            </w:r>
          </w:p>
          <w:p w14:paraId="4B8ABCF2">
            <w:pPr>
              <w:pStyle w:val="29"/>
              <w:keepNext w:val="0"/>
              <w:keepLines w:val="0"/>
              <w:pageBreakBefore w:val="0"/>
              <w:widowControl/>
              <w:numPr>
                <w:ilvl w:val="0"/>
                <w:numId w:val="0"/>
              </w:numPr>
              <w:kinsoku/>
              <w:wordWrap/>
              <w:overflowPunct/>
              <w:topLinePunct w:val="0"/>
              <w:autoSpaceDE/>
              <w:autoSpaceDN/>
              <w:bidi w:val="0"/>
              <w:adjustRightInd/>
              <w:snapToGrid/>
              <w:spacing w:before="0" w:beforeLines="0" w:line="360" w:lineRule="auto"/>
              <w:ind w:right="0" w:rightChars="0" w:firstLine="480" w:firstLineChars="200"/>
              <w:jc w:val="both"/>
              <w:textAlignment w:val="baseline"/>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lang w:val="en-US" w:eastAsia="zh-CN"/>
              </w:rPr>
              <w:t>（1）危险废物主要为</w:t>
            </w:r>
            <w:r>
              <w:rPr>
                <w:rFonts w:hint="eastAsia" w:ascii="宋体" w:hAnsi="宋体" w:eastAsia="宋体" w:cs="宋体"/>
                <w:b w:val="0"/>
                <w:bCs w:val="0"/>
                <w:spacing w:val="-6"/>
                <w:sz w:val="24"/>
                <w:szCs w:val="24"/>
              </w:rPr>
              <w:t>废活性炭</w:t>
            </w:r>
            <w:r>
              <w:rPr>
                <w:rFonts w:hint="eastAsia" w:ascii="宋体" w:hAnsi="宋体" w:eastAsia="宋体" w:cs="宋体"/>
                <w:b w:val="0"/>
                <w:bCs w:val="0"/>
                <w:spacing w:val="-6"/>
                <w:sz w:val="24"/>
                <w:szCs w:val="24"/>
                <w:lang w:eastAsia="zh-CN"/>
              </w:rPr>
              <w:t>，</w:t>
            </w:r>
            <w:r>
              <w:rPr>
                <w:rFonts w:hint="eastAsia" w:ascii="宋体" w:hAnsi="宋体" w:eastAsia="宋体" w:cs="宋体"/>
                <w:b w:val="0"/>
                <w:bCs w:val="0"/>
                <w:spacing w:val="-6"/>
                <w:sz w:val="24"/>
                <w:szCs w:val="24"/>
              </w:rPr>
              <w:t>根据《国家危险废物名录》附录“危</w:t>
            </w:r>
            <w:r>
              <w:rPr>
                <w:rFonts w:hint="eastAsia" w:ascii="宋体" w:hAnsi="宋体" w:eastAsia="宋体" w:cs="宋体"/>
                <w:b w:val="0"/>
                <w:bCs w:val="0"/>
                <w:sz w:val="24"/>
                <w:szCs w:val="24"/>
              </w:rPr>
              <w:t>险废物豁免管理清单”,活性炭属于危险废物HW49</w:t>
            </w:r>
            <w:r>
              <w:rPr>
                <w:rFonts w:hint="eastAsia" w:ascii="宋体" w:hAnsi="宋体" w:eastAsia="宋体" w:cs="宋体"/>
                <w:b w:val="0"/>
                <w:bCs w:val="0"/>
                <w:sz w:val="24"/>
                <w:szCs w:val="24"/>
                <w:lang w:eastAsia="zh-CN"/>
              </w:rPr>
              <w:t>，</w:t>
            </w:r>
            <w:r>
              <w:rPr>
                <w:rFonts w:hint="eastAsia" w:ascii="宋体" w:hAnsi="宋体" w:eastAsia="宋体" w:cs="宋体"/>
                <w:b w:val="0"/>
                <w:bCs w:val="0"/>
                <w:spacing w:val="-3"/>
                <w:sz w:val="24"/>
                <w:szCs w:val="24"/>
              </w:rPr>
              <w:t>本项目所产生的活性炭危险固废</w:t>
            </w:r>
            <w:r>
              <w:rPr>
                <w:rFonts w:hint="eastAsia" w:ascii="宋体" w:hAnsi="宋体" w:eastAsia="宋体" w:cs="宋体"/>
                <w:b w:val="0"/>
                <w:bCs w:val="0"/>
                <w:sz w:val="24"/>
                <w:szCs w:val="24"/>
              </w:rPr>
              <w:t>要严格按照《危险废物贮存污染控制标准》(GB18597-2001)相关规定，采用专门的容器进行集中收集，并按规定设置警示</w:t>
            </w:r>
            <w:r>
              <w:rPr>
                <w:rFonts w:hint="eastAsia" w:ascii="宋体" w:hAnsi="宋体" w:eastAsia="宋体" w:cs="宋体"/>
                <w:b w:val="0"/>
                <w:bCs w:val="0"/>
                <w:spacing w:val="-1"/>
                <w:sz w:val="24"/>
                <w:szCs w:val="24"/>
              </w:rPr>
              <w:t>标志</w:t>
            </w:r>
            <w:r>
              <w:rPr>
                <w:rFonts w:hint="eastAsia" w:ascii="宋体" w:hAnsi="宋体" w:eastAsia="宋体" w:cs="宋体"/>
                <w:b w:val="0"/>
                <w:bCs w:val="0"/>
                <w:spacing w:val="-1"/>
                <w:sz w:val="24"/>
                <w:szCs w:val="24"/>
                <w:lang w:eastAsia="zh-CN"/>
              </w:rPr>
              <w:t>，</w:t>
            </w:r>
            <w:r>
              <w:rPr>
                <w:rFonts w:hint="eastAsia" w:ascii="宋体" w:hAnsi="宋体" w:eastAsia="宋体" w:cs="宋体"/>
                <w:b w:val="0"/>
                <w:bCs w:val="0"/>
                <w:spacing w:val="-1"/>
                <w:sz w:val="24"/>
                <w:szCs w:val="24"/>
                <w:lang w:val="en-US" w:eastAsia="zh-CN"/>
              </w:rPr>
              <w:t>与</w:t>
            </w:r>
            <w:r>
              <w:rPr>
                <w:rFonts w:hint="eastAsia" w:ascii="宋体" w:hAnsi="宋体" w:eastAsia="宋体" w:cs="宋体"/>
                <w:b w:val="0"/>
                <w:bCs w:val="0"/>
                <w:spacing w:val="-1"/>
                <w:sz w:val="24"/>
                <w:szCs w:val="24"/>
                <w:lang w:eastAsia="zh-CN"/>
              </w:rPr>
              <w:t>新疆国兴环保科技有限责任公司</w:t>
            </w:r>
            <w:r>
              <w:rPr>
                <w:rFonts w:hint="eastAsia" w:ascii="宋体" w:hAnsi="宋体" w:eastAsia="宋体" w:cs="宋体"/>
                <w:b w:val="0"/>
                <w:bCs w:val="0"/>
                <w:color w:val="auto"/>
                <w:sz w:val="24"/>
                <w:szCs w:val="24"/>
                <w:lang w:val="en-US" w:eastAsia="zh-CN"/>
              </w:rPr>
              <w:t>签订了危废处置协议。</w:t>
            </w:r>
            <w:r>
              <w:rPr>
                <w:rFonts w:hint="eastAsia" w:ascii="宋体" w:hAnsi="宋体" w:eastAsia="宋体" w:cs="宋体"/>
                <w:b w:val="0"/>
                <w:bCs w:val="0"/>
                <w:spacing w:val="-1"/>
                <w:sz w:val="24"/>
                <w:szCs w:val="24"/>
                <w:lang w:val="en-US" w:eastAsia="zh-CN"/>
              </w:rPr>
              <w:t>定期交由有资质的</w:t>
            </w:r>
            <w:r>
              <w:rPr>
                <w:rFonts w:hint="eastAsia" w:ascii="宋体" w:hAnsi="宋体" w:eastAsia="宋体" w:cs="宋体"/>
                <w:b w:val="0"/>
                <w:bCs w:val="0"/>
                <w:spacing w:val="-1"/>
                <w:sz w:val="24"/>
                <w:szCs w:val="24"/>
                <w:lang w:eastAsia="zh-CN"/>
              </w:rPr>
              <w:t>新疆国兴环保科技有限责任公司</w:t>
            </w:r>
            <w:r>
              <w:rPr>
                <w:rFonts w:hint="eastAsia" w:ascii="宋体" w:hAnsi="宋体" w:eastAsia="宋体" w:cs="宋体"/>
                <w:b w:val="0"/>
                <w:bCs w:val="0"/>
                <w:spacing w:val="-1"/>
                <w:sz w:val="24"/>
                <w:szCs w:val="24"/>
                <w:lang w:val="en-US" w:eastAsia="zh-CN"/>
              </w:rPr>
              <w:t>进行处理</w:t>
            </w:r>
            <w:r>
              <w:rPr>
                <w:rFonts w:hint="eastAsia" w:ascii="宋体" w:hAnsi="宋体" w:eastAsia="宋体" w:cs="宋体"/>
                <w:b w:val="0"/>
                <w:bCs w:val="0"/>
                <w:spacing w:val="-1"/>
                <w:sz w:val="24"/>
                <w:szCs w:val="24"/>
              </w:rPr>
              <w:t>。</w:t>
            </w:r>
            <w:r>
              <w:rPr>
                <w:rFonts w:hint="eastAsia" w:ascii="宋体" w:hAnsi="宋体" w:eastAsia="宋体" w:cs="宋体"/>
                <w:b w:val="0"/>
                <w:bCs w:val="0"/>
                <w:color w:val="auto"/>
                <w:kern w:val="2"/>
                <w:sz w:val="24"/>
                <w:szCs w:val="24"/>
                <w:lang w:val="en-US" w:eastAsia="zh-CN" w:bidi="ar-SA"/>
              </w:rPr>
              <w:t>新建危废贮存库（10m</w:t>
            </w:r>
            <w:r>
              <w:rPr>
                <w:rFonts w:hint="eastAsia" w:ascii="宋体" w:hAnsi="宋体" w:eastAsia="宋体" w:cs="宋体"/>
                <w:b w:val="0"/>
                <w:bCs w:val="0"/>
                <w:color w:val="auto"/>
                <w:kern w:val="2"/>
                <w:sz w:val="24"/>
                <w:szCs w:val="24"/>
                <w:vertAlign w:val="superscript"/>
                <w:lang w:val="en-US" w:eastAsia="zh-CN" w:bidi="ar-SA"/>
              </w:rPr>
              <w:t>2</w:t>
            </w:r>
            <w:r>
              <w:rPr>
                <w:rFonts w:hint="eastAsia" w:ascii="宋体" w:hAnsi="宋体" w:eastAsia="宋体" w:cs="宋体"/>
                <w:b w:val="0"/>
                <w:bCs w:val="0"/>
                <w:color w:val="auto"/>
                <w:kern w:val="2"/>
                <w:sz w:val="24"/>
                <w:szCs w:val="24"/>
                <w:lang w:val="en-US" w:eastAsia="zh-CN" w:bidi="ar-SA"/>
              </w:rPr>
              <w:t>）位于车间外一侧，满足防风、防雨、防晒要求，地面已按要求做防渗，张贴了标识标牌，建立台账及管理制度，已制定危废管理计划。</w:t>
            </w:r>
          </w:p>
          <w:p w14:paraId="5A6978BD">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textAlignment w:val="auto"/>
              <w:rPr>
                <w:rFonts w:hint="eastAsia" w:ascii="宋体" w:hAnsi="宋体" w:eastAsia="宋体" w:cs="宋体"/>
                <w:sz w:val="24"/>
                <w:szCs w:val="24"/>
                <w:lang w:eastAsia="zh-CN"/>
              </w:rPr>
            </w:pPr>
            <w:r>
              <w:rPr>
                <w:rFonts w:hint="eastAsia" w:ascii="宋体" w:hAnsi="宋体" w:eastAsia="宋体" w:cs="宋体"/>
                <w:color w:val="auto"/>
                <w:sz w:val="24"/>
                <w:szCs w:val="24"/>
                <w:lang w:val="en-US" w:eastAsia="zh-CN"/>
              </w:rPr>
              <w:t>（2）一般工业固体废物：</w:t>
            </w:r>
            <w:r>
              <w:rPr>
                <w:rFonts w:hint="eastAsia" w:ascii="宋体" w:hAnsi="宋体" w:eastAsia="宋体" w:cs="宋体"/>
                <w:spacing w:val="-3"/>
                <w:sz w:val="24"/>
                <w:szCs w:val="24"/>
              </w:rPr>
              <w:t>粪便、未消化饲料</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rPr>
              <w:t>牛羊血、牛羊皮</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rPr>
              <w:t>病死牛羊、下脚料</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rPr>
              <w:t>污水处理站</w:t>
            </w:r>
            <w:r>
              <w:rPr>
                <w:rFonts w:hint="eastAsia" w:ascii="宋体" w:hAnsi="宋体" w:eastAsia="宋体" w:cs="宋体"/>
                <w:sz w:val="24"/>
                <w:szCs w:val="24"/>
              </w:rPr>
              <w:t>污泥</w:t>
            </w:r>
            <w:r>
              <w:rPr>
                <w:rFonts w:hint="eastAsia" w:ascii="宋体" w:hAnsi="宋体" w:eastAsia="宋体" w:cs="宋体"/>
                <w:sz w:val="24"/>
                <w:szCs w:val="24"/>
                <w:lang w:eastAsia="zh-CN"/>
              </w:rPr>
              <w:t>。</w:t>
            </w:r>
          </w:p>
          <w:p w14:paraId="243DC3A5">
            <w:pPr>
              <w:pStyle w:val="11"/>
              <w:keepNext w:val="0"/>
              <w:keepLines w:val="0"/>
              <w:pageBreakBefore w:val="0"/>
              <w:widowControl w:val="0"/>
              <w:kinsoku/>
              <w:wordWrap/>
              <w:overflowPunct/>
              <w:topLinePunct w:val="0"/>
              <w:autoSpaceDE/>
              <w:autoSpaceDN/>
              <w:bidi w:val="0"/>
              <w:adjustRightInd/>
              <w:snapToGrid/>
              <w:spacing w:after="0" w:afterLines="0" w:line="360" w:lineRule="auto"/>
              <w:ind w:left="0" w:leftChars="0" w:right="0" w:rightChars="0" w:firstLine="480" w:firstLineChars="200"/>
              <w:textAlignment w:val="auto"/>
              <w:rPr>
                <w:rFonts w:hint="eastAsia" w:ascii="宋体" w:hAnsi="宋体" w:eastAsia="宋体" w:cs="宋体"/>
                <w:b w:val="0"/>
                <w:bCs w:val="0"/>
                <w:color w:val="auto"/>
                <w:kern w:val="0"/>
                <w:sz w:val="24"/>
                <w:szCs w:val="24"/>
                <w:lang w:val="en-US" w:eastAsia="zh-CN" w:bidi="en-US"/>
              </w:rPr>
            </w:pPr>
            <w:r>
              <w:rPr>
                <w:rFonts w:hint="eastAsia" w:ascii="宋体" w:hAnsi="宋体" w:eastAsia="宋体" w:cs="宋体"/>
                <w:b w:val="0"/>
                <w:bCs w:val="0"/>
                <w:color w:val="auto"/>
                <w:kern w:val="0"/>
                <w:sz w:val="24"/>
                <w:szCs w:val="24"/>
                <w:lang w:val="en-US" w:eastAsia="zh-CN" w:bidi="en-US"/>
              </w:rPr>
              <w:t>粪便、未消化饲料收集后外售给附近专业公司作为有机肥原料使用；牛羊血、牛羊皮收集后作为副产品外售；病死牛羊、下脚料严格按照《病害动物和病害动物产品生物安全处理规程》(GB16548-2006)中相关要求进行无害化处理，处理后的残渣可外卖专业公司作为有机肥原料使用；污水处理站污泥收集后由环卫部门统一清运，日产日销。新建一般固废贮存库（10m2）位于车间外一侧，有防雨淋的装置，地基高度应确保设施 内不受雨洪冲击或浸泡。避免阳光直射库内，应有良好的照明设备和通风条件，张贴了标识标牌，建立台账及管理制度。</w:t>
            </w:r>
          </w:p>
          <w:p w14:paraId="7EE60630">
            <w:pPr>
              <w:pStyle w:val="11"/>
              <w:keepNext w:val="0"/>
              <w:keepLines w:val="0"/>
              <w:pageBreakBefore w:val="0"/>
              <w:widowControl w:val="0"/>
              <w:kinsoku/>
              <w:wordWrap/>
              <w:overflowPunct/>
              <w:topLinePunct w:val="0"/>
              <w:autoSpaceDE/>
              <w:autoSpaceDN/>
              <w:bidi w:val="0"/>
              <w:adjustRightInd/>
              <w:snapToGrid/>
              <w:spacing w:after="0" w:afterLines="0" w:line="360" w:lineRule="auto"/>
              <w:ind w:left="0" w:leftChars="0" w:right="0" w:rightChars="0" w:firstLine="480" w:firstLineChars="200"/>
              <w:textAlignment w:val="auto"/>
              <w:rPr>
                <w:rFonts w:hint="eastAsia" w:ascii="宋体" w:hAnsi="宋体" w:eastAsia="宋体" w:cs="宋体"/>
                <w:b w:val="0"/>
                <w:bCs w:val="0"/>
                <w:color w:val="auto"/>
                <w:kern w:val="0"/>
                <w:sz w:val="24"/>
                <w:szCs w:val="24"/>
                <w:lang w:val="en-US" w:eastAsia="zh-CN" w:bidi="en-US"/>
              </w:rPr>
            </w:pPr>
            <w:r>
              <w:rPr>
                <w:rFonts w:hint="eastAsia" w:ascii="宋体" w:hAnsi="宋体" w:eastAsia="宋体" w:cs="宋体"/>
                <w:b w:val="0"/>
                <w:bCs w:val="0"/>
                <w:color w:val="auto"/>
                <w:kern w:val="0"/>
                <w:sz w:val="24"/>
                <w:szCs w:val="24"/>
                <w:lang w:val="en-US" w:eastAsia="zh-CN" w:bidi="en-US"/>
              </w:rPr>
              <w:t>（3）生活垃圾</w:t>
            </w:r>
          </w:p>
          <w:p w14:paraId="63D44E28">
            <w:pPr>
              <w:pStyle w:val="11"/>
              <w:keepNext w:val="0"/>
              <w:keepLines w:val="0"/>
              <w:pageBreakBefore w:val="0"/>
              <w:widowControl w:val="0"/>
              <w:kinsoku/>
              <w:wordWrap/>
              <w:overflowPunct/>
              <w:topLinePunct w:val="0"/>
              <w:autoSpaceDE/>
              <w:autoSpaceDN/>
              <w:bidi w:val="0"/>
              <w:adjustRightInd/>
              <w:snapToGrid/>
              <w:spacing w:after="0" w:afterLines="0" w:line="360" w:lineRule="auto"/>
              <w:ind w:left="0" w:leftChars="0" w:right="0" w:rightChars="0" w:firstLine="480" w:firstLineChars="200"/>
              <w:textAlignment w:val="auto"/>
              <w:rPr>
                <w:rFonts w:hint="default" w:ascii="宋体" w:hAnsi="宋体" w:eastAsia="宋体" w:cs="宋体"/>
                <w:b w:val="0"/>
                <w:bCs w:val="0"/>
                <w:color w:val="auto"/>
                <w:kern w:val="0"/>
                <w:sz w:val="24"/>
                <w:szCs w:val="24"/>
                <w:lang w:val="en-US" w:eastAsia="zh-CN" w:bidi="en-US"/>
              </w:rPr>
            </w:pPr>
            <w:r>
              <w:rPr>
                <w:rFonts w:hint="eastAsia" w:ascii="宋体" w:hAnsi="宋体" w:eastAsia="宋体" w:cs="宋体"/>
                <w:b w:val="0"/>
                <w:bCs w:val="0"/>
                <w:color w:val="auto"/>
                <w:kern w:val="0"/>
                <w:sz w:val="24"/>
                <w:szCs w:val="24"/>
                <w:lang w:val="en-US" w:eastAsia="zh-CN" w:bidi="en-US"/>
              </w:rPr>
              <w:t>生活垃圾收集后交环卫部门定期清运。</w:t>
            </w:r>
            <w:r>
              <w:rPr>
                <w:rFonts w:hint="default" w:ascii="宋体" w:hAnsi="宋体" w:eastAsia="宋体" w:cs="宋体"/>
                <w:b w:val="0"/>
                <w:bCs w:val="0"/>
                <w:color w:val="auto"/>
                <w:kern w:val="0"/>
                <w:sz w:val="24"/>
                <w:szCs w:val="24"/>
                <w:lang w:val="en-US" w:eastAsia="zh-CN" w:bidi="en-US"/>
              </w:rPr>
              <w:t>项目固废产排情况见表3-4。</w:t>
            </w:r>
          </w:p>
          <w:p w14:paraId="3D0D6318">
            <w:pPr>
              <w:pStyle w:val="11"/>
              <w:keepNext w:val="0"/>
              <w:keepLines w:val="0"/>
              <w:pageBreakBefore w:val="0"/>
              <w:widowControl w:val="0"/>
              <w:kinsoku/>
              <w:wordWrap/>
              <w:overflowPunct/>
              <w:topLinePunct w:val="0"/>
              <w:autoSpaceDE/>
              <w:autoSpaceDN/>
              <w:bidi w:val="0"/>
              <w:adjustRightInd/>
              <w:snapToGrid/>
              <w:spacing w:after="0" w:afterLines="0" w:line="360" w:lineRule="auto"/>
              <w:ind w:left="0" w:leftChars="0" w:right="0" w:rightChars="0" w:firstLine="0" w:firstLineChars="0"/>
              <w:textAlignment w:val="auto"/>
              <w:rPr>
                <w:rFonts w:hint="default" w:ascii="宋体" w:hAnsi="宋体" w:eastAsia="宋体" w:cs="宋体"/>
                <w:b w:val="0"/>
                <w:bCs w:val="0"/>
                <w:color w:val="auto"/>
                <w:kern w:val="0"/>
                <w:sz w:val="24"/>
                <w:szCs w:val="24"/>
                <w:lang w:val="en-US" w:eastAsia="zh-CN" w:bidi="en-US"/>
              </w:rPr>
            </w:pPr>
            <w:r>
              <w:rPr>
                <w:rFonts w:hint="default" w:ascii="宋体" w:hAnsi="宋体" w:eastAsia="宋体" w:cs="宋体"/>
                <w:b/>
                <w:bCs/>
                <w:color w:val="auto"/>
                <w:kern w:val="0"/>
                <w:sz w:val="24"/>
                <w:szCs w:val="24"/>
                <w:lang w:val="en-US" w:eastAsia="zh-CN" w:bidi="en-US"/>
              </w:rPr>
              <w:t>表3-4                     项目固废产排情况一览表</w:t>
            </w:r>
          </w:p>
          <w:tbl>
            <w:tblPr>
              <w:tblStyle w:val="15"/>
              <w:tblW w:w="7414"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619"/>
              <w:gridCol w:w="982"/>
              <w:gridCol w:w="986"/>
              <w:gridCol w:w="1065"/>
              <w:gridCol w:w="2762"/>
            </w:tblGrid>
            <w:tr w14:paraId="3EA222A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75" w:hRule="atLeast"/>
                <w:jc w:val="center"/>
              </w:trPr>
              <w:tc>
                <w:tcPr>
                  <w:tcW w:w="1619" w:type="dxa"/>
                  <w:noWrap w:val="0"/>
                  <w:vAlign w:val="center"/>
                </w:tcPr>
                <w:p w14:paraId="1A2A57EF">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b/>
                      <w:bCs/>
                      <w:color w:val="auto"/>
                      <w:kern w:val="0"/>
                      <w:szCs w:val="21"/>
                    </w:rPr>
                  </w:pPr>
                  <w:r>
                    <w:rPr>
                      <w:rFonts w:hint="default" w:ascii="Times New Roman" w:hAnsi="Times New Roman" w:cs="Times New Roman"/>
                      <w:b/>
                      <w:bCs/>
                      <w:color w:val="auto"/>
                      <w:szCs w:val="21"/>
                    </w:rPr>
                    <w:t>固废种类</w:t>
                  </w:r>
                </w:p>
              </w:tc>
              <w:tc>
                <w:tcPr>
                  <w:tcW w:w="982" w:type="dxa"/>
                  <w:noWrap w:val="0"/>
                  <w:vAlign w:val="center"/>
                </w:tcPr>
                <w:p w14:paraId="780D0EFF">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b/>
                      <w:bCs/>
                      <w:color w:val="auto"/>
                      <w:kern w:val="0"/>
                      <w:szCs w:val="21"/>
                    </w:rPr>
                  </w:pPr>
                  <w:r>
                    <w:rPr>
                      <w:rFonts w:hint="default" w:ascii="Times New Roman" w:hAnsi="Times New Roman" w:cs="Times New Roman"/>
                      <w:b/>
                      <w:bCs/>
                      <w:color w:val="auto"/>
                      <w:szCs w:val="21"/>
                    </w:rPr>
                    <w:t>性质</w:t>
                  </w:r>
                </w:p>
              </w:tc>
              <w:tc>
                <w:tcPr>
                  <w:tcW w:w="986" w:type="dxa"/>
                  <w:noWrap w:val="0"/>
                  <w:vAlign w:val="center"/>
                </w:tcPr>
                <w:p w14:paraId="14486DE7">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b/>
                      <w:bCs/>
                      <w:color w:val="auto"/>
                      <w:kern w:val="0"/>
                      <w:szCs w:val="21"/>
                      <w:lang w:eastAsia="zh-CN"/>
                    </w:rPr>
                  </w:pPr>
                  <w:r>
                    <w:rPr>
                      <w:rFonts w:hint="default" w:ascii="Times New Roman" w:hAnsi="Times New Roman" w:cs="Times New Roman"/>
                      <w:b/>
                      <w:bCs/>
                      <w:color w:val="auto"/>
                      <w:kern w:val="0"/>
                      <w:szCs w:val="21"/>
                      <w:lang w:eastAsia="zh-CN"/>
                    </w:rPr>
                    <w:t>类别</w:t>
                  </w:r>
                </w:p>
              </w:tc>
              <w:tc>
                <w:tcPr>
                  <w:tcW w:w="1065" w:type="dxa"/>
                  <w:noWrap w:val="0"/>
                  <w:vAlign w:val="center"/>
                </w:tcPr>
                <w:p w14:paraId="5EA5D249">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b/>
                      <w:bCs/>
                      <w:color w:val="auto"/>
                      <w:kern w:val="0"/>
                      <w:sz w:val="21"/>
                      <w:szCs w:val="21"/>
                      <w:lang w:val="en-US" w:eastAsia="zh-CN" w:bidi="ar-SA"/>
                    </w:rPr>
                  </w:pPr>
                  <w:r>
                    <w:rPr>
                      <w:rFonts w:hint="default" w:ascii="Times New Roman" w:hAnsi="Times New Roman" w:cs="Times New Roman"/>
                      <w:b/>
                      <w:bCs/>
                      <w:color w:val="auto"/>
                      <w:szCs w:val="21"/>
                    </w:rPr>
                    <w:t>产生量</w:t>
                  </w:r>
                </w:p>
              </w:tc>
              <w:tc>
                <w:tcPr>
                  <w:tcW w:w="2762" w:type="dxa"/>
                  <w:noWrap w:val="0"/>
                  <w:vAlign w:val="center"/>
                </w:tcPr>
                <w:p w14:paraId="1FF608BD">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b/>
                      <w:bCs/>
                      <w:color w:val="auto"/>
                      <w:szCs w:val="21"/>
                    </w:rPr>
                  </w:pPr>
                  <w:r>
                    <w:rPr>
                      <w:rFonts w:hint="default" w:ascii="Times New Roman" w:hAnsi="Times New Roman" w:cs="Times New Roman"/>
                      <w:b/>
                      <w:bCs/>
                      <w:color w:val="auto"/>
                      <w:szCs w:val="21"/>
                      <w:lang w:eastAsia="zh-CN"/>
                    </w:rPr>
                    <w:t>治理方式及</w:t>
                  </w:r>
                  <w:r>
                    <w:rPr>
                      <w:rFonts w:hint="default" w:ascii="Times New Roman" w:hAnsi="Times New Roman" w:cs="Times New Roman"/>
                      <w:b/>
                      <w:bCs/>
                      <w:color w:val="auto"/>
                      <w:szCs w:val="21"/>
                    </w:rPr>
                    <w:t>去向</w:t>
                  </w:r>
                </w:p>
              </w:tc>
            </w:tr>
            <w:tr w14:paraId="72A320D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619" w:type="dxa"/>
                  <w:shd w:val="clear" w:color="auto" w:fill="auto"/>
                  <w:noWrap w:val="0"/>
                  <w:vAlign w:val="center"/>
                </w:tcPr>
                <w:p w14:paraId="5076C3B1">
                  <w:pPr>
                    <w:topLinePunct/>
                    <w:ind w:left="0" w:leftChars="0" w:right="0" w:rightChars="0"/>
                    <w:jc w:val="center"/>
                    <w:rPr>
                      <w:rFonts w:hint="eastAsia" w:ascii="宋体" w:hAnsi="宋体" w:eastAsia="宋体" w:cs="宋体"/>
                      <w:color w:val="auto"/>
                      <w:spacing w:val="0"/>
                      <w:kern w:val="2"/>
                      <w:sz w:val="21"/>
                      <w:szCs w:val="21"/>
                      <w:lang w:val="en-US" w:eastAsia="zh-CN" w:bidi="ar-SA"/>
                    </w:rPr>
                  </w:pPr>
                  <w:r>
                    <w:rPr>
                      <w:rFonts w:hint="eastAsia" w:ascii="宋体" w:hAnsi="宋体" w:eastAsia="宋体" w:cs="宋体"/>
                      <w:color w:val="auto"/>
                      <w:spacing w:val="0"/>
                      <w:kern w:val="2"/>
                      <w:sz w:val="21"/>
                      <w:szCs w:val="21"/>
                      <w:lang w:val="en-US" w:eastAsia="zh-CN" w:bidi="ar-SA"/>
                    </w:rPr>
                    <w:t>废活性炭</w:t>
                  </w:r>
                </w:p>
              </w:tc>
              <w:tc>
                <w:tcPr>
                  <w:tcW w:w="982" w:type="dxa"/>
                  <w:noWrap w:val="0"/>
                  <w:vAlign w:val="center"/>
                </w:tcPr>
                <w:p w14:paraId="4BBB2E1A">
                  <w:pPr>
                    <w:keepNext w:val="0"/>
                    <w:keepLines w:val="0"/>
                    <w:pageBreakBefore w:val="0"/>
                    <w:widowControl/>
                    <w:kinsoku/>
                    <w:wordWrap/>
                    <w:overflowPunct/>
                    <w:topLinePunct w:val="0"/>
                    <w:autoSpaceDE/>
                    <w:autoSpaceDN/>
                    <w:bidi w:val="0"/>
                    <w:spacing w:line="240" w:lineRule="auto"/>
                    <w:ind w:left="0" w:leftChars="0" w:right="0" w:rightChars="0"/>
                    <w:jc w:val="center"/>
                    <w:textAlignment w:val="auto"/>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lang w:eastAsia="zh-CN"/>
                    </w:rPr>
                    <w:t>危险</w:t>
                  </w:r>
                </w:p>
                <w:p w14:paraId="6A968F86">
                  <w:pPr>
                    <w:keepNext w:val="0"/>
                    <w:keepLines w:val="0"/>
                    <w:pageBreakBefore w:val="0"/>
                    <w:widowControl/>
                    <w:kinsoku/>
                    <w:wordWrap/>
                    <w:overflowPunct/>
                    <w:topLinePunct w:val="0"/>
                    <w:autoSpaceDE/>
                    <w:autoSpaceDN/>
                    <w:bidi w:val="0"/>
                    <w:spacing w:line="240" w:lineRule="auto"/>
                    <w:ind w:left="0" w:leftChars="0" w:right="0" w:rightChars="0"/>
                    <w:jc w:val="center"/>
                    <w:textAlignment w:val="auto"/>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lang w:eastAsia="zh-CN"/>
                    </w:rPr>
                    <w:t>废物</w:t>
                  </w:r>
                </w:p>
              </w:tc>
              <w:tc>
                <w:tcPr>
                  <w:tcW w:w="986" w:type="dxa"/>
                  <w:noWrap w:val="0"/>
                  <w:vAlign w:val="center"/>
                </w:tcPr>
                <w:p w14:paraId="2A555384">
                  <w:pPr>
                    <w:keepNext w:val="0"/>
                    <w:keepLines w:val="0"/>
                    <w:pageBreakBefore w:val="0"/>
                    <w:widowControl/>
                    <w:kinsoku/>
                    <w:wordWrap/>
                    <w:overflowPunct/>
                    <w:topLinePunct w:val="0"/>
                    <w:autoSpaceDE/>
                    <w:autoSpaceDN/>
                    <w:bidi w:val="0"/>
                    <w:spacing w:line="240" w:lineRule="auto"/>
                    <w:ind w:left="0" w:leftChars="0" w:right="0" w:rightChars="0"/>
                    <w:jc w:val="center"/>
                    <w:textAlignment w:val="auto"/>
                    <w:rPr>
                      <w:rFonts w:hint="eastAsia" w:ascii="宋体" w:hAnsi="宋体" w:eastAsia="宋体" w:cs="宋体"/>
                      <w:b w:val="0"/>
                      <w:bCs w:val="0"/>
                      <w:color w:val="auto"/>
                      <w:kern w:val="0"/>
                      <w:sz w:val="21"/>
                      <w:szCs w:val="21"/>
                      <w:lang w:val="en-US" w:eastAsia="zh-CN"/>
                    </w:rPr>
                  </w:pPr>
                  <w:r>
                    <w:rPr>
                      <w:rFonts w:hint="eastAsia" w:ascii="宋体" w:hAnsi="宋体" w:eastAsia="宋体" w:cs="宋体"/>
                      <w:color w:val="auto"/>
                      <w:kern w:val="2"/>
                      <w:sz w:val="21"/>
                      <w:szCs w:val="21"/>
                      <w:lang w:val="en-US" w:eastAsia="zh-CN" w:bidi="ar-SA"/>
                    </w:rPr>
                    <w:t>HW49</w:t>
                  </w:r>
                </w:p>
              </w:tc>
              <w:tc>
                <w:tcPr>
                  <w:tcW w:w="1065" w:type="dxa"/>
                  <w:noWrap w:val="0"/>
                  <w:vAlign w:val="center"/>
                </w:tcPr>
                <w:p w14:paraId="3AF6FC7A">
                  <w:pPr>
                    <w:keepNext w:val="0"/>
                    <w:keepLines w:val="0"/>
                    <w:pageBreakBefore w:val="0"/>
                    <w:kinsoku/>
                    <w:wordWrap/>
                    <w:overflowPunct/>
                    <w:topLinePunct w:val="0"/>
                    <w:autoSpaceDE/>
                    <w:autoSpaceDN/>
                    <w:bidi w:val="0"/>
                    <w:spacing w:line="240" w:lineRule="auto"/>
                    <w:ind w:left="0" w:leftChars="0" w:right="0" w:rightChars="0"/>
                    <w:jc w:val="center"/>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暂未产生</w:t>
                  </w:r>
                </w:p>
              </w:tc>
              <w:tc>
                <w:tcPr>
                  <w:tcW w:w="2762" w:type="dxa"/>
                  <w:noWrap w:val="0"/>
                  <w:vAlign w:val="center"/>
                </w:tcPr>
                <w:p w14:paraId="3F8D718E">
                  <w:pPr>
                    <w:keepNext w:val="0"/>
                    <w:keepLines w:val="0"/>
                    <w:pageBreakBefore w:val="0"/>
                    <w:widowControl/>
                    <w:kinsoku/>
                    <w:wordWrap/>
                    <w:overflowPunct/>
                    <w:topLinePunct w:val="0"/>
                    <w:autoSpaceDE/>
                    <w:autoSpaceDN/>
                    <w:bidi w:val="0"/>
                    <w:spacing w:line="240" w:lineRule="auto"/>
                    <w:ind w:left="0" w:leftChars="0" w:right="0" w:right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eastAsia="zh-CN"/>
                    </w:rPr>
                    <w:t>分类</w:t>
                  </w:r>
                  <w:r>
                    <w:rPr>
                      <w:rFonts w:hint="eastAsia" w:ascii="宋体" w:hAnsi="宋体" w:eastAsia="宋体" w:cs="宋体"/>
                      <w:color w:val="auto"/>
                      <w:kern w:val="0"/>
                      <w:sz w:val="21"/>
                      <w:szCs w:val="21"/>
                    </w:rPr>
                    <w:t>暂存于</w:t>
                  </w:r>
                  <w:r>
                    <w:rPr>
                      <w:rFonts w:hint="eastAsia" w:ascii="宋体" w:hAnsi="宋体" w:eastAsia="宋体" w:cs="宋体"/>
                      <w:color w:val="auto"/>
                      <w:kern w:val="0"/>
                      <w:sz w:val="21"/>
                      <w:szCs w:val="21"/>
                      <w:lang w:eastAsia="zh-CN"/>
                    </w:rPr>
                    <w:t>危废贮存</w:t>
                  </w:r>
                  <w:r>
                    <w:rPr>
                      <w:rFonts w:hint="eastAsia" w:ascii="宋体" w:hAnsi="宋体" w:eastAsia="宋体" w:cs="宋体"/>
                      <w:color w:val="auto"/>
                      <w:kern w:val="0"/>
                      <w:sz w:val="21"/>
                      <w:szCs w:val="21"/>
                      <w:lang w:val="en-US" w:eastAsia="zh-CN"/>
                    </w:rPr>
                    <w:t>间</w:t>
                  </w:r>
                  <w:r>
                    <w:rPr>
                      <w:rFonts w:hint="eastAsia" w:ascii="宋体" w:hAnsi="宋体" w:eastAsia="宋体" w:cs="宋体"/>
                      <w:color w:val="auto"/>
                      <w:kern w:val="0"/>
                      <w:sz w:val="21"/>
                      <w:szCs w:val="21"/>
                    </w:rPr>
                    <w:t>内，</w:t>
                  </w:r>
                  <w:r>
                    <w:rPr>
                      <w:rFonts w:hint="eastAsia" w:ascii="宋体" w:hAnsi="宋体" w:eastAsia="宋体" w:cs="宋体"/>
                      <w:color w:val="auto"/>
                      <w:kern w:val="0"/>
                      <w:sz w:val="21"/>
                      <w:szCs w:val="21"/>
                      <w:lang w:eastAsia="zh-CN"/>
                    </w:rPr>
                    <w:t>验收调查期间已与</w:t>
                  </w:r>
                  <w:r>
                    <w:rPr>
                      <w:rFonts w:hint="eastAsia" w:ascii="宋体" w:hAnsi="宋体" w:eastAsia="宋体" w:cs="宋体"/>
                      <w:b w:val="0"/>
                      <w:bCs w:val="0"/>
                      <w:spacing w:val="-1"/>
                      <w:sz w:val="21"/>
                      <w:szCs w:val="21"/>
                      <w:lang w:eastAsia="zh-CN"/>
                    </w:rPr>
                    <w:t>新疆国兴环保科技有限责任公司</w:t>
                  </w:r>
                  <w:r>
                    <w:rPr>
                      <w:rFonts w:hint="eastAsia" w:ascii="宋体" w:hAnsi="宋体" w:eastAsia="宋体" w:cs="宋体"/>
                      <w:color w:val="auto"/>
                      <w:kern w:val="0"/>
                      <w:sz w:val="21"/>
                      <w:szCs w:val="21"/>
                      <w:lang w:eastAsia="zh-CN"/>
                    </w:rPr>
                    <w:t>签订了危废处置协议</w:t>
                  </w:r>
                </w:p>
              </w:tc>
            </w:tr>
            <w:tr w14:paraId="46D3480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619" w:type="dxa"/>
                  <w:shd w:val="clear" w:color="auto" w:fill="auto"/>
                  <w:noWrap w:val="0"/>
                  <w:vAlign w:val="center"/>
                </w:tcPr>
                <w:p w14:paraId="10487E97">
                  <w:pPr>
                    <w:topLinePunct/>
                    <w:ind w:left="0" w:leftChars="0" w:right="0" w:rightChars="0"/>
                    <w:jc w:val="center"/>
                    <w:rPr>
                      <w:rFonts w:hint="eastAsia" w:ascii="宋体" w:hAnsi="宋体" w:eastAsia="宋体" w:cs="宋体"/>
                      <w:color w:val="auto"/>
                      <w:spacing w:val="0"/>
                      <w:kern w:val="2"/>
                      <w:sz w:val="21"/>
                      <w:szCs w:val="21"/>
                      <w:lang w:val="en-US" w:eastAsia="zh-CN" w:bidi="ar-SA"/>
                    </w:rPr>
                  </w:pPr>
                  <w:r>
                    <w:rPr>
                      <w:rFonts w:hint="eastAsia" w:ascii="宋体" w:hAnsi="宋体" w:eastAsia="宋体" w:cs="宋体"/>
                      <w:spacing w:val="-3"/>
                      <w:sz w:val="21"/>
                      <w:szCs w:val="21"/>
                    </w:rPr>
                    <w:t>粪便、未消化饲料</w:t>
                  </w:r>
                  <w:r>
                    <w:rPr>
                      <w:rFonts w:hint="eastAsia" w:ascii="宋体" w:hAnsi="宋体" w:eastAsia="宋体" w:cs="宋体"/>
                      <w:spacing w:val="-3"/>
                      <w:sz w:val="21"/>
                      <w:szCs w:val="21"/>
                      <w:lang w:eastAsia="zh-CN"/>
                    </w:rPr>
                    <w:t>、</w:t>
                  </w:r>
                  <w:r>
                    <w:rPr>
                      <w:rFonts w:hint="eastAsia" w:ascii="宋体" w:hAnsi="宋体" w:eastAsia="宋体" w:cs="宋体"/>
                      <w:spacing w:val="-3"/>
                      <w:sz w:val="21"/>
                      <w:szCs w:val="21"/>
                    </w:rPr>
                    <w:t>牛羊血、牛羊皮</w:t>
                  </w:r>
                  <w:r>
                    <w:rPr>
                      <w:rFonts w:hint="eastAsia" w:ascii="宋体" w:hAnsi="宋体" w:eastAsia="宋体" w:cs="宋体"/>
                      <w:spacing w:val="-3"/>
                      <w:sz w:val="21"/>
                      <w:szCs w:val="21"/>
                      <w:lang w:eastAsia="zh-CN"/>
                    </w:rPr>
                    <w:t>、</w:t>
                  </w:r>
                  <w:r>
                    <w:rPr>
                      <w:rFonts w:hint="eastAsia" w:ascii="宋体" w:hAnsi="宋体" w:eastAsia="宋体" w:cs="宋体"/>
                      <w:spacing w:val="-3"/>
                      <w:sz w:val="21"/>
                      <w:szCs w:val="21"/>
                    </w:rPr>
                    <w:t>病死牛羊、下脚料</w:t>
                  </w:r>
                  <w:r>
                    <w:rPr>
                      <w:rFonts w:hint="eastAsia" w:ascii="宋体" w:hAnsi="宋体" w:eastAsia="宋体" w:cs="宋体"/>
                      <w:spacing w:val="-3"/>
                      <w:sz w:val="21"/>
                      <w:szCs w:val="21"/>
                      <w:lang w:eastAsia="zh-CN"/>
                    </w:rPr>
                    <w:t>、</w:t>
                  </w:r>
                  <w:r>
                    <w:rPr>
                      <w:rFonts w:hint="eastAsia" w:ascii="宋体" w:hAnsi="宋体" w:eastAsia="宋体" w:cs="宋体"/>
                      <w:spacing w:val="-3"/>
                      <w:sz w:val="21"/>
                      <w:szCs w:val="21"/>
                    </w:rPr>
                    <w:t>污水处理站</w:t>
                  </w:r>
                  <w:r>
                    <w:rPr>
                      <w:rFonts w:hint="eastAsia" w:ascii="宋体" w:hAnsi="宋体" w:eastAsia="宋体" w:cs="宋体"/>
                      <w:sz w:val="21"/>
                      <w:szCs w:val="21"/>
                    </w:rPr>
                    <w:t>污泥</w:t>
                  </w:r>
                </w:p>
              </w:tc>
              <w:tc>
                <w:tcPr>
                  <w:tcW w:w="982" w:type="dxa"/>
                  <w:noWrap w:val="0"/>
                  <w:vAlign w:val="center"/>
                </w:tcPr>
                <w:p w14:paraId="6667B5F9">
                  <w:pPr>
                    <w:keepNext w:val="0"/>
                    <w:keepLines w:val="0"/>
                    <w:pageBreakBefore w:val="0"/>
                    <w:widowControl/>
                    <w:kinsoku/>
                    <w:wordWrap/>
                    <w:overflowPunct/>
                    <w:topLinePunct w:val="0"/>
                    <w:autoSpaceDE/>
                    <w:autoSpaceDN/>
                    <w:bidi w:val="0"/>
                    <w:spacing w:line="240" w:lineRule="auto"/>
                    <w:ind w:left="0" w:leftChars="0" w:right="0" w:rightChars="0"/>
                    <w:jc w:val="center"/>
                    <w:textAlignment w:val="auto"/>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lang w:eastAsia="zh-CN"/>
                    </w:rPr>
                    <w:t>一般固体废物</w:t>
                  </w:r>
                </w:p>
              </w:tc>
              <w:tc>
                <w:tcPr>
                  <w:tcW w:w="986" w:type="dxa"/>
                  <w:shd w:val="clear" w:color="auto" w:fill="auto"/>
                  <w:noWrap w:val="0"/>
                  <w:vAlign w:val="center"/>
                </w:tcPr>
                <w:p w14:paraId="6FD53084">
                  <w:pPr>
                    <w:keepNext w:val="0"/>
                    <w:keepLines w:val="0"/>
                    <w:pageBreakBefore w:val="0"/>
                    <w:widowControl/>
                    <w:kinsoku/>
                    <w:wordWrap/>
                    <w:overflowPunct/>
                    <w:topLinePunct w:val="0"/>
                    <w:autoSpaceDE/>
                    <w:autoSpaceDN/>
                    <w:bidi w:val="0"/>
                    <w:spacing w:line="240" w:lineRule="auto"/>
                    <w:ind w:left="0" w:leftChars="0" w:right="0" w:right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w:t>
                  </w:r>
                </w:p>
              </w:tc>
              <w:tc>
                <w:tcPr>
                  <w:tcW w:w="1065" w:type="dxa"/>
                  <w:noWrap w:val="0"/>
                  <w:vAlign w:val="center"/>
                </w:tcPr>
                <w:p w14:paraId="7FD90675">
                  <w:pPr>
                    <w:keepNext w:val="0"/>
                    <w:keepLines w:val="0"/>
                    <w:pageBreakBefore w:val="0"/>
                    <w:widowControl/>
                    <w:kinsoku/>
                    <w:wordWrap/>
                    <w:overflowPunct/>
                    <w:topLinePunct w:val="0"/>
                    <w:autoSpaceDE/>
                    <w:autoSpaceDN/>
                    <w:bidi w:val="0"/>
                    <w:spacing w:line="240" w:lineRule="auto"/>
                    <w:ind w:left="0" w:leftChars="0" w:right="0" w:rightChars="0"/>
                    <w:jc w:val="center"/>
                    <w:textAlignment w:val="auto"/>
                    <w:rPr>
                      <w:rFonts w:hint="eastAsia" w:ascii="宋体" w:hAnsi="宋体" w:eastAsia="宋体" w:cs="宋体"/>
                      <w:color w:val="auto"/>
                      <w:kern w:val="21"/>
                      <w:sz w:val="21"/>
                      <w:szCs w:val="21"/>
                      <w:lang w:val="en-US" w:eastAsia="zh-CN"/>
                    </w:rPr>
                  </w:pPr>
                  <w:r>
                    <w:rPr>
                      <w:rFonts w:hint="eastAsia" w:ascii="宋体" w:hAnsi="宋体" w:eastAsia="宋体" w:cs="宋体"/>
                      <w:color w:val="auto"/>
                      <w:kern w:val="21"/>
                      <w:sz w:val="21"/>
                      <w:szCs w:val="21"/>
                      <w:lang w:val="en-US" w:eastAsia="zh-CN"/>
                    </w:rPr>
                    <w:t>793</w:t>
                  </w:r>
                  <w:r>
                    <w:rPr>
                      <w:rFonts w:hint="eastAsia" w:ascii="宋体" w:hAnsi="宋体" w:eastAsia="宋体" w:cs="宋体"/>
                      <w:b w:val="0"/>
                      <w:bCs w:val="0"/>
                      <w:color w:val="auto"/>
                      <w:sz w:val="21"/>
                      <w:szCs w:val="21"/>
                    </w:rPr>
                    <w:t>t/a</w:t>
                  </w:r>
                </w:p>
              </w:tc>
              <w:tc>
                <w:tcPr>
                  <w:tcW w:w="2762" w:type="dxa"/>
                  <w:noWrap w:val="0"/>
                  <w:vAlign w:val="center"/>
                </w:tcPr>
                <w:p w14:paraId="1920B5DB">
                  <w:pPr>
                    <w:pStyle w:val="5"/>
                    <w:snapToGrid w:val="0"/>
                    <w:ind w:left="0" w:leftChars="0" w:right="0" w:rightChars="0" w:firstLine="0" w:firstLineChars="0"/>
                    <w:jc w:val="left"/>
                    <w:rPr>
                      <w:rFonts w:hint="eastAsia" w:ascii="宋体" w:hAnsi="宋体" w:eastAsia="宋体" w:cs="宋体"/>
                      <w:color w:val="auto"/>
                      <w:kern w:val="21"/>
                      <w:sz w:val="21"/>
                      <w:szCs w:val="21"/>
                      <w:lang w:val="en-US" w:eastAsia="zh-CN" w:bidi="en-US"/>
                    </w:rPr>
                  </w:pPr>
                  <w:r>
                    <w:rPr>
                      <w:rFonts w:hint="eastAsia" w:ascii="宋体" w:hAnsi="宋体" w:eastAsia="宋体" w:cs="宋体"/>
                      <w:b w:val="0"/>
                      <w:bCs w:val="0"/>
                      <w:color w:val="auto"/>
                      <w:kern w:val="0"/>
                      <w:sz w:val="21"/>
                      <w:szCs w:val="21"/>
                      <w:lang w:val="en-US" w:eastAsia="zh-CN" w:bidi="en-US"/>
                    </w:rPr>
                    <w:t>粪便、未消化饲料收集后外售给附近专业公司作为有机肥原料使用；牛羊血、牛羊皮收集后作为副产品外售；病死牛羊、下脚料严格按照《病害动物和病害动物产品生物安全处理规程》(GB16548-2006)中相关要求进行无害化处理，处理后的残渣可外卖专业公司作为有机肥原料使用；污水处理站污泥收集后由环卫部门统一清运，日产日销。</w:t>
                  </w:r>
                </w:p>
              </w:tc>
            </w:tr>
            <w:tr w14:paraId="2FD7ACD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19" w:type="dxa"/>
                  <w:noWrap w:val="0"/>
                  <w:vAlign w:val="center"/>
                </w:tcPr>
                <w:p w14:paraId="5C232BEB">
                  <w:pPr>
                    <w:keepNext w:val="0"/>
                    <w:keepLines w:val="0"/>
                    <w:pageBreakBefore w:val="0"/>
                    <w:widowControl/>
                    <w:kinsoku/>
                    <w:wordWrap/>
                    <w:overflowPunct/>
                    <w:topLinePunct w:val="0"/>
                    <w:autoSpaceDE/>
                    <w:autoSpaceDN/>
                    <w:bidi w:val="0"/>
                    <w:spacing w:line="240" w:lineRule="auto"/>
                    <w:ind w:left="0" w:leftChars="0" w:right="0" w:right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生活垃圾</w:t>
                  </w:r>
                </w:p>
              </w:tc>
              <w:tc>
                <w:tcPr>
                  <w:tcW w:w="982" w:type="dxa"/>
                  <w:noWrap w:val="0"/>
                  <w:vAlign w:val="center"/>
                </w:tcPr>
                <w:p w14:paraId="6867E913">
                  <w:pPr>
                    <w:keepNext w:val="0"/>
                    <w:keepLines w:val="0"/>
                    <w:pageBreakBefore w:val="0"/>
                    <w:widowControl/>
                    <w:kinsoku/>
                    <w:wordWrap/>
                    <w:overflowPunct/>
                    <w:topLinePunct w:val="0"/>
                    <w:autoSpaceDE/>
                    <w:autoSpaceDN/>
                    <w:bidi w:val="0"/>
                    <w:spacing w:line="240" w:lineRule="auto"/>
                    <w:ind w:left="0" w:leftChars="0" w:right="0" w:rightChars="0"/>
                    <w:jc w:val="center"/>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w:t>
                  </w:r>
                </w:p>
              </w:tc>
              <w:tc>
                <w:tcPr>
                  <w:tcW w:w="986" w:type="dxa"/>
                  <w:noWrap w:val="0"/>
                  <w:vAlign w:val="center"/>
                </w:tcPr>
                <w:p w14:paraId="2799CE2A">
                  <w:pPr>
                    <w:keepNext w:val="0"/>
                    <w:keepLines w:val="0"/>
                    <w:pageBreakBefore w:val="0"/>
                    <w:widowControl/>
                    <w:kinsoku/>
                    <w:wordWrap/>
                    <w:overflowPunct/>
                    <w:topLinePunct w:val="0"/>
                    <w:autoSpaceDE/>
                    <w:autoSpaceDN/>
                    <w:bidi w:val="0"/>
                    <w:spacing w:line="240" w:lineRule="auto"/>
                    <w:ind w:left="0" w:leftChars="0" w:right="0" w:right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w:t>
                  </w:r>
                </w:p>
              </w:tc>
              <w:tc>
                <w:tcPr>
                  <w:tcW w:w="1065" w:type="dxa"/>
                  <w:noWrap w:val="0"/>
                  <w:vAlign w:val="center"/>
                </w:tcPr>
                <w:p w14:paraId="05F1A31E">
                  <w:pPr>
                    <w:adjustRightInd w:val="0"/>
                    <w:snapToGrid w:val="0"/>
                    <w:ind w:left="0" w:leftChars="0" w:right="0" w:rightChars="0"/>
                    <w:jc w:val="center"/>
                    <w:rPr>
                      <w:rFonts w:hint="eastAsia" w:ascii="宋体" w:hAnsi="宋体" w:eastAsia="宋体" w:cs="宋体"/>
                      <w:color w:val="auto"/>
                      <w:kern w:val="21"/>
                      <w:sz w:val="21"/>
                      <w:szCs w:val="21"/>
                      <w:lang w:val="en-US" w:eastAsia="zh-CN"/>
                    </w:rPr>
                  </w:pPr>
                  <w:r>
                    <w:rPr>
                      <w:rFonts w:hint="eastAsia" w:ascii="宋体" w:hAnsi="宋体" w:eastAsia="宋体" w:cs="宋体"/>
                      <w:color w:val="auto"/>
                      <w:kern w:val="21"/>
                      <w:sz w:val="21"/>
                      <w:szCs w:val="21"/>
                      <w:lang w:val="en-US" w:eastAsia="zh-CN"/>
                    </w:rPr>
                    <w:t>2</w:t>
                  </w:r>
                  <w:r>
                    <w:rPr>
                      <w:rFonts w:hint="eastAsia" w:ascii="宋体" w:hAnsi="宋体" w:eastAsia="宋体" w:cs="宋体"/>
                      <w:b w:val="0"/>
                      <w:bCs w:val="0"/>
                      <w:color w:val="auto"/>
                      <w:sz w:val="21"/>
                      <w:szCs w:val="21"/>
                    </w:rPr>
                    <w:t>t/a</w:t>
                  </w:r>
                </w:p>
              </w:tc>
              <w:tc>
                <w:tcPr>
                  <w:tcW w:w="2762" w:type="dxa"/>
                  <w:noWrap w:val="0"/>
                  <w:vAlign w:val="center"/>
                </w:tcPr>
                <w:p w14:paraId="463F9354">
                  <w:pPr>
                    <w:pStyle w:val="5"/>
                    <w:snapToGrid w:val="0"/>
                    <w:ind w:left="0" w:leftChars="0" w:right="0" w:rightChars="0" w:firstLine="0" w:firstLineChars="0"/>
                    <w:jc w:val="center"/>
                    <w:rPr>
                      <w:rFonts w:hint="eastAsia" w:ascii="宋体" w:hAnsi="宋体" w:eastAsia="宋体" w:cs="宋体"/>
                      <w:color w:val="auto"/>
                      <w:kern w:val="21"/>
                      <w:sz w:val="21"/>
                      <w:szCs w:val="21"/>
                      <w:lang w:val="en-US" w:eastAsia="zh-CN" w:bidi="ar-SA"/>
                    </w:rPr>
                  </w:pPr>
                  <w:r>
                    <w:rPr>
                      <w:rFonts w:hint="eastAsia" w:ascii="宋体" w:hAnsi="宋体" w:eastAsia="宋体" w:cs="宋体"/>
                      <w:color w:val="auto"/>
                      <w:kern w:val="21"/>
                      <w:sz w:val="21"/>
                      <w:szCs w:val="21"/>
                      <w:lang w:val="en-US" w:eastAsia="zh-CN" w:bidi="ar-SA"/>
                    </w:rPr>
                    <w:t>由环卫部门统一清运处置</w:t>
                  </w:r>
                </w:p>
              </w:tc>
            </w:tr>
          </w:tbl>
          <w:p w14:paraId="4536386F">
            <w:pPr>
              <w:pStyle w:val="11"/>
              <w:ind w:left="0" w:leftChars="0" w:firstLine="0" w:firstLineChars="0"/>
              <w:rPr>
                <w:rFonts w:hint="default" w:ascii="Times New Roman" w:hAnsi="Times New Roman" w:cs="Times New Roman"/>
                <w:b/>
                <w:bCs/>
                <w:color w:val="auto"/>
                <w:sz w:val="28"/>
                <w:highlight w:val="none"/>
                <w:lang w:val="en-US" w:eastAsia="zh-CN"/>
              </w:rPr>
            </w:pPr>
          </w:p>
        </w:tc>
      </w:tr>
    </w:tbl>
    <w:p w14:paraId="16FE13EE">
      <w:pPr>
        <w:pStyle w:val="11"/>
        <w:spacing w:after="0"/>
        <w:ind w:left="0" w:leftChars="0" w:right="0" w:rightChars="0" w:firstLine="0" w:firstLineChars="0"/>
        <w:jc w:val="left"/>
        <w:rPr>
          <w:rStyle w:val="18"/>
          <w:rFonts w:hint="default" w:ascii="Times New Roman" w:hAnsi="Times New Roman" w:cs="Times New Roman"/>
          <w:color w:val="auto"/>
          <w:sz w:val="28"/>
          <w:szCs w:val="28"/>
          <w:highlight w:val="none"/>
        </w:rPr>
      </w:pPr>
      <w:bookmarkStart w:id="6" w:name="_Toc31217"/>
      <w:r>
        <w:rPr>
          <w:rStyle w:val="18"/>
          <w:rFonts w:hint="default" w:ascii="Times New Roman" w:hAnsi="Times New Roman" w:cs="Times New Roman"/>
          <w:color w:val="auto"/>
          <w:sz w:val="28"/>
          <w:szCs w:val="28"/>
          <w:highlight w:val="none"/>
        </w:rPr>
        <w:t>表</w:t>
      </w:r>
      <w:r>
        <w:rPr>
          <w:rStyle w:val="18"/>
          <w:rFonts w:hint="default" w:ascii="Times New Roman" w:hAnsi="Times New Roman" w:cs="Times New Roman"/>
          <w:color w:val="auto"/>
          <w:sz w:val="28"/>
          <w:szCs w:val="28"/>
          <w:highlight w:val="none"/>
          <w:lang w:val="en-US" w:eastAsia="zh-CN"/>
        </w:rPr>
        <w:t>四</w:t>
      </w:r>
      <w:r>
        <w:rPr>
          <w:rStyle w:val="18"/>
          <w:rFonts w:hint="default" w:ascii="Times New Roman" w:hAnsi="Times New Roman" w:cs="Times New Roman"/>
          <w:color w:val="auto"/>
          <w:sz w:val="28"/>
          <w:szCs w:val="28"/>
          <w:highlight w:val="none"/>
        </w:rPr>
        <w:t xml:space="preserve">  环境影响报告表主要结论及审批部门审批决定</w:t>
      </w:r>
    </w:p>
    <w:bookmarkEnd w:id="6"/>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77812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45434EB3">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default" w:ascii="Times New Roman" w:hAnsi="Times New Roman" w:eastAsia="宋体" w:cs="Times New Roman"/>
                <w:b/>
                <w:bCs/>
                <w:color w:val="auto"/>
                <w:sz w:val="28"/>
                <w:szCs w:val="28"/>
                <w:highlight w:val="none"/>
                <w:lang w:val="en-US" w:eastAsia="zh-CN"/>
              </w:rPr>
            </w:pPr>
            <w:r>
              <w:rPr>
                <w:rFonts w:hint="default" w:ascii="Times New Roman" w:hAnsi="Times New Roman" w:eastAsia="宋体" w:cs="Times New Roman"/>
                <w:b/>
                <w:bCs/>
                <w:color w:val="auto"/>
                <w:sz w:val="28"/>
                <w:szCs w:val="28"/>
                <w:highlight w:val="none"/>
                <w:lang w:val="en-US" w:eastAsia="zh-CN"/>
              </w:rPr>
              <w:t>4.1环境影响报告表主要结论</w:t>
            </w:r>
          </w:p>
          <w:p w14:paraId="2F10EEB7">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default" w:ascii="Times New Roman" w:hAnsi="Times New Roman" w:cs="Times New Roman"/>
                <w:b/>
                <w:bCs/>
                <w:color w:val="auto"/>
                <w:sz w:val="28"/>
                <w:szCs w:val="28"/>
                <w:highlight w:val="none"/>
                <w:lang w:val="en-US" w:eastAsia="zh-CN"/>
              </w:rPr>
            </w:pPr>
            <w:r>
              <w:rPr>
                <w:rFonts w:hint="default" w:ascii="Times New Roman" w:hAnsi="Times New Roman" w:cs="Times New Roman"/>
                <w:b/>
                <w:bCs/>
                <w:color w:val="auto"/>
                <w:sz w:val="28"/>
                <w:szCs w:val="28"/>
                <w:highlight w:val="none"/>
                <w:lang w:val="en-US" w:eastAsia="zh-CN"/>
              </w:rPr>
              <w:t>4.1.1大气环境影响分析</w:t>
            </w:r>
          </w:p>
          <w:p w14:paraId="3B6D0D40">
            <w:pPr>
              <w:pStyle w:val="11"/>
              <w:keepNext w:val="0"/>
              <w:keepLines w:val="0"/>
              <w:pageBreakBefore w:val="0"/>
              <w:widowControl w:val="0"/>
              <w:numPr>
                <w:ilvl w:val="0"/>
                <w:numId w:val="2"/>
              </w:numPr>
              <w:kinsoku/>
              <w:wordWrap/>
              <w:overflowPunct/>
              <w:topLinePunct w:val="0"/>
              <w:autoSpaceDE/>
              <w:autoSpaceDN/>
              <w:bidi w:val="0"/>
              <w:adjustRightInd/>
              <w:snapToGrid/>
              <w:spacing w:after="0" w:afterLines="0" w:line="360" w:lineRule="auto"/>
              <w:ind w:left="0" w:leftChars="0" w:right="0" w:rightChars="0" w:firstLine="476" w:firstLineChars="200"/>
              <w:jc w:val="left"/>
              <w:textAlignment w:val="auto"/>
              <w:rPr>
                <w:rFonts w:hint="eastAsia" w:ascii="宋体" w:hAnsi="宋体" w:eastAsia="宋体" w:cs="宋体"/>
                <w:spacing w:val="-1"/>
                <w:sz w:val="24"/>
                <w:szCs w:val="24"/>
              </w:rPr>
            </w:pPr>
            <w:r>
              <w:rPr>
                <w:rFonts w:hint="eastAsia" w:ascii="宋体" w:hAnsi="宋体" w:eastAsia="宋体" w:cs="宋体"/>
                <w:spacing w:val="-1"/>
                <w:sz w:val="24"/>
                <w:szCs w:val="24"/>
              </w:rPr>
              <w:t>待宰车间、屠宰车间、固废储存区产生的恶臭</w:t>
            </w:r>
          </w:p>
          <w:p w14:paraId="264C9333">
            <w:pPr>
              <w:pStyle w:val="20"/>
              <w:keepNext w:val="0"/>
              <w:keepLines w:val="0"/>
              <w:pageBreakBefore w:val="0"/>
              <w:widowControl w:val="0"/>
              <w:kinsoku/>
              <w:wordWrap/>
              <w:overflowPunct/>
              <w:topLinePunct w:val="0"/>
              <w:autoSpaceDE/>
              <w:autoSpaceDN/>
              <w:bidi w:val="0"/>
              <w:adjustRightInd/>
              <w:snapToGrid/>
              <w:spacing w:line="360" w:lineRule="auto"/>
              <w:ind w:left="0" w:firstLine="476" w:firstLineChars="200"/>
              <w:textAlignment w:val="auto"/>
              <w:rPr>
                <w:rFonts w:hint="eastAsia" w:ascii="宋体" w:hAnsi="宋体" w:eastAsia="宋体" w:cs="宋体"/>
                <w:sz w:val="24"/>
                <w:szCs w:val="24"/>
              </w:rPr>
            </w:pPr>
            <w:r>
              <w:rPr>
                <w:rFonts w:hint="eastAsia" w:ascii="宋体" w:hAnsi="宋体" w:eastAsia="宋体" w:cs="宋体"/>
                <w:spacing w:val="-1"/>
                <w:sz w:val="24"/>
                <w:szCs w:val="24"/>
              </w:rPr>
              <w:t>待宰间恶臭主要来自于粪便，这些粪便会产生NH₃和H₂S等恶臭有害气</w:t>
            </w:r>
            <w:r>
              <w:rPr>
                <w:rFonts w:hint="eastAsia" w:ascii="宋体" w:hAnsi="宋体" w:eastAsia="宋体" w:cs="宋体"/>
                <w:spacing w:val="7"/>
                <w:sz w:val="24"/>
                <w:szCs w:val="24"/>
              </w:rPr>
              <w:t xml:space="preserve">  </w:t>
            </w:r>
            <w:r>
              <w:rPr>
                <w:rFonts w:hint="eastAsia" w:ascii="宋体" w:hAnsi="宋体" w:eastAsia="宋体" w:cs="宋体"/>
                <w:spacing w:val="-11"/>
                <w:sz w:val="24"/>
                <w:szCs w:val="24"/>
              </w:rPr>
              <w:t>体，若未及时清除或清除后不及时处理，将会使臭味成</w:t>
            </w:r>
            <w:r>
              <w:rPr>
                <w:rFonts w:hint="eastAsia" w:ascii="宋体" w:hAnsi="宋体" w:eastAsia="宋体" w:cs="宋体"/>
                <w:spacing w:val="-12"/>
                <w:sz w:val="24"/>
                <w:szCs w:val="24"/>
              </w:rPr>
              <w:t>倍增加，进一步产生</w:t>
            </w:r>
            <w:r>
              <w:rPr>
                <w:rFonts w:hint="eastAsia" w:ascii="宋体" w:hAnsi="宋体" w:eastAsia="宋体" w:cs="宋体"/>
                <w:spacing w:val="-15"/>
                <w:sz w:val="24"/>
                <w:szCs w:val="24"/>
              </w:rPr>
              <w:t>甲基硫醇、二甲基二硫醚、甲硫醚、二甲胺等恶臭气体，并会滋</w:t>
            </w:r>
            <w:r>
              <w:rPr>
                <w:rFonts w:hint="eastAsia" w:ascii="宋体" w:hAnsi="宋体" w:eastAsia="宋体" w:cs="宋体"/>
                <w:spacing w:val="-16"/>
                <w:sz w:val="24"/>
                <w:szCs w:val="24"/>
              </w:rPr>
              <w:t>生大量蚊蝇，</w:t>
            </w:r>
            <w:r>
              <w:rPr>
                <w:rFonts w:hint="eastAsia" w:ascii="宋体" w:hAnsi="宋体" w:eastAsia="宋体" w:cs="宋体"/>
                <w:spacing w:val="-11"/>
                <w:sz w:val="24"/>
                <w:szCs w:val="24"/>
              </w:rPr>
              <w:t>影响环境卫生。本环评要求建设单位将待宰车间设置为封闭车间，加强待宰车间等的清洁管理，采用干清法对粪便及时处理，添加除臭剂和氧化剂，即</w:t>
            </w:r>
            <w:r>
              <w:rPr>
                <w:rFonts w:hint="eastAsia" w:ascii="宋体" w:hAnsi="宋体" w:eastAsia="宋体" w:cs="宋体"/>
                <w:spacing w:val="-3"/>
                <w:sz w:val="24"/>
                <w:szCs w:val="24"/>
              </w:rPr>
              <w:t>产即清，最大限度的减少项目待宰车间恶臭排放。</w:t>
            </w:r>
          </w:p>
          <w:p w14:paraId="71086A35">
            <w:pPr>
              <w:pStyle w:val="20"/>
              <w:keepNext w:val="0"/>
              <w:keepLines w:val="0"/>
              <w:pageBreakBefore w:val="0"/>
              <w:widowControl w:val="0"/>
              <w:kinsoku/>
              <w:wordWrap/>
              <w:overflowPunct/>
              <w:topLinePunct w:val="0"/>
              <w:autoSpaceDE/>
              <w:autoSpaceDN/>
              <w:bidi w:val="0"/>
              <w:adjustRightInd/>
              <w:snapToGrid/>
              <w:spacing w:line="360" w:lineRule="auto"/>
              <w:ind w:left="0" w:firstLine="436" w:firstLineChars="200"/>
              <w:jc w:val="both"/>
              <w:textAlignment w:val="auto"/>
              <w:rPr>
                <w:rFonts w:hint="eastAsia" w:ascii="宋体" w:hAnsi="宋体" w:eastAsia="宋体" w:cs="宋体"/>
                <w:spacing w:val="5"/>
                <w:sz w:val="24"/>
                <w:szCs w:val="24"/>
              </w:rPr>
            </w:pPr>
            <w:r>
              <w:rPr>
                <w:rFonts w:hint="eastAsia" w:ascii="宋体" w:hAnsi="宋体" w:eastAsia="宋体" w:cs="宋体"/>
                <w:spacing w:val="-11"/>
                <w:sz w:val="24"/>
                <w:szCs w:val="24"/>
              </w:rPr>
              <w:t>屠宰加工车间许多工艺都会产生恶臭气体，特别是在放血、烫</w:t>
            </w:r>
            <w:r>
              <w:rPr>
                <w:rFonts w:hint="eastAsia" w:ascii="宋体" w:hAnsi="宋体" w:eastAsia="宋体" w:cs="宋体"/>
                <w:spacing w:val="-12"/>
                <w:sz w:val="24"/>
                <w:szCs w:val="24"/>
              </w:rPr>
              <w:t>毛、剥皮</w:t>
            </w:r>
            <w:r>
              <w:rPr>
                <w:rFonts w:hint="eastAsia" w:ascii="宋体" w:hAnsi="宋体" w:eastAsia="宋体" w:cs="宋体"/>
                <w:sz w:val="24"/>
                <w:szCs w:val="24"/>
              </w:rPr>
              <w:t xml:space="preserve">  </w:t>
            </w:r>
            <w:r>
              <w:rPr>
                <w:rFonts w:hint="eastAsia" w:ascii="宋体" w:hAnsi="宋体" w:eastAsia="宋体" w:cs="宋体"/>
                <w:spacing w:val="-8"/>
                <w:sz w:val="24"/>
                <w:szCs w:val="24"/>
              </w:rPr>
              <w:t>刨毛、开膛净腔和去内脏等工序中，血和胃肠内容物等的臭气混杂在一起，</w:t>
            </w:r>
            <w:r>
              <w:rPr>
                <w:rFonts w:hint="eastAsia" w:ascii="宋体" w:hAnsi="宋体" w:eastAsia="宋体" w:cs="宋体"/>
                <w:spacing w:val="8"/>
                <w:sz w:val="24"/>
                <w:szCs w:val="24"/>
              </w:rPr>
              <w:t xml:space="preserve"> </w:t>
            </w:r>
            <w:r>
              <w:rPr>
                <w:rFonts w:hint="eastAsia" w:ascii="宋体" w:hAnsi="宋体" w:eastAsia="宋体" w:cs="宋体"/>
                <w:spacing w:val="-11"/>
                <w:sz w:val="24"/>
                <w:szCs w:val="24"/>
              </w:rPr>
              <w:t>产生腥臭味，并扩散至整个厂区及周围地区。如果有血、肉、骨或脂肪残留而不及时处理，便会迅速腐烂，腥臭气更为严重。为减轻恶</w:t>
            </w:r>
            <w:r>
              <w:rPr>
                <w:rFonts w:hint="eastAsia" w:ascii="宋体" w:hAnsi="宋体" w:eastAsia="宋体" w:cs="宋体"/>
                <w:spacing w:val="-12"/>
                <w:sz w:val="24"/>
                <w:szCs w:val="24"/>
              </w:rPr>
              <w:t>臭对外环境的不</w:t>
            </w:r>
            <w:r>
              <w:rPr>
                <w:rFonts w:hint="eastAsia" w:ascii="宋体" w:hAnsi="宋体" w:eastAsia="宋体" w:cs="宋体"/>
                <w:spacing w:val="-11"/>
                <w:sz w:val="24"/>
                <w:szCs w:val="24"/>
              </w:rPr>
              <w:t>利影响，同时也为了防止待宰间内有毒恶臭气积聚过多对操作工人及牲畜的</w:t>
            </w:r>
            <w:r>
              <w:rPr>
                <w:rFonts w:hint="eastAsia" w:ascii="宋体" w:hAnsi="宋体" w:eastAsia="宋体" w:cs="宋体"/>
                <w:sz w:val="24"/>
                <w:szCs w:val="24"/>
              </w:rPr>
              <w:t xml:space="preserve"> </w:t>
            </w:r>
            <w:r>
              <w:rPr>
                <w:rFonts w:hint="eastAsia" w:ascii="宋体" w:hAnsi="宋体" w:eastAsia="宋体" w:cs="宋体"/>
                <w:spacing w:val="-11"/>
                <w:sz w:val="24"/>
                <w:szCs w:val="24"/>
              </w:rPr>
              <w:t>健康带来危害。本项目要求设置专门岗位和人员进行</w:t>
            </w:r>
            <w:r>
              <w:rPr>
                <w:rFonts w:hint="eastAsia" w:ascii="宋体" w:hAnsi="宋体" w:eastAsia="宋体" w:cs="宋体"/>
                <w:spacing w:val="-12"/>
                <w:sz w:val="24"/>
                <w:szCs w:val="24"/>
              </w:rPr>
              <w:t>监管，及时清洗屠宰车</w:t>
            </w:r>
            <w:r>
              <w:rPr>
                <w:rFonts w:hint="eastAsia" w:ascii="宋体" w:hAnsi="宋体" w:eastAsia="宋体" w:cs="宋体"/>
                <w:spacing w:val="-1"/>
                <w:sz w:val="24"/>
                <w:szCs w:val="24"/>
              </w:rPr>
              <w:t>间地面，添加除臭剂和氧化剂。</w:t>
            </w:r>
            <w:r>
              <w:rPr>
                <w:rFonts w:hint="eastAsia" w:ascii="宋体" w:hAnsi="宋体" w:eastAsia="宋体" w:cs="宋体"/>
                <w:sz w:val="24"/>
                <w:szCs w:val="24"/>
              </w:rPr>
              <w:t>待宰车间、屠宰车间、固废储存区产生的恶臭经UV</w:t>
            </w:r>
            <w:r>
              <w:rPr>
                <w:rFonts w:hint="eastAsia" w:ascii="宋体" w:hAnsi="宋体" w:eastAsia="宋体" w:cs="宋体"/>
                <w:spacing w:val="8"/>
                <w:sz w:val="24"/>
                <w:szCs w:val="24"/>
              </w:rPr>
              <w:t>光解除臭+活性炭吸附一体机工艺处理后有组织恶臭排放速率H₂S、</w:t>
            </w:r>
            <w:r>
              <w:rPr>
                <w:rFonts w:hint="eastAsia" w:ascii="宋体" w:hAnsi="宋体" w:eastAsia="宋体" w:cs="宋体"/>
                <w:sz w:val="24"/>
                <w:szCs w:val="24"/>
              </w:rPr>
              <w:t>NH</w:t>
            </w:r>
            <w:r>
              <w:rPr>
                <w:rFonts w:hint="eastAsia" w:ascii="宋体" w:hAnsi="宋体" w:eastAsia="宋体" w:cs="宋体"/>
                <w:spacing w:val="8"/>
                <w:sz w:val="24"/>
                <w:szCs w:val="24"/>
              </w:rPr>
              <w:t>₃分别</w:t>
            </w:r>
            <w:r>
              <w:rPr>
                <w:rFonts w:hint="eastAsia" w:ascii="宋体" w:hAnsi="宋体" w:eastAsia="宋体" w:cs="宋体"/>
                <w:sz w:val="24"/>
                <w:szCs w:val="24"/>
              </w:rPr>
              <w:t>为0.0005kg/h、0.005kg/h,经过处理后的恶臭通</w:t>
            </w:r>
            <w:r>
              <w:rPr>
                <w:rFonts w:hint="eastAsia" w:ascii="宋体" w:hAnsi="宋体" w:eastAsia="宋体" w:cs="宋体"/>
                <w:spacing w:val="-1"/>
                <w:sz w:val="24"/>
                <w:szCs w:val="24"/>
              </w:rPr>
              <w:t>过15m高排气筒排放，满足</w:t>
            </w:r>
            <w:r>
              <w:rPr>
                <w:rFonts w:hint="eastAsia" w:ascii="宋体" w:hAnsi="宋体" w:eastAsia="宋体" w:cs="宋体"/>
                <w:spacing w:val="4"/>
                <w:sz w:val="24"/>
                <w:szCs w:val="24"/>
              </w:rPr>
              <w:t>恶臭污染物排放标准》(</w:t>
            </w:r>
            <w:r>
              <w:rPr>
                <w:rFonts w:hint="eastAsia" w:ascii="宋体" w:hAnsi="宋体" w:eastAsia="宋体" w:cs="宋体"/>
                <w:sz w:val="24"/>
                <w:szCs w:val="24"/>
              </w:rPr>
              <w:t>GB</w:t>
            </w:r>
            <w:r>
              <w:rPr>
                <w:rFonts w:hint="eastAsia" w:ascii="宋体" w:hAnsi="宋体" w:eastAsia="宋体" w:cs="宋体"/>
                <w:spacing w:val="4"/>
                <w:sz w:val="24"/>
                <w:szCs w:val="24"/>
              </w:rPr>
              <w:t>14554-93)表2中15m高排气筒标准限值(H₂S</w:t>
            </w:r>
            <w:r>
              <w:rPr>
                <w:rFonts w:hint="eastAsia" w:ascii="宋体" w:hAnsi="宋体" w:eastAsia="宋体" w:cs="宋体"/>
                <w:sz w:val="24"/>
                <w:szCs w:val="24"/>
              </w:rPr>
              <w:t xml:space="preserve"> </w:t>
            </w:r>
            <w:r>
              <w:rPr>
                <w:rFonts w:hint="eastAsia" w:ascii="宋体" w:hAnsi="宋体" w:eastAsia="宋体" w:cs="宋体"/>
                <w:spacing w:val="5"/>
                <w:sz w:val="24"/>
                <w:szCs w:val="24"/>
              </w:rPr>
              <w:t>排放速率：0.33</w:t>
            </w:r>
            <w:r>
              <w:rPr>
                <w:rFonts w:hint="eastAsia" w:ascii="宋体" w:hAnsi="宋体" w:eastAsia="宋体" w:cs="宋体"/>
                <w:sz w:val="24"/>
                <w:szCs w:val="24"/>
              </w:rPr>
              <w:t>kg</w:t>
            </w:r>
            <w:r>
              <w:rPr>
                <w:rFonts w:hint="eastAsia" w:ascii="宋体" w:hAnsi="宋体" w:eastAsia="宋体" w:cs="宋体"/>
                <w:spacing w:val="5"/>
                <w:sz w:val="24"/>
                <w:szCs w:val="24"/>
              </w:rPr>
              <w:t>/h;</w:t>
            </w:r>
            <w:r>
              <w:rPr>
                <w:rFonts w:hint="eastAsia" w:ascii="宋体" w:hAnsi="宋体" w:eastAsia="宋体" w:cs="宋体"/>
                <w:sz w:val="24"/>
                <w:szCs w:val="24"/>
              </w:rPr>
              <w:t>NH</w:t>
            </w:r>
            <w:r>
              <w:rPr>
                <w:rFonts w:hint="eastAsia" w:ascii="宋体" w:hAnsi="宋体" w:eastAsia="宋体" w:cs="宋体"/>
                <w:spacing w:val="5"/>
                <w:sz w:val="24"/>
                <w:szCs w:val="24"/>
              </w:rPr>
              <w:t>₃排放速率：4.9</w:t>
            </w:r>
            <w:r>
              <w:rPr>
                <w:rFonts w:hint="eastAsia" w:ascii="宋体" w:hAnsi="宋体" w:eastAsia="宋体" w:cs="宋体"/>
                <w:sz w:val="24"/>
                <w:szCs w:val="24"/>
              </w:rPr>
              <w:t>kg</w:t>
            </w:r>
            <w:r>
              <w:rPr>
                <w:rFonts w:hint="eastAsia" w:ascii="宋体" w:hAnsi="宋体" w:eastAsia="宋体" w:cs="宋体"/>
                <w:spacing w:val="5"/>
                <w:sz w:val="24"/>
                <w:szCs w:val="24"/>
              </w:rPr>
              <w:t>/h)。</w:t>
            </w:r>
          </w:p>
          <w:p w14:paraId="5432E2E7">
            <w:pPr>
              <w:pStyle w:val="20"/>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76" w:firstLineChars="200"/>
              <w:textAlignment w:val="auto"/>
              <w:rPr>
                <w:rFonts w:hint="eastAsia" w:ascii="宋体" w:hAnsi="宋体" w:eastAsia="宋体" w:cs="宋体"/>
                <w:spacing w:val="-1"/>
                <w:sz w:val="24"/>
                <w:szCs w:val="24"/>
              </w:rPr>
            </w:pPr>
            <w:r>
              <w:rPr>
                <w:rFonts w:hint="eastAsia" w:ascii="宋体" w:hAnsi="宋体" w:eastAsia="宋体" w:cs="宋体"/>
                <w:spacing w:val="-1"/>
                <w:sz w:val="24"/>
                <w:szCs w:val="24"/>
              </w:rPr>
              <w:t>污水处理设施产生的恶臭</w:t>
            </w:r>
          </w:p>
          <w:p w14:paraId="1A1AA8A2">
            <w:pPr>
              <w:pStyle w:val="20"/>
              <w:keepNext w:val="0"/>
              <w:keepLines w:val="0"/>
              <w:pageBreakBefore w:val="0"/>
              <w:widowControl w:val="0"/>
              <w:kinsoku/>
              <w:wordWrap/>
              <w:overflowPunct/>
              <w:topLinePunct w:val="0"/>
              <w:autoSpaceDE/>
              <w:autoSpaceDN/>
              <w:bidi w:val="0"/>
              <w:adjustRightInd/>
              <w:snapToGrid/>
              <w:spacing w:line="360" w:lineRule="auto"/>
              <w:ind w:left="0" w:firstLine="464" w:firstLineChars="200"/>
              <w:textAlignment w:val="auto"/>
              <w:rPr>
                <w:rFonts w:hint="eastAsia" w:ascii="宋体" w:hAnsi="宋体" w:eastAsia="宋体" w:cs="宋体"/>
                <w:sz w:val="24"/>
                <w:szCs w:val="24"/>
              </w:rPr>
            </w:pPr>
            <w:r>
              <w:rPr>
                <w:rFonts w:hint="eastAsia" w:ascii="宋体" w:hAnsi="宋体" w:eastAsia="宋体" w:cs="宋体"/>
                <w:spacing w:val="-4"/>
                <w:sz w:val="24"/>
                <w:szCs w:val="24"/>
              </w:rPr>
              <w:t>污水处理站恶臭发生源主要是格栅井、曝气池、污泥浓缩池和污泥脱水</w:t>
            </w:r>
            <w:r>
              <w:rPr>
                <w:rFonts w:hint="eastAsia" w:ascii="宋体" w:hAnsi="宋体" w:eastAsia="宋体" w:cs="宋体"/>
                <w:spacing w:val="9"/>
                <w:sz w:val="24"/>
                <w:szCs w:val="24"/>
              </w:rPr>
              <w:t>机房等，主要成分为</w:t>
            </w:r>
            <w:r>
              <w:rPr>
                <w:rFonts w:hint="eastAsia" w:ascii="宋体" w:hAnsi="宋体" w:eastAsia="宋体" w:cs="宋体"/>
                <w:sz w:val="24"/>
                <w:szCs w:val="24"/>
              </w:rPr>
              <w:t>NH</w:t>
            </w:r>
            <w:r>
              <w:rPr>
                <w:rFonts w:hint="eastAsia" w:ascii="宋体" w:hAnsi="宋体" w:eastAsia="宋体" w:cs="宋体"/>
                <w:spacing w:val="9"/>
                <w:sz w:val="24"/>
                <w:szCs w:val="24"/>
              </w:rPr>
              <w:t>₃和H₂S。根据美国</w:t>
            </w:r>
            <w:r>
              <w:rPr>
                <w:rFonts w:hint="eastAsia" w:ascii="宋体" w:hAnsi="宋体" w:eastAsia="宋体" w:cs="宋体"/>
                <w:sz w:val="24"/>
                <w:szCs w:val="24"/>
              </w:rPr>
              <w:t>EPA</w:t>
            </w:r>
            <w:r>
              <w:rPr>
                <w:rFonts w:hint="eastAsia" w:ascii="宋体" w:hAnsi="宋体" w:eastAsia="宋体" w:cs="宋体"/>
                <w:spacing w:val="9"/>
                <w:sz w:val="24"/>
                <w:szCs w:val="24"/>
              </w:rPr>
              <w:t>对</w:t>
            </w:r>
            <w:r>
              <w:rPr>
                <w:rFonts w:hint="eastAsia" w:ascii="宋体" w:hAnsi="宋体" w:eastAsia="宋体" w:cs="宋体"/>
                <w:spacing w:val="8"/>
                <w:sz w:val="24"/>
                <w:szCs w:val="24"/>
              </w:rPr>
              <w:t>城市污水处理厂恶臭污染</w:t>
            </w:r>
            <w:r>
              <w:rPr>
                <w:rFonts w:hint="eastAsia" w:ascii="宋体" w:hAnsi="宋体" w:eastAsia="宋体" w:cs="宋体"/>
                <w:sz w:val="24"/>
                <w:szCs w:val="24"/>
              </w:rPr>
              <w:t xml:space="preserve"> </w:t>
            </w:r>
            <w:r>
              <w:rPr>
                <w:rFonts w:hint="eastAsia" w:ascii="宋体" w:hAnsi="宋体" w:eastAsia="宋体" w:cs="宋体"/>
                <w:spacing w:val="5"/>
                <w:sz w:val="24"/>
                <w:szCs w:val="24"/>
              </w:rPr>
              <w:t>物产生情况的研究结果：处理1g的</w:t>
            </w:r>
            <w:r>
              <w:rPr>
                <w:rFonts w:hint="eastAsia" w:ascii="宋体" w:hAnsi="宋体" w:eastAsia="宋体" w:cs="宋体"/>
                <w:sz w:val="24"/>
                <w:szCs w:val="24"/>
              </w:rPr>
              <w:t>BOD</w:t>
            </w:r>
            <w:r>
              <w:rPr>
                <w:rFonts w:hint="eastAsia" w:ascii="宋体" w:hAnsi="宋体" w:eastAsia="宋体" w:cs="宋体"/>
                <w:spacing w:val="5"/>
                <w:sz w:val="24"/>
                <w:szCs w:val="24"/>
              </w:rPr>
              <w:t>₅可产生约0.0031g的</w:t>
            </w:r>
            <w:r>
              <w:rPr>
                <w:rFonts w:hint="eastAsia" w:ascii="宋体" w:hAnsi="宋体" w:eastAsia="宋体" w:cs="宋体"/>
                <w:sz w:val="24"/>
                <w:szCs w:val="24"/>
              </w:rPr>
              <w:t>NH</w:t>
            </w:r>
            <w:r>
              <w:rPr>
                <w:rFonts w:hint="eastAsia" w:ascii="宋体" w:hAnsi="宋体" w:eastAsia="宋体" w:cs="宋体"/>
                <w:spacing w:val="5"/>
                <w:sz w:val="24"/>
                <w:szCs w:val="24"/>
              </w:rPr>
              <w:t>₃和0.00012g</w:t>
            </w:r>
            <w:r>
              <w:rPr>
                <w:rFonts w:hint="eastAsia" w:ascii="宋体" w:hAnsi="宋体" w:eastAsia="宋体" w:cs="宋体"/>
                <w:spacing w:val="6"/>
                <w:sz w:val="24"/>
                <w:szCs w:val="24"/>
              </w:rPr>
              <w:t xml:space="preserve">  </w:t>
            </w:r>
            <w:r>
              <w:rPr>
                <w:rFonts w:hint="eastAsia" w:ascii="宋体" w:hAnsi="宋体" w:eastAsia="宋体" w:cs="宋体"/>
                <w:spacing w:val="9"/>
                <w:sz w:val="24"/>
                <w:szCs w:val="24"/>
              </w:rPr>
              <w:t>的H₂S。本项目污水处理站投入运营后，</w:t>
            </w:r>
            <w:r>
              <w:rPr>
                <w:rFonts w:hint="eastAsia" w:ascii="宋体" w:hAnsi="宋体" w:eastAsia="宋体" w:cs="宋体"/>
                <w:spacing w:val="8"/>
                <w:sz w:val="24"/>
                <w:szCs w:val="24"/>
              </w:rPr>
              <w:t>实行全天候运营，项目污水</w:t>
            </w:r>
            <w:r>
              <w:rPr>
                <w:rFonts w:hint="eastAsia" w:ascii="宋体" w:hAnsi="宋体" w:eastAsia="宋体" w:cs="宋体"/>
                <w:sz w:val="24"/>
                <w:szCs w:val="24"/>
              </w:rPr>
              <w:t>BOD</w:t>
            </w:r>
            <w:r>
              <w:rPr>
                <w:rFonts w:hint="eastAsia" w:ascii="宋体" w:hAnsi="宋体" w:eastAsia="宋体" w:cs="宋体"/>
                <w:spacing w:val="8"/>
                <w:sz w:val="24"/>
                <w:szCs w:val="24"/>
              </w:rPr>
              <w:t>₅</w:t>
            </w:r>
            <w:r>
              <w:rPr>
                <w:rFonts w:hint="eastAsia" w:ascii="宋体" w:hAnsi="宋体" w:eastAsia="宋体" w:cs="宋体"/>
                <w:spacing w:val="5"/>
                <w:sz w:val="24"/>
                <w:szCs w:val="24"/>
              </w:rPr>
              <w:t>产生量为44.1t/a,经污水处理站处</w:t>
            </w:r>
            <w:r>
              <w:rPr>
                <w:rFonts w:hint="eastAsia" w:ascii="宋体" w:hAnsi="宋体" w:eastAsia="宋体" w:cs="宋体"/>
                <w:spacing w:val="4"/>
                <w:sz w:val="24"/>
                <w:szCs w:val="24"/>
              </w:rPr>
              <w:t>理后</w:t>
            </w:r>
            <w:r>
              <w:rPr>
                <w:rFonts w:hint="eastAsia" w:ascii="宋体" w:hAnsi="宋体" w:eastAsia="宋体" w:cs="宋体"/>
                <w:sz w:val="24"/>
                <w:szCs w:val="24"/>
              </w:rPr>
              <w:t>BOD</w:t>
            </w:r>
            <w:r>
              <w:rPr>
                <w:rFonts w:hint="eastAsia" w:ascii="宋体" w:hAnsi="宋体" w:eastAsia="宋体" w:cs="宋体"/>
                <w:spacing w:val="4"/>
                <w:sz w:val="24"/>
                <w:szCs w:val="24"/>
              </w:rPr>
              <w:t>₅</w:t>
            </w:r>
            <w:r>
              <w:rPr>
                <w:rFonts w:hint="eastAsia" w:ascii="宋体" w:hAnsi="宋体" w:eastAsia="宋体" w:cs="宋体"/>
                <w:spacing w:val="-26"/>
                <w:sz w:val="24"/>
                <w:szCs w:val="24"/>
              </w:rPr>
              <w:t xml:space="preserve"> </w:t>
            </w:r>
            <w:r>
              <w:rPr>
                <w:rFonts w:hint="eastAsia" w:ascii="宋体" w:hAnsi="宋体" w:eastAsia="宋体" w:cs="宋体"/>
                <w:spacing w:val="4"/>
                <w:sz w:val="24"/>
                <w:szCs w:val="24"/>
              </w:rPr>
              <w:t>的排放量为0.9t/a,去除量为</w:t>
            </w:r>
            <w:r>
              <w:rPr>
                <w:rFonts w:hint="eastAsia" w:ascii="宋体" w:hAnsi="宋体" w:eastAsia="宋体" w:cs="宋体"/>
                <w:spacing w:val="-3"/>
                <w:sz w:val="24"/>
                <w:szCs w:val="24"/>
              </w:rPr>
              <w:t>43.2t/a。污水处理站废气污染物产生分别为NH₃</w:t>
            </w:r>
            <w:r>
              <w:rPr>
                <w:rFonts w:hint="eastAsia" w:ascii="宋体" w:hAnsi="宋体" w:eastAsia="宋体" w:cs="宋体"/>
                <w:spacing w:val="-4"/>
                <w:sz w:val="24"/>
                <w:szCs w:val="24"/>
              </w:rPr>
              <w:t>:133.92kg/a,H₂S:5.18kg/a。</w:t>
            </w:r>
            <w:r>
              <w:rPr>
                <w:rFonts w:hint="eastAsia" w:ascii="宋体" w:hAnsi="宋体" w:eastAsia="宋体" w:cs="宋体"/>
                <w:sz w:val="24"/>
                <w:szCs w:val="24"/>
              </w:rPr>
              <w:t xml:space="preserve"> </w:t>
            </w:r>
            <w:r>
              <w:rPr>
                <w:rFonts w:hint="eastAsia" w:ascii="宋体" w:hAnsi="宋体" w:eastAsia="宋体" w:cs="宋体"/>
                <w:spacing w:val="4"/>
                <w:sz w:val="24"/>
                <w:szCs w:val="24"/>
              </w:rPr>
              <w:t>产生速率分别为</w:t>
            </w:r>
            <w:r>
              <w:rPr>
                <w:rFonts w:hint="eastAsia" w:ascii="宋体" w:hAnsi="宋体" w:eastAsia="宋体" w:cs="宋体"/>
                <w:sz w:val="24"/>
                <w:szCs w:val="24"/>
              </w:rPr>
              <w:t>NH</w:t>
            </w:r>
            <w:r>
              <w:rPr>
                <w:rFonts w:hint="eastAsia" w:ascii="宋体" w:hAnsi="宋体" w:eastAsia="宋体" w:cs="宋体"/>
                <w:spacing w:val="4"/>
                <w:sz w:val="24"/>
                <w:szCs w:val="24"/>
              </w:rPr>
              <w:t>₃</w:t>
            </w:r>
            <w:r>
              <w:rPr>
                <w:rFonts w:hint="eastAsia" w:ascii="宋体" w:hAnsi="宋体" w:eastAsia="宋体" w:cs="宋体"/>
                <w:spacing w:val="-2"/>
                <w:sz w:val="24"/>
                <w:szCs w:val="24"/>
              </w:rPr>
              <w:t xml:space="preserve"> </w:t>
            </w:r>
            <w:r>
              <w:rPr>
                <w:rFonts w:hint="eastAsia" w:ascii="宋体" w:hAnsi="宋体" w:eastAsia="宋体" w:cs="宋体"/>
                <w:spacing w:val="4"/>
                <w:sz w:val="24"/>
                <w:szCs w:val="24"/>
              </w:rPr>
              <w:t>:0.046</w:t>
            </w:r>
            <w:r>
              <w:rPr>
                <w:rFonts w:hint="eastAsia" w:ascii="宋体" w:hAnsi="宋体" w:eastAsia="宋体" w:cs="宋体"/>
                <w:sz w:val="24"/>
                <w:szCs w:val="24"/>
              </w:rPr>
              <w:t>kg</w:t>
            </w:r>
            <w:r>
              <w:rPr>
                <w:rFonts w:hint="eastAsia" w:ascii="宋体" w:hAnsi="宋体" w:eastAsia="宋体" w:cs="宋体"/>
                <w:spacing w:val="4"/>
                <w:sz w:val="24"/>
                <w:szCs w:val="24"/>
              </w:rPr>
              <w:t>/h,H₂S:0.0018</w:t>
            </w:r>
            <w:r>
              <w:rPr>
                <w:rFonts w:hint="eastAsia" w:ascii="宋体" w:hAnsi="宋体" w:eastAsia="宋体" w:cs="宋体"/>
                <w:sz w:val="24"/>
                <w:szCs w:val="24"/>
              </w:rPr>
              <w:t>kg</w:t>
            </w:r>
            <w:r>
              <w:rPr>
                <w:rFonts w:hint="eastAsia" w:ascii="宋体" w:hAnsi="宋体" w:eastAsia="宋体" w:cs="宋体"/>
                <w:spacing w:val="4"/>
                <w:sz w:val="24"/>
                <w:szCs w:val="24"/>
              </w:rPr>
              <w:t>/h。建设单位在污水处理站</w:t>
            </w:r>
            <w:r>
              <w:rPr>
                <w:rFonts w:hint="eastAsia" w:ascii="宋体" w:hAnsi="宋体" w:eastAsia="宋体" w:cs="宋体"/>
                <w:sz w:val="24"/>
                <w:szCs w:val="24"/>
              </w:rPr>
              <w:t xml:space="preserve">  </w:t>
            </w:r>
            <w:r>
              <w:rPr>
                <w:rFonts w:hint="eastAsia" w:ascii="宋体" w:hAnsi="宋体" w:eastAsia="宋体" w:cs="宋体"/>
                <w:spacing w:val="-3"/>
                <w:sz w:val="24"/>
                <w:szCs w:val="24"/>
              </w:rPr>
              <w:t>主要恶臭污染源格栅井、调节池及污泥脱水池处采用加盖封闭式设计，并通</w:t>
            </w:r>
            <w:r>
              <w:rPr>
                <w:rFonts w:hint="eastAsia" w:ascii="宋体" w:hAnsi="宋体" w:eastAsia="宋体" w:cs="宋体"/>
                <w:spacing w:val="4"/>
                <w:sz w:val="24"/>
                <w:szCs w:val="24"/>
              </w:rPr>
              <w:t xml:space="preserve">  </w:t>
            </w:r>
            <w:r>
              <w:rPr>
                <w:rFonts w:hint="eastAsia" w:ascii="宋体" w:hAnsi="宋体" w:eastAsia="宋体" w:cs="宋体"/>
                <w:spacing w:val="-1"/>
                <w:sz w:val="24"/>
                <w:szCs w:val="24"/>
              </w:rPr>
              <w:t>过风机抽吸作用将恶臭气体收集后引至恶臭处理</w:t>
            </w:r>
            <w:r>
              <w:rPr>
                <w:rFonts w:hint="eastAsia" w:ascii="宋体" w:hAnsi="宋体" w:eastAsia="宋体" w:cs="宋体"/>
                <w:spacing w:val="-2"/>
                <w:sz w:val="24"/>
                <w:szCs w:val="24"/>
              </w:rPr>
              <w:t>设备(活性炭吸附除臭设备)</w:t>
            </w:r>
            <w:r>
              <w:rPr>
                <w:rFonts w:hint="eastAsia" w:ascii="宋体" w:hAnsi="宋体" w:eastAsia="宋体" w:cs="宋体"/>
                <w:sz w:val="24"/>
                <w:szCs w:val="24"/>
              </w:rPr>
              <w:t xml:space="preserve"> </w:t>
            </w:r>
            <w:r>
              <w:rPr>
                <w:rFonts w:hint="eastAsia" w:ascii="宋体" w:hAnsi="宋体" w:eastAsia="宋体" w:cs="宋体"/>
                <w:spacing w:val="6"/>
                <w:sz w:val="24"/>
                <w:szCs w:val="24"/>
              </w:rPr>
              <w:t>处理，处理效率达70%,排放速率为</w:t>
            </w:r>
            <w:r>
              <w:rPr>
                <w:rFonts w:hint="eastAsia" w:ascii="宋体" w:hAnsi="宋体" w:eastAsia="宋体" w:cs="宋体"/>
                <w:sz w:val="24"/>
                <w:szCs w:val="24"/>
              </w:rPr>
              <w:t>NH</w:t>
            </w:r>
            <w:r>
              <w:rPr>
                <w:rFonts w:hint="eastAsia" w:ascii="宋体" w:hAnsi="宋体" w:eastAsia="宋体" w:cs="宋体"/>
                <w:spacing w:val="6"/>
                <w:sz w:val="24"/>
                <w:szCs w:val="24"/>
              </w:rPr>
              <w:t>₃</w:t>
            </w:r>
            <w:r>
              <w:rPr>
                <w:rFonts w:hint="eastAsia" w:ascii="宋体" w:hAnsi="宋体" w:eastAsia="宋体" w:cs="宋体"/>
                <w:spacing w:val="-10"/>
                <w:sz w:val="24"/>
                <w:szCs w:val="24"/>
              </w:rPr>
              <w:t xml:space="preserve"> </w:t>
            </w:r>
            <w:r>
              <w:rPr>
                <w:rFonts w:hint="eastAsia" w:ascii="宋体" w:hAnsi="宋体" w:eastAsia="宋体" w:cs="宋体"/>
                <w:spacing w:val="6"/>
                <w:sz w:val="24"/>
                <w:szCs w:val="24"/>
              </w:rPr>
              <w:t>:0.0</w:t>
            </w:r>
            <w:r>
              <w:rPr>
                <w:rFonts w:hint="eastAsia" w:ascii="宋体" w:hAnsi="宋体" w:eastAsia="宋体" w:cs="宋体"/>
                <w:spacing w:val="5"/>
                <w:sz w:val="24"/>
                <w:szCs w:val="24"/>
              </w:rPr>
              <w:t>14</w:t>
            </w:r>
            <w:r>
              <w:rPr>
                <w:rFonts w:hint="eastAsia" w:ascii="宋体" w:hAnsi="宋体" w:eastAsia="宋体" w:cs="宋体"/>
                <w:sz w:val="24"/>
                <w:szCs w:val="24"/>
              </w:rPr>
              <w:t>kg</w:t>
            </w:r>
            <w:r>
              <w:rPr>
                <w:rFonts w:hint="eastAsia" w:ascii="宋体" w:hAnsi="宋体" w:eastAsia="宋体" w:cs="宋体"/>
                <w:spacing w:val="5"/>
                <w:sz w:val="24"/>
                <w:szCs w:val="24"/>
              </w:rPr>
              <w:t>/h,H₂S:0.00054</w:t>
            </w:r>
            <w:r>
              <w:rPr>
                <w:rFonts w:hint="eastAsia" w:ascii="宋体" w:hAnsi="宋体" w:eastAsia="宋体" w:cs="宋体"/>
                <w:sz w:val="24"/>
                <w:szCs w:val="24"/>
              </w:rPr>
              <w:t>kg</w:t>
            </w:r>
            <w:r>
              <w:rPr>
                <w:rFonts w:hint="eastAsia" w:ascii="宋体" w:hAnsi="宋体" w:eastAsia="宋体" w:cs="宋体"/>
                <w:spacing w:val="5"/>
                <w:sz w:val="24"/>
                <w:szCs w:val="24"/>
              </w:rPr>
              <w:t>/h。</w:t>
            </w:r>
          </w:p>
          <w:p w14:paraId="42388AD0">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pacing w:val="6"/>
                <w:sz w:val="24"/>
                <w:szCs w:val="24"/>
              </w:rPr>
            </w:pPr>
            <w:r>
              <w:rPr>
                <w:rFonts w:hint="eastAsia" w:ascii="宋体" w:hAnsi="宋体" w:eastAsia="宋体" w:cs="宋体"/>
                <w:sz w:val="24"/>
                <w:szCs w:val="24"/>
              </w:rPr>
              <w:t>项目污水处理设施产生的恶臭经活性炭吸附处理后有组织</w:t>
            </w:r>
            <w:r>
              <w:rPr>
                <w:rFonts w:hint="eastAsia" w:ascii="宋体" w:hAnsi="宋体" w:eastAsia="宋体" w:cs="宋体"/>
                <w:spacing w:val="11"/>
                <w:sz w:val="24"/>
                <w:szCs w:val="24"/>
              </w:rPr>
              <w:t xml:space="preserve"> </w:t>
            </w:r>
            <w:r>
              <w:rPr>
                <w:rFonts w:hint="eastAsia" w:ascii="宋体" w:hAnsi="宋体" w:eastAsia="宋体" w:cs="宋体"/>
                <w:spacing w:val="7"/>
                <w:sz w:val="24"/>
                <w:szCs w:val="24"/>
              </w:rPr>
              <w:t>恶臭排放速率H₂S、</w:t>
            </w:r>
            <w:r>
              <w:rPr>
                <w:rFonts w:hint="eastAsia" w:ascii="宋体" w:hAnsi="宋体" w:eastAsia="宋体" w:cs="宋体"/>
                <w:sz w:val="24"/>
                <w:szCs w:val="24"/>
              </w:rPr>
              <w:t>NH</w:t>
            </w:r>
            <w:r>
              <w:rPr>
                <w:rFonts w:hint="eastAsia" w:ascii="宋体" w:hAnsi="宋体" w:eastAsia="宋体" w:cs="宋体"/>
                <w:spacing w:val="7"/>
                <w:sz w:val="24"/>
                <w:szCs w:val="24"/>
              </w:rPr>
              <w:t>₃分别为0.00054</w:t>
            </w:r>
            <w:r>
              <w:rPr>
                <w:rFonts w:hint="eastAsia" w:ascii="宋体" w:hAnsi="宋体" w:eastAsia="宋体" w:cs="宋体"/>
                <w:sz w:val="24"/>
                <w:szCs w:val="24"/>
              </w:rPr>
              <w:t>kg</w:t>
            </w:r>
            <w:r>
              <w:rPr>
                <w:rFonts w:hint="eastAsia" w:ascii="宋体" w:hAnsi="宋体" w:eastAsia="宋体" w:cs="宋体"/>
                <w:spacing w:val="7"/>
                <w:sz w:val="24"/>
                <w:szCs w:val="24"/>
              </w:rPr>
              <w:t>/h、0.014</w:t>
            </w:r>
            <w:r>
              <w:rPr>
                <w:rFonts w:hint="eastAsia" w:ascii="宋体" w:hAnsi="宋体" w:eastAsia="宋体" w:cs="宋体"/>
                <w:sz w:val="24"/>
                <w:szCs w:val="24"/>
              </w:rPr>
              <w:t>kg</w:t>
            </w:r>
            <w:r>
              <w:rPr>
                <w:rFonts w:hint="eastAsia" w:ascii="宋体" w:hAnsi="宋体" w:eastAsia="宋体" w:cs="宋体"/>
                <w:spacing w:val="7"/>
                <w:sz w:val="24"/>
                <w:szCs w:val="24"/>
              </w:rPr>
              <w:t>/h,经过处理后的恶臭</w:t>
            </w:r>
            <w:r>
              <w:rPr>
                <w:rFonts w:hint="eastAsia" w:ascii="宋体" w:hAnsi="宋体" w:eastAsia="宋体" w:cs="宋体"/>
                <w:spacing w:val="36"/>
                <w:sz w:val="24"/>
                <w:szCs w:val="24"/>
              </w:rPr>
              <w:t>通过15m高排气筒排放，满足《恶臭污染物排放</w:t>
            </w:r>
            <w:r>
              <w:rPr>
                <w:rFonts w:hint="eastAsia" w:ascii="宋体" w:hAnsi="宋体" w:eastAsia="宋体" w:cs="宋体"/>
                <w:spacing w:val="35"/>
                <w:sz w:val="24"/>
                <w:szCs w:val="24"/>
              </w:rPr>
              <w:t>标准》(</w:t>
            </w:r>
            <w:r>
              <w:rPr>
                <w:rFonts w:hint="eastAsia" w:ascii="宋体" w:hAnsi="宋体" w:eastAsia="宋体" w:cs="宋体"/>
                <w:sz w:val="24"/>
                <w:szCs w:val="24"/>
              </w:rPr>
              <w:t>GB</w:t>
            </w:r>
            <w:r>
              <w:rPr>
                <w:rFonts w:hint="eastAsia" w:ascii="宋体" w:hAnsi="宋体" w:eastAsia="宋体" w:cs="宋体"/>
                <w:spacing w:val="35"/>
                <w:sz w:val="24"/>
                <w:szCs w:val="24"/>
              </w:rPr>
              <w:t>14554-</w:t>
            </w:r>
            <w:r>
              <w:rPr>
                <w:rFonts w:hint="eastAsia" w:ascii="宋体" w:hAnsi="宋体" w:eastAsia="宋体" w:cs="宋体"/>
                <w:spacing w:val="-69"/>
                <w:sz w:val="24"/>
                <w:szCs w:val="24"/>
              </w:rPr>
              <w:t xml:space="preserve"> </w:t>
            </w:r>
            <w:r>
              <w:rPr>
                <w:rFonts w:hint="eastAsia" w:ascii="宋体" w:hAnsi="宋体" w:eastAsia="宋体" w:cs="宋体"/>
                <w:spacing w:val="35"/>
                <w:sz w:val="24"/>
                <w:szCs w:val="24"/>
              </w:rPr>
              <w:t>93)表2</w:t>
            </w:r>
            <w:r>
              <w:rPr>
                <w:rFonts w:hint="eastAsia" w:ascii="宋体" w:hAnsi="宋体" w:eastAsia="宋体" w:cs="宋体"/>
                <w:sz w:val="24"/>
                <w:szCs w:val="24"/>
              </w:rPr>
              <w:t xml:space="preserve"> </w:t>
            </w:r>
            <w:r>
              <w:rPr>
                <w:rFonts w:hint="eastAsia" w:ascii="宋体" w:hAnsi="宋体" w:eastAsia="宋体" w:cs="宋体"/>
                <w:spacing w:val="7"/>
                <w:sz w:val="24"/>
                <w:szCs w:val="24"/>
              </w:rPr>
              <w:t>中15m高排气筒标准限值(H₂S排放速率：0.33</w:t>
            </w:r>
            <w:r>
              <w:rPr>
                <w:rFonts w:hint="eastAsia" w:ascii="宋体" w:hAnsi="宋体" w:eastAsia="宋体" w:cs="宋体"/>
                <w:sz w:val="24"/>
                <w:szCs w:val="24"/>
              </w:rPr>
              <w:t>kg</w:t>
            </w:r>
            <w:r>
              <w:rPr>
                <w:rFonts w:hint="eastAsia" w:ascii="宋体" w:hAnsi="宋体" w:eastAsia="宋体" w:cs="宋体"/>
                <w:spacing w:val="7"/>
                <w:sz w:val="24"/>
                <w:szCs w:val="24"/>
              </w:rPr>
              <w:t>/</w:t>
            </w:r>
            <w:r>
              <w:rPr>
                <w:rFonts w:hint="eastAsia" w:ascii="宋体" w:hAnsi="宋体" w:eastAsia="宋体" w:cs="宋体"/>
                <w:spacing w:val="6"/>
                <w:sz w:val="24"/>
                <w:szCs w:val="24"/>
              </w:rPr>
              <w:t>h;</w:t>
            </w:r>
            <w:r>
              <w:rPr>
                <w:rFonts w:hint="eastAsia" w:ascii="宋体" w:hAnsi="宋体" w:eastAsia="宋体" w:cs="宋体"/>
                <w:sz w:val="24"/>
                <w:szCs w:val="24"/>
              </w:rPr>
              <w:t>NH</w:t>
            </w:r>
            <w:r>
              <w:rPr>
                <w:rFonts w:hint="eastAsia" w:ascii="宋体" w:hAnsi="宋体" w:eastAsia="宋体" w:cs="宋体"/>
                <w:spacing w:val="6"/>
                <w:sz w:val="24"/>
                <w:szCs w:val="24"/>
              </w:rPr>
              <w:t>₃排放速率：4.9</w:t>
            </w:r>
            <w:r>
              <w:rPr>
                <w:rFonts w:hint="eastAsia" w:ascii="宋体" w:hAnsi="宋体" w:eastAsia="宋体" w:cs="宋体"/>
                <w:sz w:val="24"/>
                <w:szCs w:val="24"/>
              </w:rPr>
              <w:t>kg</w:t>
            </w:r>
            <w:r>
              <w:rPr>
                <w:rFonts w:hint="eastAsia" w:ascii="宋体" w:hAnsi="宋体" w:eastAsia="宋体" w:cs="宋体"/>
                <w:spacing w:val="6"/>
                <w:sz w:val="24"/>
                <w:szCs w:val="24"/>
              </w:rPr>
              <w:t>/h)。</w:t>
            </w:r>
          </w:p>
          <w:p w14:paraId="567D8B2B">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504" w:firstLineChars="200"/>
              <w:textAlignment w:val="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eastAsia="zh-CN"/>
              </w:rPr>
              <w:t>（</w:t>
            </w:r>
            <w:r>
              <w:rPr>
                <w:rFonts w:hint="eastAsia" w:ascii="宋体" w:hAnsi="宋体" w:eastAsia="宋体" w:cs="宋体"/>
                <w:spacing w:val="6"/>
                <w:sz w:val="24"/>
                <w:szCs w:val="24"/>
                <w:lang w:val="en-US" w:eastAsia="zh-CN"/>
              </w:rPr>
              <w:t>3）</w:t>
            </w:r>
            <w:r>
              <w:rPr>
                <w:rFonts w:hint="eastAsia" w:ascii="宋体" w:hAnsi="宋体" w:eastAsia="宋体" w:cs="宋体"/>
                <w:sz w:val="24"/>
                <w:szCs w:val="24"/>
                <w:lang w:val="en-US" w:eastAsia="zh-CN"/>
              </w:rPr>
              <w:t>无组织</w:t>
            </w:r>
            <w:r>
              <w:rPr>
                <w:rFonts w:hint="eastAsia" w:ascii="宋体" w:hAnsi="宋体" w:eastAsia="宋体" w:cs="宋体"/>
                <w:sz w:val="24"/>
                <w:szCs w:val="24"/>
              </w:rPr>
              <w:t>废气</w:t>
            </w:r>
          </w:p>
          <w:p w14:paraId="0DB64E93">
            <w:pPr>
              <w:pStyle w:val="20"/>
              <w:keepNext w:val="0"/>
              <w:keepLines w:val="0"/>
              <w:pageBreakBefore w:val="0"/>
              <w:widowControl w:val="0"/>
              <w:kinsoku/>
              <w:wordWrap/>
              <w:overflowPunct/>
              <w:topLinePunct w:val="0"/>
              <w:autoSpaceDE/>
              <w:autoSpaceDN/>
              <w:bidi w:val="0"/>
              <w:adjustRightInd/>
              <w:snapToGrid/>
              <w:spacing w:line="360" w:lineRule="auto"/>
              <w:ind w:left="0" w:firstLine="484" w:firstLineChars="200"/>
              <w:jc w:val="both"/>
              <w:textAlignment w:val="auto"/>
              <w:rPr>
                <w:rFonts w:hint="eastAsia" w:ascii="宋体" w:hAnsi="宋体" w:eastAsia="宋体" w:cs="宋体"/>
                <w:spacing w:val="-1"/>
                <w:sz w:val="24"/>
                <w:szCs w:val="24"/>
              </w:rPr>
            </w:pPr>
            <w:r>
              <w:rPr>
                <w:rFonts w:hint="eastAsia" w:ascii="宋体" w:hAnsi="宋体" w:eastAsia="宋体" w:cs="宋体"/>
                <w:spacing w:val="1"/>
                <w:sz w:val="24"/>
                <w:szCs w:val="24"/>
              </w:rPr>
              <w:t>无组织恶臭执行《恶臭污染物排放标准》(</w:t>
            </w:r>
            <w:r>
              <w:rPr>
                <w:rFonts w:hint="eastAsia" w:ascii="宋体" w:hAnsi="宋体" w:eastAsia="宋体" w:cs="宋体"/>
                <w:sz w:val="24"/>
                <w:szCs w:val="24"/>
              </w:rPr>
              <w:t>GB</w:t>
            </w:r>
            <w:r>
              <w:rPr>
                <w:rFonts w:hint="eastAsia" w:ascii="宋体" w:hAnsi="宋体" w:eastAsia="宋体" w:cs="宋体"/>
                <w:spacing w:val="1"/>
                <w:sz w:val="24"/>
                <w:szCs w:val="24"/>
              </w:rPr>
              <w:t>14554-93)</w:t>
            </w:r>
            <w:r>
              <w:rPr>
                <w:rFonts w:hint="eastAsia" w:ascii="宋体" w:hAnsi="宋体" w:eastAsia="宋体" w:cs="宋体"/>
                <w:spacing w:val="-1"/>
                <w:sz w:val="24"/>
                <w:szCs w:val="24"/>
              </w:rPr>
              <w:t>表1中二级标准。</w:t>
            </w:r>
          </w:p>
          <w:p w14:paraId="009D39C6">
            <w:pPr>
              <w:pStyle w:val="20"/>
              <w:keepNext w:val="0"/>
              <w:keepLines w:val="0"/>
              <w:pageBreakBefore w:val="0"/>
              <w:widowControl w:val="0"/>
              <w:kinsoku/>
              <w:wordWrap/>
              <w:overflowPunct/>
              <w:topLinePunct w:val="0"/>
              <w:autoSpaceDE/>
              <w:autoSpaceDN/>
              <w:bidi w:val="0"/>
              <w:adjustRightInd/>
              <w:snapToGrid/>
              <w:spacing w:line="360" w:lineRule="auto"/>
              <w:ind w:left="0" w:firstLine="562" w:firstLineChars="200"/>
              <w:jc w:val="both"/>
              <w:textAlignment w:val="auto"/>
              <w:rPr>
                <w:rFonts w:hint="default" w:ascii="Times New Roman" w:hAnsi="Times New Roman" w:cs="Times New Roman"/>
                <w:b/>
                <w:bCs/>
                <w:color w:val="auto"/>
                <w:sz w:val="28"/>
                <w:szCs w:val="28"/>
                <w:highlight w:val="none"/>
                <w:lang w:val="en-US" w:eastAsia="zh-CN"/>
              </w:rPr>
            </w:pPr>
            <w:r>
              <w:rPr>
                <w:rFonts w:hint="default" w:ascii="Times New Roman" w:hAnsi="Times New Roman" w:cs="Times New Roman"/>
                <w:b/>
                <w:bCs/>
                <w:color w:val="auto"/>
                <w:sz w:val="28"/>
                <w:szCs w:val="28"/>
                <w:highlight w:val="none"/>
                <w:lang w:val="en-US" w:eastAsia="zh-CN"/>
              </w:rPr>
              <w:t>4.1.2水环境影响分析结论</w:t>
            </w:r>
          </w:p>
          <w:p w14:paraId="02179E79">
            <w:pPr>
              <w:pStyle w:val="20"/>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本项目为屠宰项目，拟建项目运营过程中产生的废水主要为屠宰废</w:t>
            </w:r>
            <w:r>
              <w:rPr>
                <w:rFonts w:hint="eastAsia" w:ascii="宋体" w:hAnsi="宋体" w:eastAsia="宋体" w:cs="宋体"/>
                <w:spacing w:val="-1"/>
                <w:sz w:val="24"/>
                <w:szCs w:val="24"/>
              </w:rPr>
              <w:t>水，</w:t>
            </w:r>
            <w:r>
              <w:rPr>
                <w:rFonts w:hint="eastAsia" w:ascii="宋体" w:hAnsi="宋体" w:eastAsia="宋体" w:cs="宋体"/>
                <w:sz w:val="24"/>
                <w:szCs w:val="24"/>
              </w:rPr>
              <w:t>其次为少量生活污水。</w:t>
            </w:r>
          </w:p>
          <w:p w14:paraId="582F68E9">
            <w:pPr>
              <w:pStyle w:val="20"/>
              <w:keepNext w:val="0"/>
              <w:keepLines w:val="0"/>
              <w:pageBreakBefore w:val="0"/>
              <w:widowControl w:val="0"/>
              <w:kinsoku/>
              <w:wordWrap/>
              <w:overflowPunct/>
              <w:topLinePunct w:val="0"/>
              <w:autoSpaceDE/>
              <w:autoSpaceDN/>
              <w:bidi w:val="0"/>
              <w:adjustRightInd/>
              <w:snapToGrid/>
              <w:spacing w:line="360" w:lineRule="auto"/>
              <w:ind w:firstLine="484" w:firstLineChars="200"/>
              <w:textAlignment w:val="auto"/>
              <w:rPr>
                <w:rFonts w:hint="eastAsia" w:ascii="宋体" w:hAnsi="宋体" w:eastAsia="宋体" w:cs="宋体"/>
                <w:sz w:val="24"/>
                <w:szCs w:val="24"/>
              </w:rPr>
            </w:pPr>
            <w:r>
              <w:rPr>
                <w:rFonts w:hint="eastAsia" w:ascii="宋体" w:hAnsi="宋体" w:eastAsia="宋体" w:cs="宋体"/>
                <w:spacing w:val="1"/>
                <w:sz w:val="24"/>
                <w:szCs w:val="24"/>
              </w:rPr>
              <w:t>(1)生活废水</w:t>
            </w:r>
          </w:p>
          <w:p w14:paraId="54805922">
            <w:pPr>
              <w:pStyle w:val="20"/>
              <w:keepNext w:val="0"/>
              <w:keepLines w:val="0"/>
              <w:pageBreakBefore w:val="0"/>
              <w:widowControl w:val="0"/>
              <w:kinsoku/>
              <w:wordWrap/>
              <w:overflowPunct/>
              <w:topLinePunct w:val="0"/>
              <w:autoSpaceDE/>
              <w:autoSpaceDN/>
              <w:bidi w:val="0"/>
              <w:adjustRightInd/>
              <w:snapToGrid/>
              <w:spacing w:line="360" w:lineRule="auto"/>
              <w:ind w:firstLine="500" w:firstLineChars="200"/>
              <w:textAlignment w:val="auto"/>
              <w:rPr>
                <w:rFonts w:hint="eastAsia" w:ascii="宋体" w:hAnsi="宋体" w:eastAsia="宋体" w:cs="宋体"/>
                <w:sz w:val="24"/>
                <w:szCs w:val="24"/>
              </w:rPr>
            </w:pPr>
            <w:r>
              <w:rPr>
                <w:rFonts w:hint="eastAsia" w:ascii="宋体" w:hAnsi="宋体" w:eastAsia="宋体" w:cs="宋体"/>
                <w:spacing w:val="5"/>
                <w:sz w:val="24"/>
                <w:szCs w:val="24"/>
              </w:rPr>
              <w:t>年工作365天，按每人每天50L计算，项目</w:t>
            </w:r>
            <w:r>
              <w:rPr>
                <w:rFonts w:hint="eastAsia" w:ascii="宋体" w:hAnsi="宋体" w:eastAsia="宋体" w:cs="宋体"/>
                <w:spacing w:val="5"/>
                <w:sz w:val="24"/>
                <w:szCs w:val="24"/>
                <w:lang w:val="en-US" w:eastAsia="zh-CN"/>
              </w:rPr>
              <w:t>5</w:t>
            </w:r>
            <w:r>
              <w:rPr>
                <w:rFonts w:hint="eastAsia" w:ascii="宋体" w:hAnsi="宋体" w:eastAsia="宋体" w:cs="宋体"/>
                <w:spacing w:val="5"/>
                <w:sz w:val="24"/>
                <w:szCs w:val="24"/>
              </w:rPr>
              <w:t>人的日用水量为0.3m³/d,</w:t>
            </w:r>
            <w:r>
              <w:rPr>
                <w:rFonts w:hint="eastAsia" w:ascii="宋体" w:hAnsi="宋体" w:eastAsia="宋体" w:cs="宋体"/>
                <w:spacing w:val="4"/>
                <w:sz w:val="24"/>
                <w:szCs w:val="24"/>
              </w:rPr>
              <w:t>年用水量109.5m³/a;</w:t>
            </w:r>
            <w:r>
              <w:rPr>
                <w:rFonts w:hint="eastAsia" w:ascii="宋体" w:hAnsi="宋体" w:eastAsia="宋体" w:cs="宋体"/>
                <w:spacing w:val="3"/>
                <w:sz w:val="24"/>
                <w:szCs w:val="24"/>
              </w:rPr>
              <w:t>生活污水排放量约</w:t>
            </w:r>
            <w:r>
              <w:rPr>
                <w:rFonts w:hint="eastAsia" w:ascii="宋体" w:hAnsi="宋体" w:eastAsia="宋体" w:cs="宋体"/>
                <w:spacing w:val="-4"/>
                <w:sz w:val="24"/>
                <w:szCs w:val="24"/>
              </w:rPr>
              <w:t>87.6m³/a。</w:t>
            </w:r>
            <w:r>
              <w:rPr>
                <w:rFonts w:hint="eastAsia" w:ascii="宋体" w:hAnsi="宋体" w:eastAsia="宋体" w:cs="宋体"/>
                <w:sz w:val="24"/>
                <w:szCs w:val="24"/>
              </w:rPr>
              <w:t>污水排入项目自建污水处理设施内</w:t>
            </w:r>
            <w:r>
              <w:rPr>
                <w:rFonts w:hint="eastAsia" w:ascii="宋体" w:hAnsi="宋体" w:eastAsia="宋体" w:cs="宋体"/>
                <w:sz w:val="24"/>
                <w:szCs w:val="24"/>
                <w:lang w:val="en-US" w:eastAsia="zh-CN"/>
              </w:rPr>
              <w:t>经</w:t>
            </w:r>
            <w:r>
              <w:rPr>
                <w:rFonts w:hint="eastAsia" w:ascii="宋体" w:hAnsi="宋体" w:eastAsia="宋体" w:cs="宋体"/>
                <w:sz w:val="24"/>
                <w:szCs w:val="24"/>
              </w:rPr>
              <w:t>预处理：采用粗格栅及细格栅+旋流沉砂池</w:t>
            </w:r>
            <w:r>
              <w:rPr>
                <w:rFonts w:hint="eastAsia" w:ascii="宋体" w:hAnsi="宋体" w:eastAsia="宋体" w:cs="宋体"/>
                <w:sz w:val="24"/>
                <w:szCs w:val="24"/>
                <w:lang w:eastAsia="zh-CN"/>
              </w:rPr>
              <w:t>；</w:t>
            </w:r>
            <w:r>
              <w:rPr>
                <w:rFonts w:hint="eastAsia" w:ascii="宋体" w:hAnsi="宋体" w:eastAsia="宋体" w:cs="宋体"/>
                <w:sz w:val="24"/>
                <w:szCs w:val="24"/>
              </w:rPr>
              <w:t>生化处理</w:t>
            </w:r>
            <w:r>
              <w:rPr>
                <w:rFonts w:hint="eastAsia" w:ascii="宋体" w:hAnsi="宋体" w:eastAsia="宋体" w:cs="宋体"/>
                <w:sz w:val="24"/>
                <w:szCs w:val="24"/>
                <w:lang w:eastAsia="zh-CN"/>
              </w:rPr>
              <w:t>：</w:t>
            </w:r>
            <w:r>
              <w:rPr>
                <w:rFonts w:hint="eastAsia" w:ascii="宋体" w:hAnsi="宋体" w:eastAsia="宋体" w:cs="宋体"/>
                <w:sz w:val="24"/>
                <w:szCs w:val="24"/>
              </w:rPr>
              <w:t>水解酸化+AA/O工艺；深度处理</w:t>
            </w:r>
            <w:r>
              <w:rPr>
                <w:rFonts w:hint="eastAsia" w:ascii="宋体" w:hAnsi="宋体" w:eastAsia="宋体" w:cs="宋体"/>
                <w:sz w:val="24"/>
                <w:szCs w:val="24"/>
                <w:lang w:eastAsia="zh-CN"/>
              </w:rPr>
              <w:t>：</w:t>
            </w:r>
            <w:r>
              <w:rPr>
                <w:rFonts w:hint="eastAsia" w:ascii="宋体" w:hAnsi="宋体" w:eastAsia="宋体" w:cs="宋体"/>
                <w:sz w:val="24"/>
                <w:szCs w:val="24"/>
              </w:rPr>
              <w:t>“高密度沉淀池+ 曝气生物滤池(BAF)+滤布滤池”处理工艺；消毒：采用投加次氯酸钠溶液的措施</w:t>
            </w:r>
            <w:r>
              <w:rPr>
                <w:rFonts w:hint="eastAsia" w:ascii="宋体" w:hAnsi="宋体" w:eastAsia="宋体" w:cs="宋体"/>
                <w:sz w:val="24"/>
                <w:szCs w:val="24"/>
                <w:lang w:val="en-US" w:eastAsia="zh-CN"/>
              </w:rPr>
              <w:t>处理后，</w:t>
            </w:r>
            <w:r>
              <w:rPr>
                <w:rFonts w:hint="eastAsia" w:ascii="宋体" w:hAnsi="宋体" w:eastAsia="宋体" w:cs="宋体"/>
                <w:sz w:val="24"/>
                <w:szCs w:val="24"/>
              </w:rPr>
              <w:t>定期拉运至伽师县纺织服装产业园区污水处理厂。</w:t>
            </w:r>
          </w:p>
          <w:p w14:paraId="14E120B7">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right="0" w:firstLine="484" w:firstLineChars="200"/>
              <w:textAlignment w:val="auto"/>
              <w:rPr>
                <w:rFonts w:hint="eastAsia" w:ascii="宋体" w:hAnsi="宋体" w:eastAsia="宋体" w:cs="宋体"/>
                <w:spacing w:val="1"/>
                <w:sz w:val="24"/>
                <w:szCs w:val="24"/>
              </w:rPr>
            </w:pPr>
            <w:r>
              <w:rPr>
                <w:rFonts w:hint="eastAsia" w:ascii="宋体" w:hAnsi="宋体" w:eastAsia="宋体" w:cs="宋体"/>
                <w:spacing w:val="1"/>
                <w:sz w:val="24"/>
                <w:szCs w:val="24"/>
                <w:lang w:eastAsia="zh-CN"/>
              </w:rPr>
              <w:t>（</w:t>
            </w:r>
            <w:r>
              <w:rPr>
                <w:rFonts w:hint="eastAsia" w:ascii="宋体" w:hAnsi="宋体" w:eastAsia="宋体" w:cs="宋体"/>
                <w:spacing w:val="1"/>
                <w:sz w:val="24"/>
                <w:szCs w:val="24"/>
                <w:lang w:val="en-US" w:eastAsia="zh-CN"/>
              </w:rPr>
              <w:t>2）</w:t>
            </w:r>
            <w:r>
              <w:rPr>
                <w:rFonts w:hint="eastAsia" w:ascii="宋体" w:hAnsi="宋体" w:eastAsia="宋体" w:cs="宋体"/>
                <w:spacing w:val="1"/>
                <w:sz w:val="24"/>
                <w:szCs w:val="24"/>
              </w:rPr>
              <w:t>屠宰废水</w:t>
            </w:r>
          </w:p>
          <w:p w14:paraId="662F29F3">
            <w:pPr>
              <w:pStyle w:val="20"/>
              <w:keepNext w:val="0"/>
              <w:keepLines w:val="0"/>
              <w:pageBreakBefore w:val="0"/>
              <w:widowControl w:val="0"/>
              <w:kinsoku/>
              <w:wordWrap/>
              <w:overflowPunct/>
              <w:topLinePunct w:val="0"/>
              <w:autoSpaceDE/>
              <w:autoSpaceDN/>
              <w:bidi w:val="0"/>
              <w:adjustRightInd/>
              <w:snapToGrid/>
              <w:spacing w:line="360" w:lineRule="auto"/>
              <w:ind w:left="0" w:right="0" w:firstLine="476" w:firstLineChars="200"/>
              <w:jc w:val="left"/>
              <w:textAlignment w:val="auto"/>
              <w:rPr>
                <w:rFonts w:hint="eastAsia" w:ascii="宋体" w:hAnsi="宋体" w:eastAsia="宋体" w:cs="宋体"/>
                <w:sz w:val="24"/>
                <w:szCs w:val="24"/>
              </w:rPr>
            </w:pPr>
            <w:r>
              <w:rPr>
                <w:rFonts w:hint="eastAsia" w:ascii="宋体" w:hAnsi="宋体" w:eastAsia="宋体" w:cs="宋体"/>
                <w:spacing w:val="-1"/>
                <w:sz w:val="24"/>
                <w:szCs w:val="24"/>
              </w:rPr>
              <w:t>屠宰过</w:t>
            </w:r>
            <w:r>
              <w:rPr>
                <w:rFonts w:hint="eastAsia" w:ascii="宋体" w:hAnsi="宋体" w:eastAsia="宋体" w:cs="宋体"/>
                <w:spacing w:val="3"/>
                <w:sz w:val="24"/>
                <w:szCs w:val="24"/>
              </w:rPr>
              <w:t>程中产生的废水，包括圈栏冲洗、宰前淋洗、宰后烫毛或剥皮、开腔、劈半、</w:t>
            </w:r>
            <w:r>
              <w:rPr>
                <w:rFonts w:hint="eastAsia" w:ascii="宋体" w:hAnsi="宋体" w:eastAsia="宋体" w:cs="宋体"/>
                <w:sz w:val="24"/>
                <w:szCs w:val="24"/>
              </w:rPr>
              <w:t>解体、内脏冲洗及车间冲洗过程产生的废水。</w:t>
            </w:r>
            <w:r>
              <w:rPr>
                <w:rFonts w:hint="eastAsia" w:ascii="宋体" w:hAnsi="宋体" w:eastAsia="宋体" w:cs="宋体"/>
                <w:spacing w:val="4"/>
                <w:sz w:val="24"/>
                <w:szCs w:val="24"/>
              </w:rPr>
              <w:t>废水排放总量为45007m³/a(活屠重</w:t>
            </w:r>
            <w:r>
              <w:rPr>
                <w:rFonts w:hint="eastAsia" w:ascii="宋体" w:hAnsi="宋体" w:eastAsia="宋体" w:cs="宋体"/>
                <w:spacing w:val="3"/>
                <w:sz w:val="24"/>
                <w:szCs w:val="24"/>
              </w:rPr>
              <w:t>)</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lang w:val="en-US" w:eastAsia="zh-CN"/>
              </w:rPr>
              <w:t>废水经</w:t>
            </w:r>
            <w:r>
              <w:rPr>
                <w:rFonts w:hint="eastAsia" w:ascii="宋体" w:hAnsi="宋体" w:eastAsia="宋体" w:cs="宋体"/>
                <w:spacing w:val="1"/>
                <w:sz w:val="24"/>
                <w:szCs w:val="24"/>
              </w:rPr>
              <w:t>预处理：采用粗格栅及</w:t>
            </w:r>
            <w:r>
              <w:rPr>
                <w:rFonts w:hint="eastAsia" w:ascii="宋体" w:hAnsi="宋体" w:eastAsia="宋体" w:cs="宋体"/>
                <w:sz w:val="24"/>
                <w:szCs w:val="24"/>
              </w:rPr>
              <w:t xml:space="preserve"> </w:t>
            </w:r>
            <w:r>
              <w:rPr>
                <w:rFonts w:hint="eastAsia" w:ascii="宋体" w:hAnsi="宋体" w:eastAsia="宋体" w:cs="宋体"/>
                <w:spacing w:val="1"/>
                <w:sz w:val="24"/>
                <w:szCs w:val="24"/>
              </w:rPr>
              <w:t>细格栅+旋流沉砂池；生</w:t>
            </w:r>
            <w:r>
              <w:rPr>
                <w:rFonts w:hint="eastAsia" w:ascii="宋体" w:hAnsi="宋体" w:eastAsia="宋体" w:cs="宋体"/>
                <w:spacing w:val="-12"/>
                <w:sz w:val="24"/>
                <w:szCs w:val="24"/>
              </w:rPr>
              <w:t>化</w:t>
            </w:r>
            <w:r>
              <w:rPr>
                <w:rFonts w:hint="eastAsia" w:ascii="宋体" w:hAnsi="宋体" w:eastAsia="宋体" w:cs="宋体"/>
                <w:spacing w:val="-28"/>
                <w:sz w:val="24"/>
                <w:szCs w:val="24"/>
              </w:rPr>
              <w:t xml:space="preserve"> </w:t>
            </w:r>
            <w:r>
              <w:rPr>
                <w:rFonts w:hint="eastAsia" w:ascii="宋体" w:hAnsi="宋体" w:eastAsia="宋体" w:cs="宋体"/>
                <w:spacing w:val="-12"/>
                <w:sz w:val="24"/>
                <w:szCs w:val="24"/>
              </w:rPr>
              <w:t>处</w:t>
            </w:r>
            <w:r>
              <w:rPr>
                <w:rFonts w:hint="eastAsia" w:ascii="宋体" w:hAnsi="宋体" w:eastAsia="宋体" w:cs="宋体"/>
                <w:spacing w:val="-29"/>
                <w:sz w:val="24"/>
                <w:szCs w:val="24"/>
              </w:rPr>
              <w:t xml:space="preserve"> </w:t>
            </w:r>
            <w:r>
              <w:rPr>
                <w:rFonts w:hint="eastAsia" w:ascii="宋体" w:hAnsi="宋体" w:eastAsia="宋体" w:cs="宋体"/>
                <w:spacing w:val="-12"/>
                <w:sz w:val="24"/>
                <w:szCs w:val="24"/>
              </w:rPr>
              <w:t>理 ：</w:t>
            </w:r>
            <w:r>
              <w:rPr>
                <w:rFonts w:hint="eastAsia" w:ascii="宋体" w:hAnsi="宋体" w:eastAsia="宋体" w:cs="宋体"/>
                <w:spacing w:val="-29"/>
                <w:sz w:val="24"/>
                <w:szCs w:val="24"/>
              </w:rPr>
              <w:t xml:space="preserve"> </w:t>
            </w:r>
            <w:r>
              <w:rPr>
                <w:rFonts w:hint="eastAsia" w:ascii="宋体" w:hAnsi="宋体" w:eastAsia="宋体" w:cs="宋体"/>
                <w:spacing w:val="-12"/>
                <w:sz w:val="24"/>
                <w:szCs w:val="24"/>
              </w:rPr>
              <w:t>水</w:t>
            </w:r>
            <w:r>
              <w:rPr>
                <w:rFonts w:hint="eastAsia" w:ascii="宋体" w:hAnsi="宋体" w:eastAsia="宋体" w:cs="宋体"/>
                <w:spacing w:val="-32"/>
                <w:sz w:val="24"/>
                <w:szCs w:val="24"/>
              </w:rPr>
              <w:t xml:space="preserve"> </w:t>
            </w:r>
            <w:r>
              <w:rPr>
                <w:rFonts w:hint="eastAsia" w:ascii="宋体" w:hAnsi="宋体" w:eastAsia="宋体" w:cs="宋体"/>
                <w:spacing w:val="-12"/>
                <w:sz w:val="24"/>
                <w:szCs w:val="24"/>
              </w:rPr>
              <w:t>解</w:t>
            </w:r>
            <w:r>
              <w:rPr>
                <w:rFonts w:hint="eastAsia" w:ascii="宋体" w:hAnsi="宋体" w:eastAsia="宋体" w:cs="宋体"/>
                <w:spacing w:val="-31"/>
                <w:sz w:val="24"/>
                <w:szCs w:val="24"/>
              </w:rPr>
              <w:t xml:space="preserve"> </w:t>
            </w:r>
            <w:r>
              <w:rPr>
                <w:rFonts w:hint="eastAsia" w:ascii="宋体" w:hAnsi="宋体" w:eastAsia="宋体" w:cs="宋体"/>
                <w:spacing w:val="-12"/>
                <w:sz w:val="24"/>
                <w:szCs w:val="24"/>
              </w:rPr>
              <w:t>酸</w:t>
            </w:r>
            <w:r>
              <w:rPr>
                <w:rFonts w:hint="eastAsia" w:ascii="宋体" w:hAnsi="宋体" w:eastAsia="宋体" w:cs="宋体"/>
                <w:spacing w:val="-30"/>
                <w:sz w:val="24"/>
                <w:szCs w:val="24"/>
              </w:rPr>
              <w:t xml:space="preserve"> </w:t>
            </w:r>
            <w:r>
              <w:rPr>
                <w:rFonts w:hint="eastAsia" w:ascii="宋体" w:hAnsi="宋体" w:eastAsia="宋体" w:cs="宋体"/>
                <w:spacing w:val="-12"/>
                <w:sz w:val="24"/>
                <w:szCs w:val="24"/>
              </w:rPr>
              <w:t>化</w:t>
            </w:r>
            <w:r>
              <w:rPr>
                <w:rFonts w:hint="eastAsia" w:ascii="宋体" w:hAnsi="宋体" w:eastAsia="宋体" w:cs="宋体"/>
                <w:sz w:val="24"/>
                <w:szCs w:val="24"/>
              </w:rPr>
              <w:t xml:space="preserve"> </w:t>
            </w:r>
            <w:r>
              <w:rPr>
                <w:rFonts w:hint="eastAsia" w:ascii="宋体" w:hAnsi="宋体" w:eastAsia="宋体" w:cs="宋体"/>
                <w:spacing w:val="38"/>
                <w:sz w:val="24"/>
                <w:szCs w:val="24"/>
              </w:rPr>
              <w:t>+</w:t>
            </w:r>
            <w:r>
              <w:rPr>
                <w:rFonts w:hint="eastAsia" w:ascii="宋体" w:hAnsi="宋体" w:eastAsia="宋体" w:cs="宋体"/>
                <w:sz w:val="24"/>
                <w:szCs w:val="24"/>
              </w:rPr>
              <w:t>AA</w:t>
            </w:r>
            <w:r>
              <w:rPr>
                <w:rFonts w:hint="eastAsia" w:ascii="宋体" w:hAnsi="宋体" w:eastAsia="宋体" w:cs="宋体"/>
                <w:spacing w:val="38"/>
                <w:sz w:val="24"/>
                <w:szCs w:val="24"/>
              </w:rPr>
              <w:t>/O工艺；深度处</w:t>
            </w:r>
            <w:r>
              <w:rPr>
                <w:rFonts w:hint="eastAsia" w:ascii="宋体" w:hAnsi="宋体" w:eastAsia="宋体" w:cs="宋体"/>
                <w:sz w:val="24"/>
                <w:szCs w:val="24"/>
              </w:rPr>
              <w:t xml:space="preserve"> </w:t>
            </w:r>
            <w:r>
              <w:rPr>
                <w:rFonts w:hint="eastAsia" w:ascii="宋体" w:hAnsi="宋体" w:eastAsia="宋体" w:cs="宋体"/>
                <w:spacing w:val="4"/>
                <w:sz w:val="24"/>
                <w:szCs w:val="24"/>
              </w:rPr>
              <w:t>理：“高密度沉淀池+</w:t>
            </w:r>
            <w:r>
              <w:rPr>
                <w:rFonts w:hint="eastAsia" w:ascii="宋体" w:hAnsi="宋体" w:eastAsia="宋体" w:cs="宋体"/>
                <w:spacing w:val="8"/>
                <w:sz w:val="24"/>
                <w:szCs w:val="24"/>
              </w:rPr>
              <w:t xml:space="preserve"> </w:t>
            </w:r>
            <w:r>
              <w:rPr>
                <w:rFonts w:hint="eastAsia" w:ascii="宋体" w:hAnsi="宋体" w:eastAsia="宋体" w:cs="宋体"/>
                <w:sz w:val="24"/>
                <w:szCs w:val="24"/>
              </w:rPr>
              <w:t>曝气生物滤池(BAF)+</w:t>
            </w:r>
          </w:p>
          <w:p w14:paraId="6707DE2F">
            <w:pPr>
              <w:pStyle w:val="20"/>
              <w:keepNext w:val="0"/>
              <w:keepLines w:val="0"/>
              <w:pageBreakBefore w:val="0"/>
              <w:widowControl w:val="0"/>
              <w:kinsoku/>
              <w:wordWrap/>
              <w:overflowPunct/>
              <w:topLinePunct w:val="0"/>
              <w:autoSpaceDE/>
              <w:autoSpaceDN/>
              <w:bidi w:val="0"/>
              <w:adjustRightInd/>
              <w:snapToGrid/>
              <w:spacing w:line="360" w:lineRule="auto"/>
              <w:ind w:left="0" w:right="0" w:firstLine="0" w:firstLineChars="0"/>
              <w:jc w:val="left"/>
              <w:textAlignment w:val="auto"/>
              <w:rPr>
                <w:rFonts w:hint="eastAsia" w:ascii="宋体" w:hAnsi="宋体" w:eastAsia="宋体" w:cs="宋体"/>
                <w:sz w:val="24"/>
                <w:szCs w:val="24"/>
              </w:rPr>
            </w:pPr>
            <w:r>
              <w:rPr>
                <w:rFonts w:hint="eastAsia" w:ascii="宋体" w:hAnsi="宋体" w:eastAsia="宋体" w:cs="宋体"/>
                <w:spacing w:val="10"/>
                <w:sz w:val="24"/>
                <w:szCs w:val="24"/>
              </w:rPr>
              <w:t>滤布滤池”处理工艺；</w:t>
            </w:r>
            <w:r>
              <w:rPr>
                <w:rFonts w:hint="eastAsia" w:ascii="宋体" w:hAnsi="宋体" w:eastAsia="宋体" w:cs="宋体"/>
                <w:spacing w:val="2"/>
                <w:sz w:val="24"/>
                <w:szCs w:val="24"/>
              </w:rPr>
              <w:t xml:space="preserve"> </w:t>
            </w:r>
            <w:r>
              <w:rPr>
                <w:rFonts w:hint="eastAsia" w:ascii="宋体" w:hAnsi="宋体" w:eastAsia="宋体" w:cs="宋体"/>
                <w:sz w:val="24"/>
                <w:szCs w:val="24"/>
              </w:rPr>
              <w:t>消毒：采用投加次氯酸</w:t>
            </w:r>
            <w:r>
              <w:rPr>
                <w:rFonts w:hint="eastAsia" w:ascii="宋体" w:hAnsi="宋体" w:eastAsia="宋体" w:cs="宋体"/>
                <w:spacing w:val="-1"/>
                <w:sz w:val="24"/>
                <w:szCs w:val="24"/>
              </w:rPr>
              <w:t>钠溶液的措施。</w:t>
            </w:r>
            <w:r>
              <w:rPr>
                <w:rFonts w:hint="eastAsia" w:ascii="宋体" w:hAnsi="宋体" w:eastAsia="宋体" w:cs="宋体"/>
                <w:spacing w:val="45"/>
                <w:sz w:val="24"/>
                <w:szCs w:val="24"/>
              </w:rPr>
              <w:t>达到</w:t>
            </w:r>
            <w:r>
              <w:rPr>
                <w:rFonts w:hint="eastAsia" w:ascii="宋体" w:hAnsi="宋体" w:eastAsia="宋体" w:cs="宋体"/>
                <w:spacing w:val="-30"/>
                <w:sz w:val="24"/>
                <w:szCs w:val="24"/>
              </w:rPr>
              <w:t xml:space="preserve"> </w:t>
            </w:r>
            <w:r>
              <w:rPr>
                <w:rFonts w:hint="eastAsia" w:ascii="宋体" w:hAnsi="宋体" w:eastAsia="宋体" w:cs="宋体"/>
                <w:spacing w:val="45"/>
                <w:sz w:val="24"/>
                <w:szCs w:val="24"/>
              </w:rPr>
              <w:t>《肉类加工工业水污染物排放标准</w:t>
            </w:r>
            <w:r>
              <w:rPr>
                <w:rFonts w:hint="eastAsia" w:ascii="宋体" w:hAnsi="宋体" w:eastAsia="宋体" w:cs="宋体"/>
                <w:spacing w:val="-26"/>
                <w:sz w:val="24"/>
                <w:szCs w:val="24"/>
              </w:rPr>
              <w:t xml:space="preserve"> </w:t>
            </w:r>
            <w:r>
              <w:rPr>
                <w:rFonts w:hint="eastAsia" w:ascii="宋体" w:hAnsi="宋体" w:eastAsia="宋体" w:cs="宋体"/>
                <w:spacing w:val="45"/>
                <w:sz w:val="24"/>
                <w:szCs w:val="24"/>
              </w:rPr>
              <w:t>》</w:t>
            </w:r>
            <w:r>
              <w:rPr>
                <w:rFonts w:hint="eastAsia" w:ascii="宋体" w:hAnsi="宋体" w:eastAsia="宋体" w:cs="宋体"/>
                <w:spacing w:val="24"/>
                <w:sz w:val="24"/>
                <w:szCs w:val="24"/>
              </w:rPr>
              <w:t>(</w:t>
            </w:r>
            <w:r>
              <w:rPr>
                <w:rFonts w:hint="eastAsia" w:ascii="宋体" w:hAnsi="宋体" w:eastAsia="宋体" w:cs="宋体"/>
                <w:sz w:val="24"/>
                <w:szCs w:val="24"/>
              </w:rPr>
              <w:t>GB</w:t>
            </w:r>
            <w:r>
              <w:rPr>
                <w:rFonts w:hint="eastAsia" w:ascii="宋体" w:hAnsi="宋体" w:eastAsia="宋体" w:cs="宋体"/>
                <w:spacing w:val="24"/>
                <w:sz w:val="24"/>
                <w:szCs w:val="24"/>
              </w:rPr>
              <w:t>13457-92)中的</w:t>
            </w:r>
            <w:r>
              <w:rPr>
                <w:rFonts w:hint="eastAsia" w:ascii="宋体" w:hAnsi="宋体" w:eastAsia="宋体" w:cs="宋体"/>
                <w:spacing w:val="-62"/>
                <w:sz w:val="24"/>
                <w:szCs w:val="24"/>
              </w:rPr>
              <w:t xml:space="preserve"> </w:t>
            </w:r>
            <w:r>
              <w:rPr>
                <w:rFonts w:hint="eastAsia" w:ascii="宋体" w:hAnsi="宋体" w:eastAsia="宋体" w:cs="宋体"/>
                <w:spacing w:val="24"/>
                <w:sz w:val="24"/>
                <w:szCs w:val="24"/>
              </w:rPr>
              <w:t>一</w:t>
            </w:r>
            <w:r>
              <w:rPr>
                <w:rFonts w:hint="eastAsia" w:ascii="宋体" w:hAnsi="宋体" w:eastAsia="宋体" w:cs="宋体"/>
                <w:spacing w:val="-62"/>
                <w:sz w:val="24"/>
                <w:szCs w:val="24"/>
              </w:rPr>
              <w:t xml:space="preserve"> </w:t>
            </w:r>
            <w:r>
              <w:rPr>
                <w:rFonts w:hint="eastAsia" w:ascii="宋体" w:hAnsi="宋体" w:eastAsia="宋体" w:cs="宋体"/>
                <w:spacing w:val="24"/>
                <w:sz w:val="24"/>
                <w:szCs w:val="24"/>
              </w:rPr>
              <w:t>级标准。</w:t>
            </w:r>
            <w:r>
              <w:rPr>
                <w:rFonts w:hint="eastAsia" w:ascii="宋体" w:hAnsi="宋体" w:eastAsia="宋体" w:cs="宋体"/>
                <w:sz w:val="24"/>
                <w:szCs w:val="24"/>
              </w:rPr>
              <w:t>定期拉运至伽师县纺织服装产业园区污水处理厂。</w:t>
            </w:r>
          </w:p>
          <w:p w14:paraId="156168A8">
            <w:pPr>
              <w:pStyle w:val="20"/>
              <w:keepNext w:val="0"/>
              <w:keepLines w:val="0"/>
              <w:pageBreakBefore w:val="0"/>
              <w:widowControl w:val="0"/>
              <w:kinsoku/>
              <w:wordWrap/>
              <w:overflowPunct/>
              <w:topLinePunct w:val="0"/>
              <w:autoSpaceDE/>
              <w:autoSpaceDN/>
              <w:bidi w:val="0"/>
              <w:adjustRightInd/>
              <w:snapToGrid/>
              <w:spacing w:line="360" w:lineRule="auto"/>
              <w:ind w:left="0" w:right="0" w:firstLine="562" w:firstLineChars="200"/>
              <w:jc w:val="left"/>
              <w:textAlignment w:val="auto"/>
              <w:rPr>
                <w:rFonts w:hint="default" w:ascii="Times New Roman" w:hAnsi="Times New Roman" w:cs="Times New Roman"/>
                <w:b/>
                <w:bCs/>
                <w:color w:val="auto"/>
                <w:sz w:val="28"/>
                <w:szCs w:val="28"/>
                <w:highlight w:val="none"/>
                <w:lang w:val="en-US" w:eastAsia="zh-CN"/>
              </w:rPr>
            </w:pPr>
            <w:r>
              <w:rPr>
                <w:rFonts w:hint="default" w:ascii="Times New Roman" w:hAnsi="Times New Roman" w:cs="Times New Roman"/>
                <w:b/>
                <w:bCs/>
                <w:color w:val="auto"/>
                <w:sz w:val="28"/>
                <w:szCs w:val="28"/>
                <w:highlight w:val="none"/>
                <w:lang w:val="en-US" w:eastAsia="zh-CN"/>
              </w:rPr>
              <w:t>4.1.3声环境影响分析结论</w:t>
            </w:r>
          </w:p>
          <w:p w14:paraId="7FF3F8BC">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s="宋体"/>
                <w:spacing w:val="3"/>
                <w:kern w:val="2"/>
                <w:sz w:val="24"/>
                <w:szCs w:val="24"/>
                <w:lang w:val="en-US" w:eastAsia="zh-CN" w:bidi="ar-SA"/>
              </w:rPr>
            </w:pPr>
            <w:r>
              <w:rPr>
                <w:rFonts w:hint="eastAsia" w:ascii="宋体" w:hAnsi="宋体" w:eastAsia="宋体" w:cs="宋体"/>
                <w:spacing w:val="3"/>
                <w:kern w:val="2"/>
                <w:sz w:val="24"/>
                <w:szCs w:val="24"/>
                <w:lang w:val="en-US" w:eastAsia="en-US" w:bidi="ar-SA"/>
              </w:rPr>
              <w:t>主要是设备包括屠宰设备、分割设备、清洗机、提升机以及 压缩机等机械设备运行产生的噪声和赶运、过磅、屠宰时的叫声等</w:t>
            </w:r>
            <w:r>
              <w:rPr>
                <w:rFonts w:hint="eastAsia" w:ascii="宋体" w:hAnsi="宋体" w:eastAsia="宋体" w:cs="宋体"/>
                <w:spacing w:val="3"/>
                <w:kern w:val="2"/>
                <w:sz w:val="24"/>
                <w:szCs w:val="24"/>
                <w:lang w:val="en-US" w:eastAsia="zh-CN" w:bidi="ar-SA"/>
              </w:rPr>
              <w:t>。环评要求采取低噪声设备，隔声、减震、吸声等措施，以确保厂界噪声可以达到《工业企业厂界环境噪声排放标准》（GB12348-2008）中2类功能区标准限值。</w:t>
            </w:r>
          </w:p>
          <w:p w14:paraId="5A99F628">
            <w:pPr>
              <w:pStyle w:val="20"/>
              <w:keepNext w:val="0"/>
              <w:keepLines w:val="0"/>
              <w:pageBreakBefore w:val="0"/>
              <w:widowControl w:val="0"/>
              <w:kinsoku/>
              <w:wordWrap/>
              <w:overflowPunct/>
              <w:topLinePunct w:val="0"/>
              <w:autoSpaceDE/>
              <w:autoSpaceDN/>
              <w:bidi w:val="0"/>
              <w:adjustRightInd/>
              <w:snapToGrid/>
              <w:spacing w:line="360" w:lineRule="auto"/>
              <w:ind w:left="0" w:right="0" w:firstLine="562" w:firstLineChars="200"/>
              <w:jc w:val="left"/>
              <w:textAlignment w:val="auto"/>
              <w:rPr>
                <w:rFonts w:hint="eastAsia" w:ascii="Times New Roman" w:hAnsi="Times New Roman" w:eastAsia="宋体" w:cs="Times New Roman"/>
                <w:b/>
                <w:bCs/>
                <w:color w:val="auto"/>
                <w:sz w:val="28"/>
                <w:szCs w:val="28"/>
                <w:highlight w:val="none"/>
                <w:lang w:val="en-US" w:eastAsia="zh-CN"/>
              </w:rPr>
            </w:pPr>
            <w:r>
              <w:rPr>
                <w:rFonts w:hint="default" w:ascii="Times New Roman" w:hAnsi="Times New Roman" w:cs="Times New Roman"/>
                <w:b/>
                <w:bCs/>
                <w:color w:val="auto"/>
                <w:sz w:val="28"/>
                <w:szCs w:val="28"/>
                <w:highlight w:val="none"/>
                <w:lang w:val="en-US" w:eastAsia="zh-CN"/>
              </w:rPr>
              <w:t>4.1.4固体废弃物环境影响分析结论</w:t>
            </w:r>
          </w:p>
          <w:p w14:paraId="34EF3961">
            <w:pPr>
              <w:pStyle w:val="20"/>
              <w:keepNext w:val="0"/>
              <w:keepLines w:val="0"/>
              <w:pageBreakBefore w:val="0"/>
              <w:widowControl w:val="0"/>
              <w:kinsoku/>
              <w:wordWrap/>
              <w:overflowPunct/>
              <w:topLinePunct w:val="0"/>
              <w:autoSpaceDE/>
              <w:autoSpaceDN/>
              <w:bidi w:val="0"/>
              <w:adjustRightInd/>
              <w:snapToGrid/>
              <w:spacing w:line="360" w:lineRule="auto"/>
              <w:ind w:left="0" w:right="0" w:firstLine="492" w:firstLineChars="200"/>
              <w:textAlignment w:val="auto"/>
              <w:rPr>
                <w:rFonts w:hint="eastAsia" w:ascii="宋体" w:hAnsi="宋体" w:eastAsia="宋体" w:cs="宋体"/>
                <w:spacing w:val="3"/>
                <w:kern w:val="2"/>
                <w:sz w:val="24"/>
                <w:szCs w:val="24"/>
                <w:lang w:val="en-US" w:eastAsia="zh-CN" w:bidi="ar-SA"/>
              </w:rPr>
            </w:pPr>
            <w:r>
              <w:rPr>
                <w:rFonts w:hint="eastAsia" w:ascii="宋体" w:hAnsi="宋体" w:eastAsia="宋体" w:cs="宋体"/>
                <w:spacing w:val="3"/>
                <w:kern w:val="2"/>
                <w:sz w:val="24"/>
                <w:szCs w:val="24"/>
                <w:lang w:val="en-US" w:eastAsia="en-US" w:bidi="ar-SA"/>
              </w:rPr>
              <w:t>本项目运营期固体废物主要为粪便、下脚料(不可食用内脏及胴体、碎肉渣等)、未消化饲料(蓄类胃内容物)、牛羊血、牛羊皮、病死牛羊等。项目采用干清法对粪便及时处理，外售用于制成有机肥料；下脚料收集后按照《病害动物和病害动 物产品生物安全处理规程》(GB16548-2006); 未消化饲料用密封 桶装置于固废暂存间，外售用于制作饲料；牛羊血、牛羊皮集中 收集后作为副产品外售；病死牛羊根据《病死及病害动物无害化处理技术规范》要求，统一收集并交当地畜牧防疫站指定的单位进行处理；污水处理站产生的污泥、生活垃圾分类收集后交由环卫部门统一清运处理；废活性炭严格按照《危险废物贮存污染控</w:t>
            </w:r>
            <w:r>
              <w:rPr>
                <w:rFonts w:hint="eastAsia" w:ascii="宋体" w:hAnsi="宋体" w:eastAsia="宋体" w:cs="宋体"/>
                <w:spacing w:val="3"/>
                <w:kern w:val="2"/>
                <w:sz w:val="24"/>
                <w:szCs w:val="24"/>
                <w:lang w:val="en-US" w:eastAsia="zh-CN" w:bidi="ar-SA"/>
              </w:rPr>
              <w:t>，</w:t>
            </w:r>
            <w:r>
              <w:rPr>
                <w:rFonts w:hint="eastAsia" w:ascii="宋体" w:hAnsi="宋体" w:eastAsia="宋体" w:cs="宋体"/>
                <w:b w:val="0"/>
                <w:bCs w:val="0"/>
                <w:spacing w:val="-1"/>
                <w:sz w:val="24"/>
                <w:szCs w:val="24"/>
                <w:lang w:val="en-US" w:eastAsia="zh-CN"/>
              </w:rPr>
              <w:t>定期交由有资质的</w:t>
            </w:r>
            <w:r>
              <w:rPr>
                <w:rFonts w:hint="eastAsia" w:ascii="宋体" w:hAnsi="宋体" w:eastAsia="宋体" w:cs="宋体"/>
                <w:b w:val="0"/>
                <w:bCs w:val="0"/>
                <w:spacing w:val="-1"/>
                <w:sz w:val="24"/>
                <w:szCs w:val="24"/>
                <w:lang w:eastAsia="zh-CN"/>
              </w:rPr>
              <w:t>新疆国兴环保科技有限责任公司</w:t>
            </w:r>
            <w:r>
              <w:rPr>
                <w:rFonts w:hint="eastAsia" w:ascii="宋体" w:hAnsi="宋体" w:eastAsia="宋体" w:cs="宋体"/>
                <w:b w:val="0"/>
                <w:bCs w:val="0"/>
                <w:spacing w:val="-1"/>
                <w:sz w:val="24"/>
                <w:szCs w:val="24"/>
                <w:lang w:val="en-US" w:eastAsia="zh-CN"/>
              </w:rPr>
              <w:t>进行处理</w:t>
            </w:r>
            <w:r>
              <w:rPr>
                <w:rFonts w:hint="eastAsia" w:ascii="宋体" w:hAnsi="宋体" w:eastAsia="宋体" w:cs="宋体"/>
                <w:b w:val="0"/>
                <w:bCs w:val="0"/>
                <w:spacing w:val="-1"/>
                <w:sz w:val="24"/>
                <w:szCs w:val="24"/>
              </w:rPr>
              <w:t>。</w:t>
            </w:r>
          </w:p>
          <w:p w14:paraId="36CCF864">
            <w:pPr>
              <w:pStyle w:val="20"/>
              <w:keepNext w:val="0"/>
              <w:keepLines w:val="0"/>
              <w:pageBreakBefore w:val="0"/>
              <w:widowControl w:val="0"/>
              <w:kinsoku/>
              <w:wordWrap/>
              <w:overflowPunct/>
              <w:topLinePunct w:val="0"/>
              <w:autoSpaceDE/>
              <w:autoSpaceDN/>
              <w:bidi w:val="0"/>
              <w:adjustRightInd/>
              <w:snapToGrid/>
              <w:spacing w:line="360" w:lineRule="auto"/>
              <w:ind w:left="0" w:right="0" w:firstLine="562" w:firstLineChars="200"/>
              <w:textAlignment w:val="auto"/>
              <w:rPr>
                <w:rFonts w:hint="default" w:ascii="Times New Roman" w:hAnsi="Times New Roman" w:cs="Times New Roman"/>
                <w:b/>
                <w:bCs/>
                <w:color w:val="auto"/>
                <w:sz w:val="28"/>
                <w:szCs w:val="28"/>
                <w:highlight w:val="none"/>
                <w:lang w:val="en-US" w:eastAsia="zh-CN"/>
              </w:rPr>
            </w:pPr>
            <w:r>
              <w:rPr>
                <w:rFonts w:hint="default" w:ascii="Times New Roman" w:hAnsi="Times New Roman" w:cs="Times New Roman"/>
                <w:b/>
                <w:bCs/>
                <w:color w:val="auto"/>
                <w:sz w:val="28"/>
                <w:szCs w:val="28"/>
                <w:highlight w:val="none"/>
                <w:lang w:val="en-US" w:eastAsia="zh-CN"/>
              </w:rPr>
              <w:t>4.1.5总结论</w:t>
            </w:r>
          </w:p>
          <w:p w14:paraId="4E85B05D">
            <w:pPr>
              <w:ind w:firstLine="560"/>
              <w:rPr>
                <w:rFonts w:hint="default" w:ascii="Times New Roman" w:hAnsi="Times New Roman" w:cs="Times New Roman"/>
                <w:b w:val="0"/>
                <w:bCs w:val="0"/>
                <w:color w:val="auto"/>
                <w:kern w:val="2"/>
                <w:sz w:val="28"/>
                <w:szCs w:val="24"/>
                <w:lang w:val="en-US" w:eastAsia="zh-CN" w:bidi="ar-SA"/>
              </w:rPr>
            </w:pPr>
            <w:r>
              <w:rPr>
                <w:rFonts w:hint="default" w:ascii="Times New Roman" w:hAnsi="Times New Roman" w:cs="Times New Roman"/>
                <w:b w:val="0"/>
                <w:bCs w:val="0"/>
                <w:color w:val="auto"/>
                <w:kern w:val="2"/>
                <w:sz w:val="28"/>
                <w:szCs w:val="24"/>
                <w:lang w:val="en-US" w:eastAsia="zh-CN" w:bidi="ar-SA"/>
              </w:rPr>
              <w:t>本项目在运营过程中会产生废气、废水、噪声、固体废物等，在全面落实本报告表提出的各项环境保护措施的基础上，切实做到“三同时”，并在营运期内加强环境管理的前提下，从环境保护角度，本项目环境影响可行。</w:t>
            </w:r>
          </w:p>
          <w:p w14:paraId="59262C34">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default" w:ascii="Times New Roman" w:hAnsi="Times New Roman" w:eastAsia="宋体" w:cs="Times New Roman"/>
                <w:b/>
                <w:bCs/>
                <w:color w:val="auto"/>
                <w:sz w:val="28"/>
                <w:szCs w:val="28"/>
                <w:highlight w:val="none"/>
                <w:lang w:val="en-US" w:eastAsia="zh-CN"/>
              </w:rPr>
            </w:pPr>
            <w:r>
              <w:rPr>
                <w:rFonts w:hint="default" w:ascii="Times New Roman" w:hAnsi="Times New Roman" w:eastAsia="宋体" w:cs="Times New Roman"/>
                <w:b/>
                <w:bCs/>
                <w:color w:val="auto"/>
                <w:sz w:val="28"/>
                <w:szCs w:val="28"/>
                <w:highlight w:val="none"/>
                <w:lang w:val="en-US" w:eastAsia="zh-CN"/>
              </w:rPr>
              <w:t>4.2审批部门审批决定</w:t>
            </w:r>
          </w:p>
          <w:p w14:paraId="027C21AF">
            <w:pPr>
              <w:pStyle w:val="20"/>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2022年4月8日，喀什地区生态环境局以喀地环评字〔2022〕34号文件对环境影响报告表予以批复，批复主要内容如下：</w:t>
            </w:r>
          </w:p>
          <w:p w14:paraId="2E89A7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 、项目基本情况</w:t>
            </w:r>
          </w:p>
          <w:p w14:paraId="016645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该项目建设性质为新建项目，位于伽师县英买里乡巴格托格拉克(4)村，中心地理坐标为 E76°54′33.240”,N39°26′55.631”。项目区东侧、西侧、南侧、北侧均为荒地；项目周边1km范围内无居民区、水体、无产生有害气体、烟雾、粉尘或其他污染源的工业或场所。项目占地面积约11641.27m², 总建筑面积6727m²,主要建设待宰车间、屠宰车间、分割车间、冷库、化验室、宿舍和办公区等，配套建设1套生产废水处理设施，日处理规模约为150m³d。年屠宰牛5000只、羊9万只。项目所在区域不属于自然保护区、森林公园、风景名胜区、世界文化自然遗产、地质公园等禁止开发的生态红线区、重点保护生态红线区以及脆弱生态保护红线区内。项目总投资2380万元，其中环保投资33万元，占总投资的</w:t>
            </w:r>
            <w:r>
              <w:rPr>
                <w:rFonts w:hint="eastAsia" w:ascii="宋体" w:hAnsi="宋体" w:eastAsia="宋体" w:cs="宋体"/>
                <w:sz w:val="24"/>
                <w:szCs w:val="24"/>
                <w:lang w:val="en-US" w:eastAsia="zh-CN"/>
              </w:rPr>
              <w:t>1.4</w:t>
            </w:r>
            <w:r>
              <w:rPr>
                <w:rFonts w:hint="eastAsia" w:ascii="宋体" w:hAnsi="宋体" w:eastAsia="宋体" w:cs="宋体"/>
                <w:sz w:val="24"/>
                <w:szCs w:val="24"/>
              </w:rPr>
              <w:t>%。发改委立项文号：备案[2021]71726093号。</w:t>
            </w:r>
          </w:p>
          <w:p w14:paraId="728708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二、环保措施</w:t>
            </w:r>
          </w:p>
          <w:p w14:paraId="7FC963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由新疆中科同创环境科技有限公司编制的《伽师县嘉腾养殖 农民专业合作社屠宰加工厂项目环境影响报告表》比较规范，环保法规使用正确，环境影响评价内容较全面，主要环境影响因子选择适当，环境影响分析与评价标准基本合理准确，同意喀什地 区生态环境局伽师县分局的预审意见，并重点做好以下工作：</w:t>
            </w:r>
          </w:p>
          <w:p w14:paraId="60309E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一 )施工期</w:t>
            </w:r>
          </w:p>
          <w:p w14:paraId="01D92F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本项目厂房为购买已建设完成的建筑，施工期仅为生产设施安 装 。</w:t>
            </w:r>
          </w:p>
          <w:p w14:paraId="78D477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(二)运营期</w:t>
            </w:r>
          </w:p>
          <w:p w14:paraId="14831B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1.废气项目待宰车间、屠宰车间、固废储存区产生的恶臭经 “UV光解除臭+活性炭吸附一体机”工艺处理后，通过15m 高 排气筒排放；污水处理设施(格栅井、调节池、污泥脱水池)产生的恶臭，采用加盖封闭式设计，通过风机抽吸作用，将恶臭气 体收集后引至活性炭吸附除臭设备处理，通过15m 高排气筒排 放；执行《恶臭污染物排放标准》(GB14554-1993)   表2中排放 限值。无组织恶臭执行《恶臭污染物排放标准》(GB14554-1993)   表1中二级标准。食堂油烟经油烟净化器处理后通过8m 高排气  筒排放，油烟废气排放应达到《饮食业油烟排放标准》 (GB18483-2001) 中最高允许排放浓度(2mg/m³)。本项目100m   卫生防护距离范围内，不得规划建设诸如学校、医院、养老院等环境环境敏感目标。</w:t>
            </w:r>
          </w:p>
          <w:p w14:paraId="18CE6A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2.废水 本项目运营期产生的废水主要为屠宰废水，污水处理站处理工艺为：预处理(采用粗格栅及细格栅+旋流沉砂池) → 生化处理(水解酸化+AA/0工艺) → 深度处理(高密度沉淀池 +曝气生物滤池 BAF+ 滤布滤池) → 消毒(投加次氯酸钠溶液),项目废水经处理后达到《肉类加工工业水污染物排放标准》 (GB13457-92) 表3中畜类屠宰加工的一级标准限值后，定期拉运至伽师县纺织服装产业园区污水处理厂处理。项目屠宰车间及车间内排水沟、危废暂存间、污水处理系统、待宰车间等区域按要求进行分区防渗处理。</w:t>
            </w:r>
          </w:p>
          <w:p w14:paraId="630716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3.噪声  加强噪声源管理，项目主要噪声设备采用吸声、隔 声、基础减振、消声等降噪措施，应达到《工业企业厂界环境噪 声排放标准》(GB12348-2008)中2类标准限值要求。</w:t>
            </w:r>
          </w:p>
          <w:p w14:paraId="327F97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4,固废 本项目运营期固体废物主要为粪便、下脚料(不可食用内脏及胴体、碎肉渣等)、未消化饲料(蓄类胃内容物)、牛羊血、牛羊皮、病死牛羊等。项目采用干清法对粪便及时处理， 外售用于制成有机肥料；下脚料收集后按照《病害动物和病害动 物产品生物安全处理规程》(GB16548-2006);  未消化饲料用密封 桶装置于固废暂存间，外售用于制作饲料；牛羊血、牛羊皮集中收集后作为副产品外售；病死牛羊根据《病死及病害动物无害化  处理技术规范》要求，统一收集并交当地畜牧防疫站指定的单位进行处理；污水处理站产生的污泥、生活垃圾分类收集后交由环卫部门统一清运处理；废活性炭严格按照《危险废物贮存污染控制标准》(GB18597-2001)相关规定，采用专门的容器进行集中收集，并按规定设置警示标志，定期交由危废资质单位处理。</w:t>
            </w:r>
          </w:p>
          <w:p w14:paraId="53E01E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加强日常环境管理，确保环保设施运行正常，定期检修和维护管道、设备、污水储存及处理构筑物，防止水污染物的跑冒滴漏。制定安全应急预案、环境风险应急预案及突发污染事故治理措施，报县分局备案；配置应急防护设施设备，设置事故水池；定期开展应急演练， 一旦发生事故能采取有效的措施及时控制，  防止事故蔓延，并做好事后环境污染治理工作。</w:t>
            </w:r>
          </w:p>
          <w:p w14:paraId="1027DB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6.应尽快申报办理相关排污许可证手续，排污许可证申请及 核发按《排污许可证管理条例》、《排污许可证管理办法》执行。</w:t>
            </w:r>
          </w:p>
          <w:p w14:paraId="29800E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三、相关要求</w:t>
            </w:r>
          </w:p>
          <w:p w14:paraId="3EEAA3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lang w:val="en-US" w:eastAsia="zh-CN"/>
              </w:rPr>
            </w:pPr>
            <w:r>
              <w:rPr>
                <w:rFonts w:hint="eastAsia" w:ascii="宋体" w:hAnsi="宋体" w:eastAsia="宋体" w:cs="宋体"/>
                <w:sz w:val="24"/>
                <w:szCs w:val="24"/>
              </w:rPr>
              <w:t>该项目实施过程中要认真落实“三同时”制度和“报告表”中提出的各项环保措施，本项目日常环境监督管理由喀什地区生态环境局伽师县分局负责，喀什地区生态环境保护综合行政执法支队不定期进行抽查。项目建设完工后，由建设单位对项目进行竣工环保验收。如项目的性质、规模、地点、采用的工艺、防止   污染的措施发生重大变动，须报我局重新审批。</w:t>
            </w:r>
          </w:p>
        </w:tc>
      </w:tr>
      <w:tr w14:paraId="4CF46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60" w:hRule="atLeast"/>
        </w:trPr>
        <w:tc>
          <w:tcPr>
            <w:tcW w:w="8522" w:type="dxa"/>
          </w:tcPr>
          <w:p w14:paraId="1B4C338C">
            <w:pPr>
              <w:snapToGrid w:val="0"/>
              <w:outlineLvl w:val="0"/>
              <w:rPr>
                <w:rFonts w:hint="default" w:ascii="Times New Roman" w:hAnsi="Times New Roman" w:cs="Times New Roman"/>
                <w:color w:val="auto"/>
              </w:rPr>
            </w:pPr>
            <w:bookmarkStart w:id="7" w:name="_Toc32413"/>
            <w:bookmarkStart w:id="8" w:name="_Toc20948"/>
            <w:bookmarkStart w:id="9" w:name="_Toc28847"/>
            <w:bookmarkStart w:id="10" w:name="_Toc21686"/>
            <w:bookmarkStart w:id="11" w:name="_Toc16802"/>
            <w:r>
              <w:rPr>
                <w:rStyle w:val="18"/>
                <w:rFonts w:hint="default" w:ascii="Times New Roman" w:hAnsi="Times New Roman" w:cs="Times New Roman"/>
                <w:color w:val="auto"/>
                <w:highlight w:val="none"/>
              </w:rPr>
              <w:t>表</w:t>
            </w:r>
            <w:r>
              <w:rPr>
                <w:rStyle w:val="18"/>
                <w:rFonts w:hint="default" w:ascii="Times New Roman" w:hAnsi="Times New Roman" w:cs="Times New Roman"/>
                <w:color w:val="auto"/>
                <w:highlight w:val="none"/>
                <w:lang w:val="en-US" w:eastAsia="zh-CN"/>
              </w:rPr>
              <w:t>五</w:t>
            </w:r>
            <w:r>
              <w:rPr>
                <w:rStyle w:val="18"/>
                <w:rFonts w:hint="default" w:ascii="Times New Roman" w:hAnsi="Times New Roman" w:cs="Times New Roman"/>
                <w:color w:val="auto"/>
                <w:highlight w:val="none"/>
              </w:rPr>
              <w:t xml:space="preserve">  验收监测内容及执行标准</w:t>
            </w:r>
            <w:bookmarkEnd w:id="7"/>
            <w:bookmarkEnd w:id="8"/>
            <w:bookmarkEnd w:id="9"/>
          </w:p>
          <w:p w14:paraId="6660C04C">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default" w:ascii="Times New Roman" w:hAnsi="Times New Roman" w:cs="Times New Roman"/>
                <w:b/>
                <w:bCs/>
                <w:color w:val="auto"/>
                <w:sz w:val="28"/>
                <w:szCs w:val="36"/>
                <w:highlight w:val="none"/>
              </w:rPr>
            </w:pPr>
            <w:r>
              <w:rPr>
                <w:rFonts w:hint="default" w:ascii="Times New Roman" w:hAnsi="Times New Roman" w:cs="Times New Roman"/>
                <w:b/>
                <w:bCs/>
                <w:color w:val="auto"/>
                <w:sz w:val="28"/>
                <w:szCs w:val="36"/>
                <w:highlight w:val="none"/>
                <w:lang w:val="en-US" w:eastAsia="zh-CN"/>
              </w:rPr>
              <w:t>5</w:t>
            </w:r>
            <w:r>
              <w:rPr>
                <w:rFonts w:hint="default" w:ascii="Times New Roman" w:hAnsi="Times New Roman" w:cs="Times New Roman"/>
                <w:b/>
                <w:bCs/>
                <w:color w:val="auto"/>
                <w:sz w:val="28"/>
                <w:szCs w:val="36"/>
                <w:highlight w:val="none"/>
              </w:rPr>
              <w:t>.</w:t>
            </w:r>
            <w:r>
              <w:rPr>
                <w:rFonts w:hint="default" w:ascii="Times New Roman" w:hAnsi="Times New Roman" w:cs="Times New Roman"/>
                <w:b/>
                <w:bCs/>
                <w:color w:val="auto"/>
                <w:sz w:val="28"/>
                <w:szCs w:val="36"/>
                <w:highlight w:val="none"/>
                <w:lang w:val="en-US" w:eastAsia="zh-CN"/>
              </w:rPr>
              <w:t>1</w:t>
            </w:r>
            <w:r>
              <w:rPr>
                <w:rFonts w:hint="default" w:ascii="Times New Roman" w:hAnsi="Times New Roman" w:cs="Times New Roman"/>
                <w:b/>
                <w:bCs/>
                <w:color w:val="auto"/>
                <w:sz w:val="28"/>
                <w:szCs w:val="36"/>
                <w:highlight w:val="none"/>
              </w:rPr>
              <w:t>废气监测内容及执行标准</w:t>
            </w:r>
          </w:p>
          <w:p w14:paraId="0C9A9B1F">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default" w:ascii="Times New Roman" w:hAnsi="Times New Roman" w:cs="Times New Roman"/>
                <w:b/>
                <w:bCs/>
                <w:color w:val="auto"/>
                <w:sz w:val="28"/>
                <w:szCs w:val="36"/>
                <w:highlight w:val="none"/>
              </w:rPr>
            </w:pPr>
            <w:r>
              <w:rPr>
                <w:rFonts w:hint="default" w:ascii="Times New Roman" w:hAnsi="Times New Roman" w:cs="Times New Roman"/>
                <w:b/>
                <w:bCs/>
                <w:color w:val="auto"/>
                <w:sz w:val="28"/>
                <w:szCs w:val="36"/>
                <w:highlight w:val="none"/>
                <w:lang w:val="en-US" w:eastAsia="zh-CN"/>
              </w:rPr>
              <w:t>5</w:t>
            </w:r>
            <w:r>
              <w:rPr>
                <w:rFonts w:hint="default" w:ascii="Times New Roman" w:hAnsi="Times New Roman" w:cs="Times New Roman"/>
                <w:b/>
                <w:bCs/>
                <w:color w:val="auto"/>
                <w:sz w:val="28"/>
                <w:szCs w:val="36"/>
                <w:highlight w:val="none"/>
              </w:rPr>
              <w:t>.</w:t>
            </w:r>
            <w:r>
              <w:rPr>
                <w:rFonts w:hint="default" w:ascii="Times New Roman" w:hAnsi="Times New Roman" w:cs="Times New Roman"/>
                <w:b/>
                <w:bCs/>
                <w:color w:val="auto"/>
                <w:sz w:val="28"/>
                <w:szCs w:val="36"/>
                <w:highlight w:val="none"/>
                <w:lang w:val="en-US" w:eastAsia="zh-CN"/>
              </w:rPr>
              <w:t>1</w:t>
            </w:r>
            <w:r>
              <w:rPr>
                <w:rFonts w:hint="default" w:ascii="Times New Roman" w:hAnsi="Times New Roman" w:cs="Times New Roman"/>
                <w:b/>
                <w:bCs/>
                <w:color w:val="auto"/>
                <w:sz w:val="28"/>
                <w:szCs w:val="36"/>
                <w:highlight w:val="none"/>
              </w:rPr>
              <w:t>.1废气监测内容</w:t>
            </w:r>
          </w:p>
          <w:p w14:paraId="7812A219">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本项目废气监测内容见表5-1。</w:t>
            </w:r>
          </w:p>
          <w:p w14:paraId="103677B1">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b/>
                <w:bCs/>
                <w:color w:val="auto"/>
                <w:sz w:val="24"/>
                <w:szCs w:val="24"/>
                <w:highlight w:val="none"/>
              </w:rPr>
            </w:pPr>
          </w:p>
          <w:p w14:paraId="084C0E62">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表</w:t>
            </w:r>
            <w:r>
              <w:rPr>
                <w:rFonts w:hint="default" w:ascii="Times New Roman" w:hAnsi="Times New Roman" w:cs="Times New Roman"/>
                <w:b/>
                <w:bCs/>
                <w:color w:val="auto"/>
                <w:sz w:val="24"/>
                <w:szCs w:val="24"/>
                <w:highlight w:val="none"/>
                <w:lang w:val="en-US" w:eastAsia="zh-CN"/>
              </w:rPr>
              <w:t>5</w:t>
            </w:r>
            <w:r>
              <w:rPr>
                <w:rFonts w:hint="default" w:ascii="Times New Roman" w:hAnsi="Times New Roman" w:cs="Times New Roman"/>
                <w:b/>
                <w:bCs/>
                <w:color w:val="auto"/>
                <w:sz w:val="24"/>
                <w:szCs w:val="24"/>
                <w:highlight w:val="none"/>
              </w:rPr>
              <w:t>-1                          废气监测内容</w:t>
            </w:r>
          </w:p>
          <w:tbl>
            <w:tblPr>
              <w:tblStyle w:val="15"/>
              <w:tblW w:w="500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6" w:space="0"/>
              </w:tblBorders>
              <w:tblLayout w:type="autofit"/>
              <w:tblCellMar>
                <w:top w:w="0" w:type="dxa"/>
                <w:left w:w="108" w:type="dxa"/>
                <w:bottom w:w="0" w:type="dxa"/>
                <w:right w:w="108" w:type="dxa"/>
              </w:tblCellMar>
            </w:tblPr>
            <w:tblGrid>
              <w:gridCol w:w="1153"/>
              <w:gridCol w:w="2963"/>
              <w:gridCol w:w="2479"/>
              <w:gridCol w:w="1711"/>
            </w:tblGrid>
            <w:tr w14:paraId="498ABA46">
              <w:tblPrEx>
                <w:tblBorders>
                  <w:top w:val="single" w:color="auto" w:sz="12" w:space="0"/>
                  <w:left w:val="none" w:color="auto" w:sz="0" w:space="0"/>
                  <w:bottom w:val="single" w:color="auto" w:sz="12" w:space="0"/>
                  <w:right w:val="none" w:color="auto" w:sz="0" w:space="0"/>
                  <w:insideH w:val="single" w:color="auto" w:sz="4" w:space="0"/>
                  <w:insideV w:val="single" w:color="auto" w:sz="6" w:space="0"/>
                </w:tblBorders>
                <w:tblCellMar>
                  <w:top w:w="0" w:type="dxa"/>
                  <w:left w:w="108" w:type="dxa"/>
                  <w:bottom w:w="0" w:type="dxa"/>
                  <w:right w:w="108" w:type="dxa"/>
                </w:tblCellMar>
              </w:tblPrEx>
              <w:trPr>
                <w:trHeight w:val="90" w:hRule="atLeast"/>
              </w:trPr>
              <w:tc>
                <w:tcPr>
                  <w:tcW w:w="694" w:type="pct"/>
                  <w:tcBorders>
                    <w:tl2br w:val="nil"/>
                    <w:tr2bl w:val="nil"/>
                  </w:tcBorders>
                  <w:noWrap w:val="0"/>
                  <w:vAlign w:val="center"/>
                </w:tcPr>
                <w:p w14:paraId="14D91B52">
                  <w:pPr>
                    <w:jc w:val="center"/>
                    <w:rPr>
                      <w:rFonts w:hint="default" w:ascii="Times New Roman" w:hAnsi="Times New Roman" w:cs="Times New Roman"/>
                      <w:b/>
                      <w:bCs/>
                      <w:color w:val="auto"/>
                      <w:szCs w:val="21"/>
                    </w:rPr>
                  </w:pPr>
                  <w:r>
                    <w:rPr>
                      <w:rFonts w:hint="default" w:ascii="Times New Roman" w:hAnsi="Times New Roman" w:cs="Times New Roman"/>
                      <w:b/>
                      <w:bCs/>
                      <w:color w:val="auto"/>
                      <w:szCs w:val="21"/>
                    </w:rPr>
                    <w:t>监测项目</w:t>
                  </w:r>
                </w:p>
              </w:tc>
              <w:tc>
                <w:tcPr>
                  <w:tcW w:w="1783" w:type="pct"/>
                  <w:tcBorders>
                    <w:tl2br w:val="nil"/>
                    <w:tr2bl w:val="nil"/>
                  </w:tcBorders>
                  <w:noWrap w:val="0"/>
                  <w:vAlign w:val="center"/>
                </w:tcPr>
                <w:p w14:paraId="27FEC2CD">
                  <w:pPr>
                    <w:jc w:val="center"/>
                    <w:rPr>
                      <w:rFonts w:hint="default" w:ascii="Times New Roman" w:hAnsi="Times New Roman" w:cs="Times New Roman"/>
                      <w:b/>
                      <w:bCs/>
                      <w:color w:val="auto"/>
                      <w:szCs w:val="21"/>
                    </w:rPr>
                  </w:pPr>
                  <w:r>
                    <w:rPr>
                      <w:rFonts w:hint="default" w:ascii="Times New Roman" w:hAnsi="Times New Roman" w:cs="Times New Roman"/>
                      <w:b/>
                      <w:bCs/>
                      <w:color w:val="auto"/>
                      <w:szCs w:val="21"/>
                    </w:rPr>
                    <w:t>监测点位</w:t>
                  </w:r>
                </w:p>
              </w:tc>
              <w:tc>
                <w:tcPr>
                  <w:tcW w:w="1492" w:type="pct"/>
                  <w:tcBorders>
                    <w:tl2br w:val="nil"/>
                    <w:tr2bl w:val="nil"/>
                  </w:tcBorders>
                  <w:noWrap w:val="0"/>
                  <w:vAlign w:val="center"/>
                </w:tcPr>
                <w:p w14:paraId="7B1A0622">
                  <w:pPr>
                    <w:jc w:val="center"/>
                    <w:rPr>
                      <w:rFonts w:hint="default" w:ascii="Times New Roman" w:hAnsi="Times New Roman" w:cs="Times New Roman"/>
                      <w:b/>
                      <w:bCs/>
                      <w:color w:val="auto"/>
                      <w:szCs w:val="21"/>
                    </w:rPr>
                  </w:pPr>
                  <w:r>
                    <w:rPr>
                      <w:rFonts w:hint="default" w:ascii="Times New Roman" w:hAnsi="Times New Roman" w:cs="Times New Roman"/>
                      <w:b/>
                      <w:bCs/>
                      <w:color w:val="auto"/>
                      <w:szCs w:val="21"/>
                    </w:rPr>
                    <w:t>监测因子</w:t>
                  </w:r>
                </w:p>
              </w:tc>
              <w:tc>
                <w:tcPr>
                  <w:tcW w:w="1029" w:type="pct"/>
                  <w:tcBorders>
                    <w:tl2br w:val="nil"/>
                    <w:tr2bl w:val="nil"/>
                  </w:tcBorders>
                  <w:noWrap w:val="0"/>
                  <w:vAlign w:val="center"/>
                </w:tcPr>
                <w:p w14:paraId="3D372B24">
                  <w:pPr>
                    <w:jc w:val="center"/>
                    <w:rPr>
                      <w:rFonts w:hint="default" w:ascii="Times New Roman" w:hAnsi="Times New Roman" w:cs="Times New Roman"/>
                      <w:b/>
                      <w:bCs/>
                      <w:color w:val="auto"/>
                      <w:szCs w:val="21"/>
                    </w:rPr>
                  </w:pPr>
                  <w:r>
                    <w:rPr>
                      <w:rFonts w:hint="default" w:ascii="Times New Roman" w:hAnsi="Times New Roman" w:cs="Times New Roman"/>
                      <w:b/>
                      <w:bCs/>
                      <w:color w:val="auto"/>
                      <w:szCs w:val="21"/>
                    </w:rPr>
                    <w:t>监测频次</w:t>
                  </w:r>
                </w:p>
              </w:tc>
            </w:tr>
            <w:tr w14:paraId="4AF46D2A">
              <w:tblPrEx>
                <w:tblBorders>
                  <w:top w:val="single" w:color="auto" w:sz="12" w:space="0"/>
                  <w:left w:val="none" w:color="auto" w:sz="0" w:space="0"/>
                  <w:bottom w:val="single" w:color="auto" w:sz="12" w:space="0"/>
                  <w:right w:val="none" w:color="auto" w:sz="0" w:space="0"/>
                  <w:insideH w:val="single" w:color="auto" w:sz="4" w:space="0"/>
                  <w:insideV w:val="single" w:color="auto" w:sz="6" w:space="0"/>
                </w:tblBorders>
                <w:tblCellMar>
                  <w:top w:w="0" w:type="dxa"/>
                  <w:left w:w="108" w:type="dxa"/>
                  <w:bottom w:w="0" w:type="dxa"/>
                  <w:right w:w="108" w:type="dxa"/>
                </w:tblCellMar>
              </w:tblPrEx>
              <w:trPr>
                <w:trHeight w:val="194" w:hRule="atLeast"/>
              </w:trPr>
              <w:tc>
                <w:tcPr>
                  <w:tcW w:w="694" w:type="pct"/>
                  <w:vMerge w:val="restart"/>
                  <w:tcBorders>
                    <w:tl2br w:val="nil"/>
                    <w:tr2bl w:val="nil"/>
                  </w:tcBorders>
                  <w:noWrap w:val="0"/>
                  <w:vAlign w:val="center"/>
                </w:tcPr>
                <w:p w14:paraId="4AEF10D7">
                  <w:pPr>
                    <w:jc w:val="center"/>
                    <w:rPr>
                      <w:rFonts w:hint="default" w:ascii="Times New Roman" w:hAnsi="Times New Roman" w:eastAsia="宋体" w:cs="Times New Roman"/>
                      <w:color w:val="auto"/>
                      <w:szCs w:val="21"/>
                      <w:lang w:eastAsia="zh-CN"/>
                    </w:rPr>
                  </w:pPr>
                  <w:r>
                    <w:rPr>
                      <w:rFonts w:hint="default" w:ascii="Times New Roman" w:hAnsi="Times New Roman" w:cs="Times New Roman"/>
                      <w:color w:val="auto"/>
                      <w:kern w:val="0"/>
                      <w:szCs w:val="21"/>
                    </w:rPr>
                    <w:t>有组织废气</w:t>
                  </w:r>
                </w:p>
              </w:tc>
              <w:tc>
                <w:tcPr>
                  <w:tcW w:w="1783" w:type="pct"/>
                  <w:tcBorders>
                    <w:tl2br w:val="nil"/>
                    <w:tr2bl w:val="nil"/>
                  </w:tcBorders>
                  <w:noWrap w:val="0"/>
                  <w:vAlign w:val="center"/>
                </w:tcPr>
                <w:p w14:paraId="1F9F99D8">
                  <w:pPr>
                    <w:jc w:val="left"/>
                    <w:rPr>
                      <w:rFonts w:hint="default" w:ascii="Times New Roman" w:hAnsi="Times New Roman" w:cs="Times New Roman"/>
                      <w:color w:val="auto"/>
                      <w:sz w:val="21"/>
                      <w:szCs w:val="21"/>
                      <w:lang w:val="en-US" w:eastAsia="zh-CN"/>
                    </w:rPr>
                  </w:pPr>
                  <w:r>
                    <w:rPr>
                      <w:sz w:val="21"/>
                      <w:szCs w:val="21"/>
                    </w:rPr>
                    <w:t>待宰车间、屠宰车间、固废储存区</w:t>
                  </w:r>
                  <w:r>
                    <w:rPr>
                      <w:rFonts w:hint="eastAsia" w:ascii="Times New Roman" w:hAnsi="Times New Roman" w:cs="Times New Roman"/>
                      <w:color w:val="auto"/>
                      <w:sz w:val="21"/>
                      <w:szCs w:val="21"/>
                      <w:lang w:val="en-US" w:eastAsia="zh-CN"/>
                    </w:rPr>
                    <w:t>（DA001）</w:t>
                  </w:r>
                  <w:r>
                    <w:rPr>
                      <w:rFonts w:hint="default" w:ascii="Times New Roman" w:hAnsi="Times New Roman" w:cs="Times New Roman"/>
                      <w:color w:val="auto"/>
                      <w:sz w:val="21"/>
                      <w:szCs w:val="21"/>
                      <w:lang w:val="en-US" w:eastAsia="zh-CN"/>
                    </w:rPr>
                    <w:t>，</w:t>
                  </w:r>
                  <w:r>
                    <w:rPr>
                      <w:rFonts w:hint="default" w:ascii="Times New Roman" w:hAnsi="Times New Roman" w:cs="Times New Roman"/>
                      <w:color w:val="auto"/>
                      <w:kern w:val="0"/>
                      <w:szCs w:val="21"/>
                      <w:lang w:eastAsia="zh-CN"/>
                    </w:rPr>
                    <w:t>共</w:t>
                  </w:r>
                  <w:r>
                    <w:rPr>
                      <w:rFonts w:hint="default" w:ascii="Times New Roman" w:hAnsi="Times New Roman" w:cs="Times New Roman"/>
                      <w:color w:val="auto"/>
                      <w:kern w:val="0"/>
                      <w:szCs w:val="21"/>
                      <w:lang w:val="en-US" w:eastAsia="zh-CN"/>
                    </w:rPr>
                    <w:t>1个测点</w:t>
                  </w:r>
                </w:p>
              </w:tc>
              <w:tc>
                <w:tcPr>
                  <w:tcW w:w="1492" w:type="pct"/>
                  <w:tcBorders>
                    <w:tl2br w:val="nil"/>
                    <w:tr2bl w:val="nil"/>
                  </w:tcBorders>
                  <w:noWrap w:val="0"/>
                  <w:vAlign w:val="center"/>
                </w:tcPr>
                <w:p w14:paraId="2FA51A12">
                  <w:pPr>
                    <w:jc w:val="center"/>
                    <w:rPr>
                      <w:rFonts w:hint="default" w:ascii="Times New Roman" w:hAnsi="Times New Roman" w:eastAsia="宋体" w:cs="Times New Roman"/>
                      <w:color w:val="auto"/>
                      <w:spacing w:val="5"/>
                      <w:kern w:val="0"/>
                      <w:sz w:val="21"/>
                      <w:szCs w:val="24"/>
                      <w:lang w:val="en-US" w:eastAsia="zh-CN" w:bidi="ar-SA"/>
                    </w:rPr>
                  </w:pPr>
                  <w:r>
                    <w:rPr>
                      <w:rFonts w:hint="eastAsia" w:ascii="Times New Roman" w:hAnsi="Times New Roman" w:cs="Times New Roman"/>
                      <w:color w:val="auto"/>
                      <w:spacing w:val="5"/>
                      <w:kern w:val="0"/>
                      <w:sz w:val="21"/>
                      <w:szCs w:val="24"/>
                      <w:lang w:val="en-US" w:eastAsia="zh-CN" w:bidi="ar-SA"/>
                    </w:rPr>
                    <w:t>氨、硫化氢、</w:t>
                  </w:r>
                  <w:r>
                    <w:rPr>
                      <w:rFonts w:hint="eastAsia" w:ascii="Times New Roman" w:hAnsi="Times New Roman" w:cs="Times New Roman"/>
                      <w:color w:val="auto"/>
                      <w:spacing w:val="5"/>
                      <w:kern w:val="0"/>
                      <w:lang w:eastAsia="zh-CN"/>
                    </w:rPr>
                    <w:t>臭气浓度</w:t>
                  </w:r>
                </w:p>
              </w:tc>
              <w:tc>
                <w:tcPr>
                  <w:tcW w:w="1029" w:type="pct"/>
                  <w:tcBorders>
                    <w:tl2br w:val="nil"/>
                    <w:tr2bl w:val="nil"/>
                  </w:tcBorders>
                  <w:noWrap w:val="0"/>
                  <w:vAlign w:val="center"/>
                </w:tcPr>
                <w:p w14:paraId="0EEEF46D">
                  <w:pPr>
                    <w:jc w:val="center"/>
                    <w:rPr>
                      <w:rFonts w:hint="default" w:ascii="Times New Roman" w:hAnsi="Times New Roman" w:cs="Times New Roman"/>
                      <w:b/>
                      <w:bCs/>
                      <w:color w:val="auto"/>
                      <w:szCs w:val="21"/>
                    </w:rPr>
                  </w:pPr>
                  <w:r>
                    <w:rPr>
                      <w:rFonts w:hint="default" w:ascii="Times New Roman" w:hAnsi="Times New Roman" w:cs="Times New Roman"/>
                      <w:color w:val="auto"/>
                      <w:spacing w:val="5"/>
                      <w:kern w:val="0"/>
                    </w:rPr>
                    <w:t>3次/天，共2天</w:t>
                  </w:r>
                </w:p>
              </w:tc>
            </w:tr>
            <w:tr w14:paraId="18933E63">
              <w:tblPrEx>
                <w:tblBorders>
                  <w:top w:val="single" w:color="auto" w:sz="12" w:space="0"/>
                  <w:left w:val="none" w:color="auto" w:sz="0" w:space="0"/>
                  <w:bottom w:val="single" w:color="auto" w:sz="12" w:space="0"/>
                  <w:right w:val="none" w:color="auto" w:sz="0" w:space="0"/>
                  <w:insideH w:val="single" w:color="auto" w:sz="4" w:space="0"/>
                  <w:insideV w:val="single" w:color="auto" w:sz="6" w:space="0"/>
                </w:tblBorders>
                <w:tblCellMar>
                  <w:top w:w="0" w:type="dxa"/>
                  <w:left w:w="108" w:type="dxa"/>
                  <w:bottom w:w="0" w:type="dxa"/>
                  <w:right w:w="108" w:type="dxa"/>
                </w:tblCellMar>
              </w:tblPrEx>
              <w:trPr>
                <w:trHeight w:val="236" w:hRule="atLeast"/>
              </w:trPr>
              <w:tc>
                <w:tcPr>
                  <w:tcW w:w="694" w:type="pct"/>
                  <w:vMerge w:val="continue"/>
                  <w:tcBorders>
                    <w:tl2br w:val="nil"/>
                    <w:tr2bl w:val="nil"/>
                  </w:tcBorders>
                  <w:noWrap w:val="0"/>
                  <w:vAlign w:val="center"/>
                </w:tcPr>
                <w:p w14:paraId="7601C4CF">
                  <w:pPr>
                    <w:jc w:val="center"/>
                    <w:rPr>
                      <w:rFonts w:hint="default" w:ascii="Times New Roman" w:hAnsi="Times New Roman" w:cs="Times New Roman"/>
                      <w:color w:val="auto"/>
                      <w:kern w:val="0"/>
                      <w:szCs w:val="21"/>
                    </w:rPr>
                  </w:pPr>
                </w:p>
              </w:tc>
              <w:tc>
                <w:tcPr>
                  <w:tcW w:w="1783" w:type="pct"/>
                  <w:tcBorders>
                    <w:tl2br w:val="nil"/>
                    <w:tr2bl w:val="nil"/>
                  </w:tcBorders>
                  <w:noWrap w:val="0"/>
                  <w:vAlign w:val="center"/>
                </w:tcPr>
                <w:p w14:paraId="7F4592AC">
                  <w:pPr>
                    <w:widowControl/>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污水处理站（DA002）</w:t>
                  </w:r>
                  <w:r>
                    <w:rPr>
                      <w:rFonts w:hint="default" w:ascii="Times New Roman" w:hAnsi="Times New Roman" w:cs="Times New Roman"/>
                      <w:color w:val="auto"/>
                      <w:sz w:val="21"/>
                      <w:szCs w:val="21"/>
                      <w:lang w:val="en-US" w:eastAsia="zh-CN"/>
                    </w:rPr>
                    <w:t>，</w:t>
                  </w:r>
                  <w:r>
                    <w:rPr>
                      <w:rFonts w:hint="default" w:ascii="Times New Roman" w:hAnsi="Times New Roman" w:cs="Times New Roman"/>
                      <w:color w:val="auto"/>
                      <w:kern w:val="0"/>
                      <w:szCs w:val="21"/>
                      <w:lang w:eastAsia="zh-CN"/>
                    </w:rPr>
                    <w:t>共</w:t>
                  </w:r>
                  <w:r>
                    <w:rPr>
                      <w:rFonts w:hint="default" w:ascii="Times New Roman" w:hAnsi="Times New Roman" w:cs="Times New Roman"/>
                      <w:color w:val="auto"/>
                      <w:kern w:val="0"/>
                      <w:szCs w:val="21"/>
                      <w:lang w:val="en-US" w:eastAsia="zh-CN"/>
                    </w:rPr>
                    <w:t>1个测点</w:t>
                  </w:r>
                </w:p>
              </w:tc>
              <w:tc>
                <w:tcPr>
                  <w:tcW w:w="1492" w:type="pct"/>
                  <w:tcBorders>
                    <w:tl2br w:val="nil"/>
                    <w:tr2bl w:val="nil"/>
                  </w:tcBorders>
                  <w:noWrap w:val="0"/>
                  <w:vAlign w:val="center"/>
                </w:tcPr>
                <w:p w14:paraId="192162EB">
                  <w:pPr>
                    <w:jc w:val="center"/>
                    <w:rPr>
                      <w:rFonts w:hint="default" w:ascii="Times New Roman" w:hAnsi="Times New Roman" w:cs="Times New Roman"/>
                      <w:color w:val="auto"/>
                      <w:spacing w:val="5"/>
                      <w:kern w:val="0"/>
                      <w:sz w:val="21"/>
                      <w:szCs w:val="24"/>
                      <w:lang w:val="en-US" w:eastAsia="zh-CN" w:bidi="ar-SA"/>
                    </w:rPr>
                  </w:pPr>
                  <w:r>
                    <w:rPr>
                      <w:rFonts w:hint="eastAsia" w:ascii="Times New Roman" w:hAnsi="Times New Roman" w:cs="Times New Roman"/>
                      <w:color w:val="auto"/>
                      <w:spacing w:val="5"/>
                      <w:kern w:val="0"/>
                      <w:sz w:val="21"/>
                      <w:szCs w:val="24"/>
                      <w:lang w:val="en-US" w:eastAsia="zh-CN" w:bidi="ar-SA"/>
                    </w:rPr>
                    <w:t>氨、硫化氢、</w:t>
                  </w:r>
                  <w:r>
                    <w:rPr>
                      <w:rFonts w:hint="eastAsia" w:ascii="Times New Roman" w:hAnsi="Times New Roman" w:cs="Times New Roman"/>
                      <w:color w:val="auto"/>
                      <w:spacing w:val="5"/>
                      <w:kern w:val="0"/>
                      <w:lang w:eastAsia="zh-CN"/>
                    </w:rPr>
                    <w:t>臭气浓度</w:t>
                  </w:r>
                </w:p>
              </w:tc>
              <w:tc>
                <w:tcPr>
                  <w:tcW w:w="1029" w:type="pct"/>
                  <w:tcBorders>
                    <w:tl2br w:val="nil"/>
                    <w:tr2bl w:val="nil"/>
                  </w:tcBorders>
                  <w:noWrap w:val="0"/>
                  <w:vAlign w:val="center"/>
                </w:tcPr>
                <w:p w14:paraId="4BB03C64">
                  <w:pPr>
                    <w:jc w:val="center"/>
                    <w:rPr>
                      <w:rFonts w:hint="default" w:ascii="Times New Roman" w:hAnsi="Times New Roman" w:cs="Times New Roman"/>
                      <w:color w:val="auto"/>
                      <w:spacing w:val="5"/>
                      <w:kern w:val="0"/>
                    </w:rPr>
                  </w:pPr>
                  <w:r>
                    <w:rPr>
                      <w:rFonts w:hint="default" w:ascii="Times New Roman" w:hAnsi="Times New Roman" w:cs="Times New Roman"/>
                      <w:color w:val="auto"/>
                      <w:spacing w:val="5"/>
                      <w:kern w:val="0"/>
                    </w:rPr>
                    <w:t>3次/天，共2天</w:t>
                  </w:r>
                </w:p>
              </w:tc>
            </w:tr>
            <w:tr w14:paraId="71770239">
              <w:tblPrEx>
                <w:tblBorders>
                  <w:top w:val="single" w:color="auto" w:sz="12" w:space="0"/>
                  <w:left w:val="none" w:color="auto" w:sz="0" w:space="0"/>
                  <w:bottom w:val="single" w:color="auto" w:sz="12" w:space="0"/>
                  <w:right w:val="none" w:color="auto" w:sz="0" w:space="0"/>
                  <w:insideH w:val="single" w:color="auto" w:sz="4" w:space="0"/>
                  <w:insideV w:val="single" w:color="auto" w:sz="6" w:space="0"/>
                </w:tblBorders>
                <w:tblCellMar>
                  <w:top w:w="0" w:type="dxa"/>
                  <w:left w:w="108" w:type="dxa"/>
                  <w:bottom w:w="0" w:type="dxa"/>
                  <w:right w:w="108" w:type="dxa"/>
                </w:tblCellMar>
              </w:tblPrEx>
              <w:trPr>
                <w:trHeight w:val="220" w:hRule="atLeast"/>
              </w:trPr>
              <w:tc>
                <w:tcPr>
                  <w:tcW w:w="694" w:type="pct"/>
                  <w:tcBorders>
                    <w:tl2br w:val="nil"/>
                    <w:tr2bl w:val="nil"/>
                  </w:tcBorders>
                  <w:noWrap w:val="0"/>
                  <w:vAlign w:val="center"/>
                </w:tcPr>
                <w:p w14:paraId="2DE34D8E">
                  <w:pPr>
                    <w:jc w:val="center"/>
                    <w:rPr>
                      <w:rFonts w:hint="default" w:ascii="Times New Roman" w:hAnsi="Times New Roman" w:cs="Times New Roman"/>
                      <w:color w:val="auto"/>
                      <w:szCs w:val="21"/>
                    </w:rPr>
                  </w:pPr>
                  <w:r>
                    <w:rPr>
                      <w:rFonts w:hint="default" w:ascii="Times New Roman" w:hAnsi="Times New Roman" w:cs="Times New Roman"/>
                      <w:color w:val="auto"/>
                      <w:szCs w:val="21"/>
                    </w:rPr>
                    <w:t>无组织废气</w:t>
                  </w:r>
                </w:p>
              </w:tc>
              <w:tc>
                <w:tcPr>
                  <w:tcW w:w="1783" w:type="pct"/>
                  <w:tcBorders>
                    <w:tl2br w:val="nil"/>
                    <w:tr2bl w:val="nil"/>
                  </w:tcBorders>
                  <w:noWrap w:val="0"/>
                  <w:vAlign w:val="center"/>
                </w:tcPr>
                <w:p w14:paraId="7E664860">
                  <w:pPr>
                    <w:jc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厂界外</w:t>
                  </w:r>
                  <w:r>
                    <w:rPr>
                      <w:rFonts w:hint="default" w:ascii="Times New Roman" w:hAnsi="Times New Roman" w:cs="Times New Roman"/>
                      <w:color w:val="auto"/>
                      <w:kern w:val="0"/>
                      <w:szCs w:val="21"/>
                      <w:lang w:val="en-US" w:eastAsia="zh-CN"/>
                    </w:rPr>
                    <w:t>4</w:t>
                  </w:r>
                  <w:r>
                    <w:rPr>
                      <w:rFonts w:hint="default" w:ascii="Times New Roman" w:hAnsi="Times New Roman" w:cs="Times New Roman"/>
                      <w:color w:val="auto"/>
                      <w:kern w:val="0"/>
                      <w:szCs w:val="21"/>
                    </w:rPr>
                    <w:t>个点</w:t>
                  </w:r>
                </w:p>
              </w:tc>
              <w:tc>
                <w:tcPr>
                  <w:tcW w:w="1492" w:type="pct"/>
                  <w:tcBorders>
                    <w:tl2br w:val="nil"/>
                    <w:tr2bl w:val="nil"/>
                  </w:tcBorders>
                  <w:noWrap w:val="0"/>
                  <w:vAlign w:val="center"/>
                </w:tcPr>
                <w:p w14:paraId="6ABAAC72">
                  <w:pPr>
                    <w:jc w:val="center"/>
                    <w:rPr>
                      <w:rFonts w:hint="default" w:ascii="Times New Roman" w:hAnsi="Times New Roman" w:cs="Times New Roman"/>
                      <w:color w:val="auto"/>
                      <w:spacing w:val="5"/>
                      <w:kern w:val="0"/>
                    </w:rPr>
                  </w:pPr>
                  <w:r>
                    <w:rPr>
                      <w:rFonts w:hint="eastAsia" w:ascii="Times New Roman" w:hAnsi="Times New Roman" w:cs="Times New Roman"/>
                      <w:color w:val="auto"/>
                      <w:spacing w:val="5"/>
                      <w:kern w:val="0"/>
                      <w:sz w:val="21"/>
                      <w:szCs w:val="24"/>
                      <w:lang w:val="en-US" w:eastAsia="zh-CN" w:bidi="ar-SA"/>
                    </w:rPr>
                    <w:t>氨、硫化氢、</w:t>
                  </w:r>
                  <w:r>
                    <w:rPr>
                      <w:rFonts w:hint="eastAsia" w:ascii="Times New Roman" w:hAnsi="Times New Roman" w:cs="Times New Roman"/>
                      <w:color w:val="auto"/>
                      <w:spacing w:val="5"/>
                      <w:kern w:val="0"/>
                      <w:lang w:eastAsia="zh-CN"/>
                    </w:rPr>
                    <w:t>臭气浓度</w:t>
                  </w:r>
                </w:p>
              </w:tc>
              <w:tc>
                <w:tcPr>
                  <w:tcW w:w="1029" w:type="pct"/>
                  <w:tcBorders>
                    <w:tl2br w:val="nil"/>
                    <w:tr2bl w:val="nil"/>
                  </w:tcBorders>
                  <w:noWrap w:val="0"/>
                  <w:vAlign w:val="center"/>
                </w:tcPr>
                <w:p w14:paraId="48E482B4">
                  <w:pPr>
                    <w:jc w:val="center"/>
                    <w:rPr>
                      <w:rFonts w:hint="default" w:ascii="Times New Roman" w:hAnsi="Times New Roman" w:cs="Times New Roman"/>
                      <w:color w:val="auto"/>
                      <w:spacing w:val="5"/>
                      <w:kern w:val="0"/>
                    </w:rPr>
                  </w:pPr>
                  <w:r>
                    <w:rPr>
                      <w:rFonts w:hint="default" w:ascii="Times New Roman" w:hAnsi="Times New Roman" w:cs="Times New Roman"/>
                      <w:color w:val="auto"/>
                      <w:spacing w:val="5"/>
                      <w:kern w:val="0"/>
                      <w:lang w:val="en-US" w:eastAsia="zh-CN"/>
                    </w:rPr>
                    <w:t>4</w:t>
                  </w:r>
                  <w:r>
                    <w:rPr>
                      <w:rFonts w:hint="default" w:ascii="Times New Roman" w:hAnsi="Times New Roman" w:cs="Times New Roman"/>
                      <w:color w:val="auto"/>
                      <w:spacing w:val="5"/>
                      <w:kern w:val="0"/>
                    </w:rPr>
                    <w:t>次/天，共2天</w:t>
                  </w:r>
                </w:p>
              </w:tc>
            </w:tr>
          </w:tbl>
          <w:p w14:paraId="71EA4890">
            <w:pPr>
              <w:pStyle w:val="11"/>
              <w:spacing w:after="0"/>
              <w:ind w:left="0" w:leftChars="0" w:right="0" w:rightChars="0" w:firstLine="562" w:firstLineChars="200"/>
              <w:jc w:val="left"/>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lang w:val="en-US" w:eastAsia="zh-CN"/>
              </w:rPr>
              <w:t>5</w:t>
            </w:r>
            <w:r>
              <w:rPr>
                <w:rFonts w:hint="default" w:ascii="Times New Roman" w:hAnsi="Times New Roman" w:cs="Times New Roman"/>
                <w:b/>
                <w:bCs/>
                <w:color w:val="auto"/>
                <w:sz w:val="28"/>
                <w:szCs w:val="28"/>
                <w:highlight w:val="none"/>
              </w:rPr>
              <w:t>.</w:t>
            </w:r>
            <w:r>
              <w:rPr>
                <w:rFonts w:hint="default" w:ascii="Times New Roman" w:hAnsi="Times New Roman" w:cs="Times New Roman"/>
                <w:b/>
                <w:bCs/>
                <w:color w:val="auto"/>
                <w:sz w:val="28"/>
                <w:szCs w:val="28"/>
                <w:highlight w:val="none"/>
                <w:lang w:val="en-US" w:eastAsia="zh-CN"/>
              </w:rPr>
              <w:t>1</w:t>
            </w:r>
            <w:r>
              <w:rPr>
                <w:rFonts w:hint="default" w:ascii="Times New Roman" w:hAnsi="Times New Roman" w:cs="Times New Roman"/>
                <w:b/>
                <w:bCs/>
                <w:color w:val="auto"/>
                <w:sz w:val="28"/>
                <w:szCs w:val="28"/>
                <w:highlight w:val="none"/>
              </w:rPr>
              <w:t>.2废气执行标准</w:t>
            </w:r>
          </w:p>
          <w:p w14:paraId="5D2464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lang w:eastAsia="zh-CN"/>
              </w:rPr>
              <w:t>有组织废气</w:t>
            </w:r>
            <w:r>
              <w:rPr>
                <w:rFonts w:hint="eastAsia" w:ascii="宋体" w:hAnsi="宋体" w:eastAsia="宋体" w:cs="宋体"/>
                <w:color w:val="auto"/>
                <w:spacing w:val="5"/>
                <w:kern w:val="0"/>
                <w:sz w:val="24"/>
                <w:szCs w:val="24"/>
                <w:lang w:val="en-US" w:eastAsia="zh-CN" w:bidi="ar-SA"/>
              </w:rPr>
              <w:t>氨、硫化氢、</w:t>
            </w:r>
            <w:r>
              <w:rPr>
                <w:rFonts w:hint="eastAsia" w:ascii="宋体" w:hAnsi="宋体" w:eastAsia="宋体" w:cs="宋体"/>
                <w:color w:val="auto"/>
                <w:spacing w:val="5"/>
                <w:kern w:val="0"/>
                <w:sz w:val="24"/>
                <w:szCs w:val="24"/>
                <w:lang w:eastAsia="zh-CN"/>
              </w:rPr>
              <w:t>臭气浓度</w:t>
            </w:r>
            <w:r>
              <w:rPr>
                <w:rFonts w:hint="eastAsia" w:ascii="宋体" w:hAnsi="宋体" w:eastAsia="宋体" w:cs="宋体"/>
                <w:sz w:val="24"/>
                <w:szCs w:val="24"/>
              </w:rPr>
              <w:t>《恶臭污染物排放标准》(</w:t>
            </w:r>
            <w:r>
              <w:rPr>
                <w:rFonts w:hint="eastAsia" w:ascii="宋体" w:hAnsi="宋体" w:eastAsia="宋体" w:cs="宋体"/>
                <w:spacing w:val="-1"/>
                <w:sz w:val="24"/>
                <w:szCs w:val="24"/>
              </w:rPr>
              <w:t>GB14554-93)表2恶臭</w:t>
            </w:r>
            <w:r>
              <w:rPr>
                <w:rFonts w:hint="eastAsia" w:ascii="宋体" w:hAnsi="宋体" w:eastAsia="宋体" w:cs="宋体"/>
                <w:spacing w:val="1"/>
                <w:sz w:val="24"/>
                <w:szCs w:val="24"/>
              </w:rPr>
              <w:t>污染物排放标准值；无组织恶臭执行《恶臭污染物排放标准》(</w:t>
            </w:r>
            <w:r>
              <w:rPr>
                <w:rFonts w:hint="eastAsia" w:ascii="宋体" w:hAnsi="宋体" w:eastAsia="宋体" w:cs="宋体"/>
                <w:sz w:val="24"/>
                <w:szCs w:val="24"/>
              </w:rPr>
              <w:t>GB</w:t>
            </w:r>
            <w:r>
              <w:rPr>
                <w:rFonts w:hint="eastAsia" w:ascii="宋体" w:hAnsi="宋体" w:eastAsia="宋体" w:cs="宋体"/>
                <w:spacing w:val="1"/>
                <w:sz w:val="24"/>
                <w:szCs w:val="24"/>
              </w:rPr>
              <w:t>14554-93)</w:t>
            </w:r>
            <w:r>
              <w:rPr>
                <w:rFonts w:hint="eastAsia" w:ascii="宋体" w:hAnsi="宋体" w:eastAsia="宋体" w:cs="宋体"/>
                <w:spacing w:val="-1"/>
                <w:sz w:val="24"/>
                <w:szCs w:val="24"/>
              </w:rPr>
              <w:t>表1中二级标准。</w:t>
            </w:r>
            <w:r>
              <w:rPr>
                <w:rFonts w:hint="eastAsia" w:ascii="宋体" w:hAnsi="宋体" w:eastAsia="宋体" w:cs="宋体"/>
                <w:color w:val="auto"/>
                <w:sz w:val="24"/>
                <w:szCs w:val="24"/>
              </w:rPr>
              <w:t>废气排放具体执行标准见表5-2</w:t>
            </w:r>
            <w:r>
              <w:rPr>
                <w:rFonts w:hint="eastAsia" w:ascii="宋体" w:hAnsi="宋体" w:eastAsia="宋体" w:cs="宋体"/>
                <w:color w:val="auto"/>
                <w:sz w:val="24"/>
                <w:szCs w:val="24"/>
                <w:lang w:eastAsia="zh-CN"/>
              </w:rPr>
              <w:t>，有组织废气</w:t>
            </w:r>
            <w:r>
              <w:rPr>
                <w:rFonts w:hint="eastAsia" w:ascii="宋体" w:hAnsi="宋体" w:eastAsia="宋体" w:cs="宋体"/>
                <w:color w:val="auto"/>
                <w:sz w:val="24"/>
                <w:szCs w:val="24"/>
                <w:highlight w:val="none"/>
              </w:rPr>
              <w:t>监测点位示意图见图</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p>
          <w:p w14:paraId="41E8173F">
            <w:pPr>
              <w:spacing w:line="240" w:lineRule="auto"/>
              <w:rPr>
                <w:rFonts w:hint="default" w:ascii="Times New Roman" w:hAnsi="Times New Roman" w:cs="Times New Roman"/>
                <w:b/>
                <w:bCs/>
                <w:color w:val="auto"/>
                <w:sz w:val="24"/>
                <w:highlight w:val="none"/>
              </w:rPr>
            </w:pPr>
          </w:p>
          <w:p w14:paraId="4A926F88">
            <w:pPr>
              <w:spacing w:line="240" w:lineRule="auto"/>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表</w:t>
            </w:r>
            <w:r>
              <w:rPr>
                <w:rFonts w:hint="default" w:ascii="Times New Roman" w:hAnsi="Times New Roman" w:cs="Times New Roman"/>
                <w:b/>
                <w:bCs/>
                <w:color w:val="auto"/>
                <w:sz w:val="24"/>
                <w:highlight w:val="none"/>
                <w:lang w:val="en-US" w:eastAsia="zh-CN"/>
              </w:rPr>
              <w:t>5</w:t>
            </w:r>
            <w:r>
              <w:rPr>
                <w:rFonts w:hint="default" w:ascii="Times New Roman" w:hAnsi="Times New Roman" w:cs="Times New Roman"/>
                <w:b/>
                <w:bCs/>
                <w:color w:val="auto"/>
                <w:sz w:val="24"/>
                <w:highlight w:val="none"/>
              </w:rPr>
              <w:t>-2                        废气排放标准</w:t>
            </w:r>
          </w:p>
          <w:tbl>
            <w:tblPr>
              <w:tblStyle w:val="15"/>
              <w:tblW w:w="8842"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107"/>
              <w:gridCol w:w="1272"/>
              <w:gridCol w:w="1031"/>
              <w:gridCol w:w="982"/>
              <w:gridCol w:w="4450"/>
            </w:tblGrid>
            <w:tr w14:paraId="4954595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107" w:type="dxa"/>
                  <w:tcBorders>
                    <w:tl2br w:val="nil"/>
                    <w:tr2bl w:val="nil"/>
                  </w:tcBorders>
                  <w:noWrap w:val="0"/>
                  <w:vAlign w:val="center"/>
                </w:tcPr>
                <w:p w14:paraId="57174297">
                  <w:pPr>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项目</w:t>
                  </w:r>
                </w:p>
              </w:tc>
              <w:tc>
                <w:tcPr>
                  <w:tcW w:w="1272" w:type="dxa"/>
                  <w:tcBorders>
                    <w:tl2br w:val="nil"/>
                    <w:tr2bl w:val="nil"/>
                  </w:tcBorders>
                  <w:noWrap w:val="0"/>
                  <w:vAlign w:val="center"/>
                </w:tcPr>
                <w:p w14:paraId="73BD3569">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监测因子</w:t>
                  </w:r>
                </w:p>
              </w:tc>
              <w:tc>
                <w:tcPr>
                  <w:tcW w:w="1031" w:type="dxa"/>
                  <w:tcBorders>
                    <w:tl2br w:val="nil"/>
                    <w:tr2bl w:val="nil"/>
                  </w:tcBorders>
                  <w:noWrap w:val="0"/>
                  <w:vAlign w:val="center"/>
                </w:tcPr>
                <w:p w14:paraId="40793CDD">
                  <w:pPr>
                    <w:jc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rPr>
                    <w:t>单位</w:t>
                  </w:r>
                </w:p>
              </w:tc>
              <w:tc>
                <w:tcPr>
                  <w:tcW w:w="982" w:type="dxa"/>
                  <w:tcBorders>
                    <w:tl2br w:val="nil"/>
                    <w:tr2bl w:val="nil"/>
                  </w:tcBorders>
                  <w:noWrap w:val="0"/>
                  <w:vAlign w:val="center"/>
                </w:tcPr>
                <w:p w14:paraId="4A58C56B">
                  <w:pPr>
                    <w:jc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rPr>
                    <w:t>限值</w:t>
                  </w:r>
                </w:p>
              </w:tc>
              <w:tc>
                <w:tcPr>
                  <w:tcW w:w="4450" w:type="dxa"/>
                  <w:tcBorders>
                    <w:tl2br w:val="nil"/>
                    <w:tr2bl w:val="nil"/>
                  </w:tcBorders>
                  <w:noWrap w:val="0"/>
                  <w:vAlign w:val="center"/>
                </w:tcPr>
                <w:p w14:paraId="1680A96B">
                  <w:pPr>
                    <w:jc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rPr>
                    <w:t>标准来源</w:t>
                  </w:r>
                </w:p>
              </w:tc>
            </w:tr>
            <w:tr w14:paraId="7CA8605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107" w:type="dxa"/>
                  <w:vMerge w:val="restart"/>
                  <w:tcBorders>
                    <w:tl2br w:val="nil"/>
                    <w:tr2bl w:val="nil"/>
                  </w:tcBorders>
                  <w:noWrap w:val="0"/>
                  <w:vAlign w:val="center"/>
                </w:tcPr>
                <w:p w14:paraId="43FAD094">
                  <w:pPr>
                    <w:jc w:val="center"/>
                    <w:rPr>
                      <w:rFonts w:hint="default"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有组织废气</w:t>
                  </w:r>
                </w:p>
              </w:tc>
              <w:tc>
                <w:tcPr>
                  <w:tcW w:w="1272" w:type="dxa"/>
                  <w:tcBorders>
                    <w:tl2br w:val="nil"/>
                    <w:tr2bl w:val="nil"/>
                  </w:tcBorders>
                  <w:noWrap w:val="0"/>
                  <w:vAlign w:val="center"/>
                </w:tcPr>
                <w:p w14:paraId="3B3C3110">
                  <w:pPr>
                    <w:jc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硫化氢</w:t>
                  </w:r>
                </w:p>
              </w:tc>
              <w:tc>
                <w:tcPr>
                  <w:tcW w:w="1031" w:type="dxa"/>
                  <w:tcBorders>
                    <w:tl2br w:val="nil"/>
                    <w:tr2bl w:val="nil"/>
                  </w:tcBorders>
                  <w:noWrap w:val="0"/>
                  <w:vAlign w:val="center"/>
                </w:tcPr>
                <w:p w14:paraId="089C8204">
                  <w:pPr>
                    <w:jc w:val="center"/>
                    <w:rPr>
                      <w:rFonts w:hint="eastAsia" w:ascii="宋体" w:hAnsi="宋体" w:eastAsia="宋体" w:cs="宋体"/>
                      <w:b w:val="0"/>
                      <w:bCs w:val="0"/>
                      <w:color w:val="auto"/>
                      <w:kern w:val="0"/>
                      <w:sz w:val="21"/>
                      <w:szCs w:val="21"/>
                      <w:lang w:val="en-US" w:eastAsia="zh-CN"/>
                    </w:rPr>
                  </w:pPr>
                  <w:r>
                    <w:rPr>
                      <w:rFonts w:hint="eastAsia" w:ascii="宋体" w:hAnsi="宋体" w:eastAsia="宋体" w:cs="宋体"/>
                      <w:b w:val="0"/>
                      <w:bCs w:val="0"/>
                      <w:color w:val="auto"/>
                      <w:kern w:val="0"/>
                      <w:sz w:val="21"/>
                      <w:szCs w:val="21"/>
                      <w:lang w:val="en-US" w:eastAsia="zh-CN"/>
                    </w:rPr>
                    <w:t>kg/h</w:t>
                  </w:r>
                </w:p>
              </w:tc>
              <w:tc>
                <w:tcPr>
                  <w:tcW w:w="982" w:type="dxa"/>
                  <w:tcBorders>
                    <w:tl2br w:val="nil"/>
                    <w:tr2bl w:val="nil"/>
                  </w:tcBorders>
                  <w:noWrap w:val="0"/>
                  <w:vAlign w:val="center"/>
                </w:tcPr>
                <w:p w14:paraId="3A9D97F0">
                  <w:pPr>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0.33</w:t>
                  </w:r>
                </w:p>
              </w:tc>
              <w:tc>
                <w:tcPr>
                  <w:tcW w:w="4450" w:type="dxa"/>
                  <w:vMerge w:val="restart"/>
                  <w:tcBorders>
                    <w:tl2br w:val="nil"/>
                    <w:tr2bl w:val="nil"/>
                  </w:tcBorders>
                  <w:noWrap w:val="0"/>
                  <w:vAlign w:val="center"/>
                </w:tcPr>
                <w:p w14:paraId="39E63D33">
                  <w:pPr>
                    <w:jc w:val="center"/>
                    <w:rPr>
                      <w:rFonts w:hint="eastAsia" w:ascii="宋体" w:hAnsi="宋体" w:eastAsia="宋体" w:cs="宋体"/>
                      <w:color w:val="auto"/>
                      <w:sz w:val="21"/>
                      <w:szCs w:val="21"/>
                      <w:lang w:eastAsia="zh-CN"/>
                    </w:rPr>
                  </w:pPr>
                  <w:r>
                    <w:rPr>
                      <w:rFonts w:hint="eastAsia" w:ascii="宋体" w:hAnsi="宋体" w:eastAsia="宋体" w:cs="宋体"/>
                      <w:sz w:val="21"/>
                      <w:szCs w:val="21"/>
                    </w:rPr>
                    <w:t>《恶臭污染物排放标准》(</w:t>
                  </w:r>
                  <w:r>
                    <w:rPr>
                      <w:rFonts w:hint="eastAsia" w:ascii="宋体" w:hAnsi="宋体" w:eastAsia="宋体" w:cs="宋体"/>
                      <w:spacing w:val="-1"/>
                      <w:sz w:val="21"/>
                      <w:szCs w:val="21"/>
                    </w:rPr>
                    <w:t>GB14554-93)表2恶臭</w:t>
                  </w:r>
                  <w:r>
                    <w:rPr>
                      <w:rFonts w:hint="eastAsia" w:ascii="宋体" w:hAnsi="宋体" w:eastAsia="宋体" w:cs="宋体"/>
                      <w:spacing w:val="1"/>
                      <w:sz w:val="21"/>
                      <w:szCs w:val="21"/>
                    </w:rPr>
                    <w:t>污染物排放标准值</w:t>
                  </w:r>
                </w:p>
              </w:tc>
            </w:tr>
            <w:tr w14:paraId="39ECE76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107" w:type="dxa"/>
                  <w:vMerge w:val="continue"/>
                  <w:tcBorders>
                    <w:tl2br w:val="nil"/>
                    <w:tr2bl w:val="nil"/>
                  </w:tcBorders>
                  <w:noWrap w:val="0"/>
                  <w:vAlign w:val="center"/>
                </w:tcPr>
                <w:p w14:paraId="3276B062">
                  <w:pPr>
                    <w:jc w:val="center"/>
                    <w:rPr>
                      <w:rFonts w:hint="eastAsia" w:ascii="宋体" w:hAnsi="宋体" w:eastAsia="宋体" w:cs="宋体"/>
                      <w:b/>
                      <w:bCs/>
                      <w:color w:val="auto"/>
                      <w:kern w:val="0"/>
                      <w:sz w:val="21"/>
                      <w:szCs w:val="21"/>
                    </w:rPr>
                  </w:pPr>
                </w:p>
              </w:tc>
              <w:tc>
                <w:tcPr>
                  <w:tcW w:w="1272" w:type="dxa"/>
                  <w:tcBorders>
                    <w:tl2br w:val="nil"/>
                    <w:tr2bl w:val="nil"/>
                  </w:tcBorders>
                  <w:noWrap w:val="0"/>
                  <w:vAlign w:val="center"/>
                </w:tcPr>
                <w:p w14:paraId="4B1DB43D">
                  <w:pPr>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氨</w:t>
                  </w:r>
                </w:p>
              </w:tc>
              <w:tc>
                <w:tcPr>
                  <w:tcW w:w="1031" w:type="dxa"/>
                  <w:tcBorders>
                    <w:tl2br w:val="nil"/>
                    <w:tr2bl w:val="nil"/>
                  </w:tcBorders>
                  <w:shd w:val="clear" w:color="auto" w:fill="auto"/>
                  <w:noWrap w:val="0"/>
                  <w:vAlign w:val="center"/>
                </w:tcPr>
                <w:p w14:paraId="14F6F133">
                  <w:pPr>
                    <w:jc w:val="center"/>
                    <w:rPr>
                      <w:rFonts w:hint="eastAsia" w:ascii="宋体" w:hAnsi="宋体" w:eastAsia="宋体" w:cs="宋体"/>
                      <w:b w:val="0"/>
                      <w:bCs w:val="0"/>
                      <w:color w:val="auto"/>
                      <w:kern w:val="0"/>
                      <w:sz w:val="21"/>
                      <w:szCs w:val="21"/>
                      <w:lang w:val="en-US" w:eastAsia="zh-CN"/>
                    </w:rPr>
                  </w:pPr>
                  <w:r>
                    <w:rPr>
                      <w:rFonts w:hint="eastAsia" w:ascii="宋体" w:hAnsi="宋体" w:eastAsia="宋体" w:cs="宋体"/>
                      <w:b w:val="0"/>
                      <w:bCs w:val="0"/>
                      <w:color w:val="auto"/>
                      <w:kern w:val="0"/>
                      <w:sz w:val="21"/>
                      <w:szCs w:val="21"/>
                      <w:lang w:val="en-US" w:eastAsia="zh-CN"/>
                    </w:rPr>
                    <w:t>kg/h</w:t>
                  </w:r>
                </w:p>
              </w:tc>
              <w:tc>
                <w:tcPr>
                  <w:tcW w:w="982" w:type="dxa"/>
                  <w:tcBorders>
                    <w:tl2br w:val="nil"/>
                    <w:tr2bl w:val="nil"/>
                  </w:tcBorders>
                  <w:shd w:val="clear" w:color="auto" w:fill="auto"/>
                  <w:noWrap w:val="0"/>
                  <w:vAlign w:val="center"/>
                </w:tcPr>
                <w:p w14:paraId="60F86E63">
                  <w:pPr>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4.9</w:t>
                  </w:r>
                </w:p>
              </w:tc>
              <w:tc>
                <w:tcPr>
                  <w:tcW w:w="4450" w:type="dxa"/>
                  <w:vMerge w:val="continue"/>
                  <w:tcBorders>
                    <w:tl2br w:val="nil"/>
                    <w:tr2bl w:val="nil"/>
                  </w:tcBorders>
                  <w:noWrap w:val="0"/>
                  <w:vAlign w:val="center"/>
                </w:tcPr>
                <w:p w14:paraId="2862D0EA">
                  <w:pPr>
                    <w:jc w:val="center"/>
                    <w:rPr>
                      <w:rFonts w:hint="eastAsia" w:ascii="宋体" w:hAnsi="宋体" w:eastAsia="宋体" w:cs="宋体"/>
                      <w:b/>
                      <w:bCs/>
                      <w:color w:val="auto"/>
                      <w:kern w:val="0"/>
                      <w:sz w:val="21"/>
                      <w:szCs w:val="21"/>
                    </w:rPr>
                  </w:pPr>
                </w:p>
              </w:tc>
            </w:tr>
            <w:tr w14:paraId="5F7CE57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107" w:type="dxa"/>
                  <w:vMerge w:val="continue"/>
                  <w:tcBorders>
                    <w:tl2br w:val="nil"/>
                    <w:tr2bl w:val="nil"/>
                  </w:tcBorders>
                  <w:noWrap w:val="0"/>
                  <w:vAlign w:val="center"/>
                </w:tcPr>
                <w:p w14:paraId="505C763F">
                  <w:pPr>
                    <w:jc w:val="center"/>
                    <w:rPr>
                      <w:rFonts w:hint="eastAsia" w:ascii="宋体" w:hAnsi="宋体" w:eastAsia="宋体" w:cs="宋体"/>
                      <w:b/>
                      <w:bCs/>
                      <w:color w:val="auto"/>
                      <w:kern w:val="0"/>
                      <w:sz w:val="21"/>
                      <w:szCs w:val="21"/>
                    </w:rPr>
                  </w:pPr>
                </w:p>
              </w:tc>
              <w:tc>
                <w:tcPr>
                  <w:tcW w:w="1272" w:type="dxa"/>
                  <w:tcBorders>
                    <w:tl2br w:val="nil"/>
                    <w:tr2bl w:val="nil"/>
                  </w:tcBorders>
                  <w:noWrap w:val="0"/>
                  <w:vAlign w:val="center"/>
                </w:tcPr>
                <w:p w14:paraId="6DEF9C76">
                  <w:pPr>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臭气浓度</w:t>
                  </w:r>
                </w:p>
              </w:tc>
              <w:tc>
                <w:tcPr>
                  <w:tcW w:w="1031" w:type="dxa"/>
                  <w:tcBorders>
                    <w:tl2br w:val="nil"/>
                    <w:tr2bl w:val="nil"/>
                  </w:tcBorders>
                  <w:shd w:val="clear" w:color="auto" w:fill="auto"/>
                  <w:noWrap w:val="0"/>
                  <w:vAlign w:val="center"/>
                </w:tcPr>
                <w:p w14:paraId="70E5D51D">
                  <w:pPr>
                    <w:jc w:val="center"/>
                    <w:rPr>
                      <w:rFonts w:hint="eastAsia" w:ascii="宋体" w:hAnsi="宋体" w:eastAsia="宋体" w:cs="宋体"/>
                      <w:b w:val="0"/>
                      <w:bCs w:val="0"/>
                      <w:color w:val="auto"/>
                      <w:kern w:val="0"/>
                      <w:sz w:val="21"/>
                      <w:szCs w:val="21"/>
                      <w:lang w:val="en-US" w:eastAsia="zh-CN"/>
                    </w:rPr>
                  </w:pPr>
                  <w:r>
                    <w:rPr>
                      <w:rFonts w:hint="eastAsia" w:ascii="宋体" w:hAnsi="宋体" w:eastAsia="宋体" w:cs="宋体"/>
                      <w:b w:val="0"/>
                      <w:bCs w:val="0"/>
                      <w:color w:val="auto"/>
                      <w:kern w:val="0"/>
                      <w:sz w:val="21"/>
                      <w:szCs w:val="21"/>
                      <w:lang w:eastAsia="zh-CN"/>
                    </w:rPr>
                    <w:t>无量纲</w:t>
                  </w:r>
                </w:p>
              </w:tc>
              <w:tc>
                <w:tcPr>
                  <w:tcW w:w="982" w:type="dxa"/>
                  <w:tcBorders>
                    <w:tl2br w:val="nil"/>
                    <w:tr2bl w:val="nil"/>
                  </w:tcBorders>
                  <w:shd w:val="clear" w:color="auto" w:fill="auto"/>
                  <w:noWrap w:val="0"/>
                  <w:vAlign w:val="center"/>
                </w:tcPr>
                <w:p w14:paraId="10156AA0">
                  <w:pPr>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2000</w:t>
                  </w:r>
                </w:p>
              </w:tc>
              <w:tc>
                <w:tcPr>
                  <w:tcW w:w="4450" w:type="dxa"/>
                  <w:vMerge w:val="continue"/>
                  <w:tcBorders>
                    <w:tl2br w:val="nil"/>
                    <w:tr2bl w:val="nil"/>
                  </w:tcBorders>
                  <w:noWrap w:val="0"/>
                  <w:vAlign w:val="center"/>
                </w:tcPr>
                <w:p w14:paraId="783FE1BC">
                  <w:pPr>
                    <w:jc w:val="center"/>
                    <w:rPr>
                      <w:rFonts w:hint="eastAsia" w:ascii="宋体" w:hAnsi="宋体" w:eastAsia="宋体" w:cs="宋体"/>
                      <w:b w:val="0"/>
                      <w:bCs w:val="0"/>
                      <w:color w:val="auto"/>
                      <w:kern w:val="0"/>
                      <w:sz w:val="21"/>
                      <w:szCs w:val="21"/>
                    </w:rPr>
                  </w:pPr>
                </w:p>
              </w:tc>
            </w:tr>
            <w:tr w14:paraId="4DBDF99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1107" w:type="dxa"/>
                  <w:vMerge w:val="restart"/>
                  <w:tcBorders>
                    <w:tl2br w:val="nil"/>
                    <w:tr2bl w:val="nil"/>
                  </w:tcBorders>
                  <w:noWrap w:val="0"/>
                  <w:vAlign w:val="center"/>
                </w:tcPr>
                <w:p w14:paraId="738F5210">
                  <w:pPr>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无组织废气</w:t>
                  </w:r>
                </w:p>
              </w:tc>
              <w:tc>
                <w:tcPr>
                  <w:tcW w:w="1272" w:type="dxa"/>
                  <w:tcBorders>
                    <w:tl2br w:val="nil"/>
                    <w:tr2bl w:val="nil"/>
                  </w:tcBorders>
                  <w:noWrap w:val="0"/>
                  <w:vAlign w:val="center"/>
                </w:tcPr>
                <w:p w14:paraId="64B1D281">
                  <w:pPr>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硫化氢</w:t>
                  </w:r>
                </w:p>
              </w:tc>
              <w:tc>
                <w:tcPr>
                  <w:tcW w:w="1031" w:type="dxa"/>
                  <w:tcBorders>
                    <w:tl2br w:val="nil"/>
                    <w:tr2bl w:val="nil"/>
                  </w:tcBorders>
                  <w:noWrap w:val="0"/>
                  <w:vAlign w:val="center"/>
                </w:tcPr>
                <w:p w14:paraId="6BA41C9B">
                  <w:pPr>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rPr>
                    <w:t>mg/m</w:t>
                  </w:r>
                  <w:r>
                    <w:rPr>
                      <w:rFonts w:hint="eastAsia" w:ascii="宋体" w:hAnsi="宋体" w:eastAsia="宋体" w:cs="宋体"/>
                      <w:color w:val="auto"/>
                      <w:kern w:val="0"/>
                      <w:sz w:val="21"/>
                      <w:szCs w:val="21"/>
                      <w:vertAlign w:val="superscript"/>
                    </w:rPr>
                    <w:t>3</w:t>
                  </w:r>
                </w:p>
              </w:tc>
              <w:tc>
                <w:tcPr>
                  <w:tcW w:w="982" w:type="dxa"/>
                  <w:tcBorders>
                    <w:tl2br w:val="nil"/>
                    <w:tr2bl w:val="nil"/>
                  </w:tcBorders>
                  <w:noWrap w:val="0"/>
                  <w:vAlign w:val="center"/>
                </w:tcPr>
                <w:p w14:paraId="3F57F848">
                  <w:pPr>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0.06</w:t>
                  </w:r>
                </w:p>
              </w:tc>
              <w:tc>
                <w:tcPr>
                  <w:tcW w:w="4450" w:type="dxa"/>
                  <w:vMerge w:val="restart"/>
                  <w:tcBorders>
                    <w:tl2br w:val="nil"/>
                    <w:tr2bl w:val="nil"/>
                  </w:tcBorders>
                  <w:noWrap w:val="0"/>
                  <w:vAlign w:val="center"/>
                </w:tcPr>
                <w:p w14:paraId="22DD091D">
                  <w:pPr>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《恶臭污染物排放标准》（GB14554-93）</w:t>
                  </w:r>
                  <w:r>
                    <w:rPr>
                      <w:rFonts w:hint="eastAsia" w:ascii="宋体" w:hAnsi="宋体" w:eastAsia="宋体" w:cs="宋体"/>
                      <w:color w:val="auto"/>
                      <w:sz w:val="21"/>
                      <w:szCs w:val="21"/>
                      <w:lang w:val="en-US" w:eastAsia="zh-CN"/>
                    </w:rPr>
                    <w:t>表1恶臭污染物厂界二级新改扩建标准值</w:t>
                  </w:r>
                </w:p>
              </w:tc>
            </w:tr>
            <w:tr w14:paraId="12C66AF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107" w:type="dxa"/>
                  <w:vMerge w:val="continue"/>
                  <w:tcBorders>
                    <w:tl2br w:val="nil"/>
                    <w:tr2bl w:val="nil"/>
                  </w:tcBorders>
                  <w:noWrap w:val="0"/>
                  <w:vAlign w:val="center"/>
                </w:tcPr>
                <w:p w14:paraId="2EB3BD5D">
                  <w:pPr>
                    <w:jc w:val="center"/>
                    <w:rPr>
                      <w:rFonts w:hint="eastAsia" w:ascii="宋体" w:hAnsi="宋体" w:eastAsia="宋体" w:cs="宋体"/>
                      <w:color w:val="auto"/>
                      <w:kern w:val="0"/>
                      <w:sz w:val="21"/>
                      <w:szCs w:val="21"/>
                    </w:rPr>
                  </w:pPr>
                </w:p>
              </w:tc>
              <w:tc>
                <w:tcPr>
                  <w:tcW w:w="1272" w:type="dxa"/>
                  <w:tcBorders>
                    <w:tl2br w:val="nil"/>
                    <w:tr2bl w:val="nil"/>
                  </w:tcBorders>
                  <w:noWrap w:val="0"/>
                  <w:vAlign w:val="center"/>
                </w:tcPr>
                <w:p w14:paraId="221A6751">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氨</w:t>
                  </w:r>
                </w:p>
              </w:tc>
              <w:tc>
                <w:tcPr>
                  <w:tcW w:w="1031" w:type="dxa"/>
                  <w:tcBorders>
                    <w:tl2br w:val="nil"/>
                    <w:tr2bl w:val="nil"/>
                  </w:tcBorders>
                  <w:noWrap w:val="0"/>
                  <w:vAlign w:val="center"/>
                </w:tcPr>
                <w:p w14:paraId="2A836728">
                  <w:pPr>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mg/m</w:t>
                  </w:r>
                  <w:r>
                    <w:rPr>
                      <w:rFonts w:hint="eastAsia" w:ascii="宋体" w:hAnsi="宋体" w:eastAsia="宋体" w:cs="宋体"/>
                      <w:color w:val="auto"/>
                      <w:kern w:val="0"/>
                      <w:sz w:val="21"/>
                      <w:szCs w:val="21"/>
                      <w:vertAlign w:val="superscript"/>
                    </w:rPr>
                    <w:t>3</w:t>
                  </w:r>
                </w:p>
              </w:tc>
              <w:tc>
                <w:tcPr>
                  <w:tcW w:w="982" w:type="dxa"/>
                  <w:tcBorders>
                    <w:tl2br w:val="nil"/>
                    <w:tr2bl w:val="nil"/>
                  </w:tcBorders>
                  <w:noWrap w:val="0"/>
                  <w:vAlign w:val="center"/>
                </w:tcPr>
                <w:p w14:paraId="0BEBB0EB">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1.5</w:t>
                  </w:r>
                </w:p>
              </w:tc>
              <w:tc>
                <w:tcPr>
                  <w:tcW w:w="4450" w:type="dxa"/>
                  <w:vMerge w:val="continue"/>
                  <w:tcBorders>
                    <w:tl2br w:val="nil"/>
                    <w:tr2bl w:val="nil"/>
                  </w:tcBorders>
                  <w:noWrap w:val="0"/>
                  <w:vAlign w:val="center"/>
                </w:tcPr>
                <w:p w14:paraId="6C9CF9B6">
                  <w:pPr>
                    <w:jc w:val="center"/>
                    <w:rPr>
                      <w:rFonts w:hint="eastAsia" w:ascii="宋体" w:hAnsi="宋体" w:eastAsia="宋体" w:cs="宋体"/>
                      <w:color w:val="auto"/>
                      <w:kern w:val="0"/>
                      <w:sz w:val="21"/>
                      <w:szCs w:val="21"/>
                      <w:lang w:val="en-US" w:eastAsia="zh-CN" w:bidi="ar-SA"/>
                    </w:rPr>
                  </w:pPr>
                </w:p>
              </w:tc>
            </w:tr>
            <w:tr w14:paraId="0C90A66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1107" w:type="dxa"/>
                  <w:vMerge w:val="continue"/>
                  <w:tcBorders>
                    <w:tl2br w:val="nil"/>
                    <w:tr2bl w:val="nil"/>
                  </w:tcBorders>
                  <w:noWrap w:val="0"/>
                  <w:vAlign w:val="center"/>
                </w:tcPr>
                <w:p w14:paraId="6BD324CC">
                  <w:pPr>
                    <w:jc w:val="center"/>
                    <w:rPr>
                      <w:rFonts w:hint="eastAsia" w:ascii="宋体" w:hAnsi="宋体" w:eastAsia="宋体" w:cs="宋体"/>
                      <w:color w:val="auto"/>
                      <w:kern w:val="0"/>
                      <w:sz w:val="21"/>
                      <w:szCs w:val="21"/>
                    </w:rPr>
                  </w:pPr>
                </w:p>
              </w:tc>
              <w:tc>
                <w:tcPr>
                  <w:tcW w:w="1272" w:type="dxa"/>
                  <w:tcBorders>
                    <w:tl2br w:val="nil"/>
                    <w:tr2bl w:val="nil"/>
                  </w:tcBorders>
                  <w:noWrap w:val="0"/>
                  <w:vAlign w:val="center"/>
                </w:tcPr>
                <w:p w14:paraId="74FE4DCE">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臭气浓度</w:t>
                  </w:r>
                </w:p>
              </w:tc>
              <w:tc>
                <w:tcPr>
                  <w:tcW w:w="1031" w:type="dxa"/>
                  <w:tcBorders>
                    <w:tl2br w:val="nil"/>
                    <w:tr2bl w:val="nil"/>
                  </w:tcBorders>
                  <w:noWrap w:val="0"/>
                  <w:vAlign w:val="center"/>
                </w:tcPr>
                <w:p w14:paraId="49726AC9">
                  <w:pPr>
                    <w:jc w:val="center"/>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lang w:eastAsia="zh-CN"/>
                    </w:rPr>
                    <w:t>无量纲</w:t>
                  </w:r>
                </w:p>
              </w:tc>
              <w:tc>
                <w:tcPr>
                  <w:tcW w:w="982" w:type="dxa"/>
                  <w:tcBorders>
                    <w:tl2br w:val="nil"/>
                    <w:tr2bl w:val="nil"/>
                  </w:tcBorders>
                  <w:noWrap w:val="0"/>
                  <w:vAlign w:val="center"/>
                </w:tcPr>
                <w:p w14:paraId="0676866D">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w:t>
                  </w:r>
                </w:p>
              </w:tc>
              <w:tc>
                <w:tcPr>
                  <w:tcW w:w="4450" w:type="dxa"/>
                  <w:vMerge w:val="continue"/>
                  <w:tcBorders>
                    <w:tl2br w:val="nil"/>
                    <w:tr2bl w:val="nil"/>
                  </w:tcBorders>
                  <w:noWrap w:val="0"/>
                  <w:vAlign w:val="center"/>
                </w:tcPr>
                <w:p w14:paraId="7E97E8C5">
                  <w:pPr>
                    <w:jc w:val="center"/>
                    <w:rPr>
                      <w:rFonts w:hint="eastAsia" w:ascii="宋体" w:hAnsi="宋体" w:eastAsia="宋体" w:cs="宋体"/>
                      <w:color w:val="auto"/>
                      <w:kern w:val="0"/>
                      <w:sz w:val="21"/>
                      <w:szCs w:val="21"/>
                      <w:lang w:val="en-US" w:eastAsia="zh-CN" w:bidi="ar-SA"/>
                    </w:rPr>
                  </w:pPr>
                </w:p>
              </w:tc>
            </w:tr>
          </w:tbl>
          <w:p w14:paraId="7921C4D6">
            <w:pPr>
              <w:pStyle w:val="20"/>
              <w:spacing w:before="261" w:line="219" w:lineRule="auto"/>
              <w:rPr>
                <w:rFonts w:hint="eastAsia" w:ascii="宋体" w:hAnsi="宋体" w:eastAsia="宋体" w:cs="宋体"/>
                <w:b/>
                <w:bCs/>
                <w:color w:val="auto"/>
                <w:sz w:val="28"/>
                <w:szCs w:val="28"/>
                <w:highlight w:val="none"/>
                <w:lang w:val="en-US" w:eastAsia="zh-CN"/>
              </w:rPr>
            </w:pPr>
          </w:p>
          <w:p w14:paraId="05931F63">
            <w:pPr>
              <w:pStyle w:val="20"/>
              <w:spacing w:before="261" w:line="219" w:lineRule="auto"/>
              <w:rPr>
                <w:rFonts w:hint="eastAsia" w:ascii="宋体" w:hAnsi="宋体" w:eastAsia="宋体" w:cs="宋体"/>
                <w:b/>
                <w:bCs/>
                <w:color w:val="auto"/>
                <w:sz w:val="28"/>
                <w:szCs w:val="28"/>
                <w:highlight w:val="none"/>
                <w:lang w:val="en-US" w:eastAsia="zh-CN"/>
              </w:rPr>
            </w:pPr>
          </w:p>
          <w:p w14:paraId="0F7C2927">
            <w:pPr>
              <w:pStyle w:val="20"/>
              <w:spacing w:before="261" w:line="219" w:lineRule="auto"/>
              <w:rPr>
                <w:rFonts w:hint="eastAsia" w:ascii="宋体" w:hAnsi="宋体" w:eastAsia="宋体" w:cs="宋体"/>
                <w:b/>
                <w:bCs/>
                <w:color w:val="auto"/>
                <w:sz w:val="28"/>
                <w:szCs w:val="28"/>
                <w:highlight w:val="none"/>
                <w:lang w:val="en-US" w:eastAsia="zh-CN"/>
              </w:rPr>
            </w:pPr>
            <w:r>
              <w:drawing>
                <wp:anchor distT="0" distB="0" distL="114300" distR="114300" simplePos="0" relativeHeight="251662336" behindDoc="0" locked="0" layoutInCell="1" allowOverlap="1">
                  <wp:simplePos x="0" y="0"/>
                  <wp:positionH relativeFrom="column">
                    <wp:posOffset>554990</wp:posOffset>
                  </wp:positionH>
                  <wp:positionV relativeFrom="paragraph">
                    <wp:posOffset>119380</wp:posOffset>
                  </wp:positionV>
                  <wp:extent cx="4149090" cy="3625850"/>
                  <wp:effectExtent l="0" t="0" r="3810" b="317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a:off x="0" y="0"/>
                            <a:ext cx="4149090" cy="3625850"/>
                          </a:xfrm>
                          <a:prstGeom prst="rect">
                            <a:avLst/>
                          </a:prstGeom>
                          <a:noFill/>
                          <a:ln>
                            <a:noFill/>
                          </a:ln>
                        </pic:spPr>
                      </pic:pic>
                    </a:graphicData>
                  </a:graphic>
                </wp:anchor>
              </w:drawing>
            </w:r>
          </w:p>
          <w:p w14:paraId="1C34B623">
            <w:pPr>
              <w:pStyle w:val="20"/>
              <w:spacing w:before="261" w:line="219" w:lineRule="auto"/>
              <w:rPr>
                <w:rFonts w:hint="eastAsia" w:ascii="宋体" w:hAnsi="宋体" w:eastAsia="宋体" w:cs="宋体"/>
                <w:b/>
                <w:bCs/>
                <w:color w:val="auto"/>
                <w:sz w:val="28"/>
                <w:szCs w:val="28"/>
                <w:highlight w:val="none"/>
                <w:lang w:val="en-US" w:eastAsia="zh-CN"/>
              </w:rPr>
            </w:pPr>
          </w:p>
          <w:p w14:paraId="26878CFC">
            <w:pPr>
              <w:pStyle w:val="20"/>
              <w:spacing w:before="261" w:line="219" w:lineRule="auto"/>
              <w:rPr>
                <w:rFonts w:hint="eastAsia" w:ascii="宋体" w:hAnsi="宋体" w:eastAsia="宋体" w:cs="宋体"/>
                <w:b/>
                <w:bCs/>
                <w:color w:val="auto"/>
                <w:sz w:val="28"/>
                <w:szCs w:val="28"/>
                <w:highlight w:val="none"/>
                <w:lang w:val="en-US" w:eastAsia="zh-CN"/>
              </w:rPr>
            </w:pPr>
          </w:p>
          <w:p w14:paraId="6DA60707">
            <w:pPr>
              <w:pStyle w:val="20"/>
              <w:spacing w:before="261" w:line="219" w:lineRule="auto"/>
              <w:rPr>
                <w:rFonts w:hint="eastAsia" w:ascii="宋体" w:hAnsi="宋体" w:eastAsia="宋体" w:cs="宋体"/>
                <w:b/>
                <w:bCs/>
                <w:color w:val="auto"/>
                <w:sz w:val="28"/>
                <w:szCs w:val="28"/>
                <w:highlight w:val="none"/>
                <w:lang w:val="en-US" w:eastAsia="zh-CN"/>
              </w:rPr>
            </w:pPr>
          </w:p>
          <w:p w14:paraId="5B823137">
            <w:pPr>
              <w:pStyle w:val="20"/>
              <w:spacing w:before="261" w:line="219" w:lineRule="auto"/>
              <w:rPr>
                <w:rFonts w:hint="eastAsia" w:ascii="宋体" w:hAnsi="宋体" w:eastAsia="宋体" w:cs="宋体"/>
                <w:b/>
                <w:bCs/>
                <w:color w:val="auto"/>
                <w:sz w:val="28"/>
                <w:szCs w:val="28"/>
                <w:highlight w:val="none"/>
                <w:lang w:val="en-US" w:eastAsia="zh-CN"/>
              </w:rPr>
            </w:pPr>
          </w:p>
          <w:p w14:paraId="4C98F540">
            <w:pPr>
              <w:pStyle w:val="20"/>
              <w:spacing w:before="261" w:line="219" w:lineRule="auto"/>
              <w:rPr>
                <w:rFonts w:hint="eastAsia" w:ascii="宋体" w:hAnsi="宋体" w:eastAsia="宋体" w:cs="宋体"/>
                <w:b/>
                <w:bCs/>
                <w:color w:val="auto"/>
                <w:sz w:val="28"/>
                <w:szCs w:val="28"/>
                <w:highlight w:val="none"/>
                <w:lang w:val="en-US" w:eastAsia="zh-CN"/>
              </w:rPr>
            </w:pPr>
          </w:p>
          <w:p w14:paraId="7D600678">
            <w:pPr>
              <w:pStyle w:val="20"/>
              <w:spacing w:before="261" w:line="219" w:lineRule="auto"/>
              <w:rPr>
                <w:rFonts w:hint="default" w:ascii="Times New Roman" w:hAnsi="Times New Roman" w:cs="Times New Roman"/>
                <w:b/>
                <w:bCs/>
                <w:color w:val="auto"/>
                <w:sz w:val="21"/>
                <w:szCs w:val="21"/>
                <w:highlight w:val="none"/>
              </w:rPr>
            </w:pPr>
          </w:p>
          <w:p w14:paraId="71608C24">
            <w:pPr>
              <w:pStyle w:val="20"/>
              <w:spacing w:before="261" w:line="219"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图</w:t>
            </w:r>
            <w:r>
              <w:rPr>
                <w:rFonts w:hint="default" w:ascii="Times New Roman" w:hAnsi="Times New Roman" w:cs="Times New Roman"/>
                <w:b/>
                <w:bCs/>
                <w:color w:val="auto"/>
                <w:sz w:val="21"/>
                <w:szCs w:val="21"/>
                <w:highlight w:val="none"/>
                <w:lang w:val="en-US" w:eastAsia="zh-CN"/>
              </w:rPr>
              <w:t>5</w:t>
            </w:r>
            <w:r>
              <w:rPr>
                <w:rFonts w:hint="default" w:ascii="Times New Roman" w:hAnsi="Times New Roman" w:cs="Times New Roman"/>
                <w:b/>
                <w:bCs/>
                <w:color w:val="auto"/>
                <w:sz w:val="21"/>
                <w:szCs w:val="21"/>
                <w:highlight w:val="none"/>
              </w:rPr>
              <w:t>.</w:t>
            </w:r>
            <w:r>
              <w:rPr>
                <w:rFonts w:hint="default" w:ascii="Times New Roman" w:hAnsi="Times New Roman" w:cs="Times New Roman"/>
                <w:b/>
                <w:bCs/>
                <w:color w:val="auto"/>
                <w:sz w:val="21"/>
                <w:szCs w:val="21"/>
                <w:highlight w:val="none"/>
                <w:lang w:val="en-US" w:eastAsia="zh-CN"/>
              </w:rPr>
              <w:t>1</w:t>
            </w:r>
            <w:r>
              <w:rPr>
                <w:rFonts w:hint="default" w:ascii="Times New Roman" w:hAnsi="Times New Roman" w:cs="Times New Roman"/>
                <w:b/>
                <w:bCs/>
                <w:color w:val="auto"/>
                <w:sz w:val="21"/>
                <w:szCs w:val="21"/>
                <w:highlight w:val="none"/>
              </w:rPr>
              <w:t xml:space="preserve"> </w:t>
            </w:r>
            <w:r>
              <w:rPr>
                <w:rFonts w:hint="default" w:ascii="Times New Roman" w:hAnsi="Times New Roman" w:cs="Times New Roman"/>
                <w:b/>
                <w:bCs/>
                <w:color w:val="auto"/>
                <w:sz w:val="21"/>
                <w:szCs w:val="21"/>
                <w:highlight w:val="none"/>
                <w:lang w:eastAsia="zh-CN"/>
              </w:rPr>
              <w:t>有</w:t>
            </w:r>
            <w:r>
              <w:rPr>
                <w:rFonts w:hint="default" w:ascii="Times New Roman" w:hAnsi="Times New Roman" w:cs="Times New Roman"/>
                <w:b/>
                <w:bCs/>
                <w:color w:val="auto"/>
                <w:sz w:val="21"/>
                <w:szCs w:val="21"/>
                <w:highlight w:val="none"/>
              </w:rPr>
              <w:t>组织废气监测</w:t>
            </w:r>
            <w:r>
              <w:rPr>
                <w:rFonts w:hint="default" w:ascii="Times New Roman" w:hAnsi="Times New Roman" w:cs="Times New Roman"/>
                <w:b/>
                <w:bCs/>
                <w:color w:val="auto"/>
                <w:sz w:val="21"/>
                <w:szCs w:val="21"/>
                <w:highlight w:val="none"/>
                <w:lang w:eastAsia="zh-CN"/>
              </w:rPr>
              <w:t>点位</w:t>
            </w:r>
            <w:r>
              <w:rPr>
                <w:rFonts w:hint="default" w:ascii="Times New Roman" w:hAnsi="Times New Roman" w:cs="Times New Roman"/>
                <w:b/>
                <w:bCs/>
                <w:color w:val="auto"/>
                <w:sz w:val="21"/>
                <w:szCs w:val="21"/>
                <w:highlight w:val="none"/>
              </w:rPr>
              <w:t>示意图</w:t>
            </w:r>
          </w:p>
          <w:p w14:paraId="78EC541F">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default" w:ascii="Times New Roman" w:hAnsi="Times New Roman" w:cs="Times New Roman"/>
                <w:color w:val="auto"/>
                <w:sz w:val="28"/>
                <w:szCs w:val="28"/>
                <w:highlight w:val="none"/>
              </w:rPr>
            </w:pPr>
            <w:r>
              <w:rPr>
                <w:rFonts w:hint="default" w:ascii="Times New Roman" w:hAnsi="Times New Roman" w:cs="Times New Roman"/>
                <w:b/>
                <w:bCs/>
                <w:color w:val="auto"/>
                <w:sz w:val="28"/>
                <w:szCs w:val="28"/>
                <w:highlight w:val="none"/>
                <w:lang w:val="en-US" w:eastAsia="zh-CN"/>
              </w:rPr>
              <w:t>5</w:t>
            </w:r>
            <w:r>
              <w:rPr>
                <w:rFonts w:hint="default" w:ascii="Times New Roman" w:hAnsi="Times New Roman" w:cs="Times New Roman"/>
                <w:b/>
                <w:bCs/>
                <w:color w:val="auto"/>
                <w:sz w:val="28"/>
                <w:szCs w:val="28"/>
                <w:highlight w:val="none"/>
              </w:rPr>
              <w:t>.</w:t>
            </w:r>
            <w:r>
              <w:rPr>
                <w:rFonts w:hint="default" w:ascii="Times New Roman" w:hAnsi="Times New Roman" w:cs="Times New Roman"/>
                <w:b/>
                <w:bCs/>
                <w:color w:val="auto"/>
                <w:sz w:val="28"/>
                <w:szCs w:val="28"/>
                <w:highlight w:val="none"/>
                <w:lang w:val="en-US" w:eastAsia="zh-CN"/>
              </w:rPr>
              <w:t>2</w:t>
            </w:r>
            <w:r>
              <w:rPr>
                <w:rFonts w:hint="default" w:ascii="Times New Roman" w:hAnsi="Times New Roman" w:eastAsia="宋体" w:cs="Times New Roman"/>
                <w:b/>
                <w:bCs/>
                <w:color w:val="auto"/>
                <w:sz w:val="28"/>
                <w:szCs w:val="36"/>
                <w:highlight w:val="none"/>
                <w:lang w:val="en-US" w:eastAsia="zh-CN"/>
              </w:rPr>
              <w:t>噪声</w:t>
            </w:r>
            <w:r>
              <w:rPr>
                <w:rFonts w:hint="default" w:ascii="Times New Roman" w:hAnsi="Times New Roman" w:cs="Times New Roman"/>
                <w:b/>
                <w:bCs/>
                <w:color w:val="auto"/>
                <w:sz w:val="28"/>
                <w:szCs w:val="28"/>
                <w:highlight w:val="none"/>
              </w:rPr>
              <w:t>监测内容及验收标准</w:t>
            </w:r>
          </w:p>
          <w:p w14:paraId="4A37BDC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.1噪声监测内容</w:t>
            </w:r>
          </w:p>
          <w:p w14:paraId="22D856DB">
            <w:pPr>
              <w:spacing w:line="36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根据项目环评批复要求及运行情况，噪声监测内容见表</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p>
          <w:p w14:paraId="456EDC11">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表</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 xml:space="preserve">                         噪声监测内容</w:t>
            </w:r>
          </w:p>
          <w:tbl>
            <w:tblPr>
              <w:tblStyle w:val="15"/>
              <w:tblW w:w="8756" w:type="dxa"/>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108" w:type="dxa"/>
                <w:bottom w:w="0" w:type="dxa"/>
                <w:right w:w="108" w:type="dxa"/>
              </w:tblCellMar>
            </w:tblPr>
            <w:tblGrid>
              <w:gridCol w:w="1324"/>
              <w:gridCol w:w="1545"/>
              <w:gridCol w:w="2550"/>
              <w:gridCol w:w="3337"/>
            </w:tblGrid>
            <w:tr w14:paraId="0E8DDA8C">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324" w:type="dxa"/>
                  <w:noWrap w:val="0"/>
                  <w:vAlign w:val="center"/>
                </w:tcPr>
                <w:p w14:paraId="4E04EE61">
                  <w:pPr>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监测项目</w:t>
                  </w:r>
                </w:p>
              </w:tc>
              <w:tc>
                <w:tcPr>
                  <w:tcW w:w="1545" w:type="dxa"/>
                  <w:noWrap w:val="0"/>
                  <w:vAlign w:val="center"/>
                </w:tcPr>
                <w:p w14:paraId="4054B357">
                  <w:pPr>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监测点位</w:t>
                  </w:r>
                </w:p>
              </w:tc>
              <w:tc>
                <w:tcPr>
                  <w:tcW w:w="2550" w:type="dxa"/>
                  <w:noWrap w:val="0"/>
                  <w:vAlign w:val="center"/>
                </w:tcPr>
                <w:p w14:paraId="1BB82078">
                  <w:pPr>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监测频次</w:t>
                  </w:r>
                </w:p>
              </w:tc>
              <w:tc>
                <w:tcPr>
                  <w:tcW w:w="3337" w:type="dxa"/>
                  <w:noWrap w:val="0"/>
                  <w:vAlign w:val="center"/>
                </w:tcPr>
                <w:p w14:paraId="25AAAF0C">
                  <w:pPr>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监测依据</w:t>
                  </w:r>
                </w:p>
              </w:tc>
            </w:tr>
            <w:tr w14:paraId="7329B23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65" w:hRule="atLeast"/>
                <w:jc w:val="center"/>
              </w:trPr>
              <w:tc>
                <w:tcPr>
                  <w:tcW w:w="1324" w:type="dxa"/>
                  <w:noWrap w:val="0"/>
                  <w:vAlign w:val="center"/>
                </w:tcPr>
                <w:p w14:paraId="2EBF2EC4">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厂界噪声</w:t>
                  </w:r>
                </w:p>
              </w:tc>
              <w:tc>
                <w:tcPr>
                  <w:tcW w:w="1545" w:type="dxa"/>
                  <w:noWrap w:val="0"/>
                  <w:vAlign w:val="center"/>
                </w:tcPr>
                <w:p w14:paraId="67CB2674">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厂界外</w:t>
                  </w:r>
                  <w:r>
                    <w:rPr>
                      <w:rFonts w:hint="default" w:ascii="Times New Roman" w:hAnsi="Times New Roman" w:cs="Times New Roman"/>
                      <w:color w:val="auto"/>
                      <w:szCs w:val="21"/>
                      <w:highlight w:val="none"/>
                      <w:lang w:val="en-US" w:eastAsia="zh-CN"/>
                    </w:rPr>
                    <w:t>4</w:t>
                  </w:r>
                  <w:r>
                    <w:rPr>
                      <w:rFonts w:hint="default" w:ascii="Times New Roman" w:hAnsi="Times New Roman" w:cs="Times New Roman"/>
                      <w:color w:val="auto"/>
                      <w:szCs w:val="21"/>
                      <w:highlight w:val="none"/>
                    </w:rPr>
                    <w:t>个点</w:t>
                  </w:r>
                </w:p>
              </w:tc>
              <w:tc>
                <w:tcPr>
                  <w:tcW w:w="2550" w:type="dxa"/>
                  <w:noWrap w:val="0"/>
                  <w:vAlign w:val="center"/>
                </w:tcPr>
                <w:p w14:paraId="0BC84900">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昼</w:t>
                  </w:r>
                  <w:r>
                    <w:rPr>
                      <w:rFonts w:hint="default" w:ascii="Times New Roman" w:hAnsi="Times New Roman" w:cs="Times New Roman"/>
                      <w:color w:val="auto"/>
                      <w:szCs w:val="21"/>
                      <w:highlight w:val="none"/>
                      <w:lang w:eastAsia="zh-CN"/>
                    </w:rPr>
                    <w:t>、夜</w:t>
                  </w:r>
                  <w:r>
                    <w:rPr>
                      <w:rFonts w:hint="default" w:ascii="Times New Roman" w:hAnsi="Times New Roman" w:cs="Times New Roman"/>
                      <w:color w:val="auto"/>
                      <w:szCs w:val="21"/>
                      <w:highlight w:val="none"/>
                    </w:rPr>
                    <w:t>间</w:t>
                  </w:r>
                  <w:r>
                    <w:rPr>
                      <w:rFonts w:hint="default" w:ascii="Times New Roman" w:hAnsi="Times New Roman" w:cs="Times New Roman"/>
                      <w:color w:val="auto"/>
                      <w:szCs w:val="21"/>
                      <w:highlight w:val="none"/>
                      <w:lang w:eastAsia="zh-CN"/>
                    </w:rPr>
                    <w:t>各</w:t>
                  </w:r>
                  <w:r>
                    <w:rPr>
                      <w:rFonts w:hint="default" w:ascii="Times New Roman" w:hAnsi="Times New Roman" w:cs="Times New Roman"/>
                      <w:color w:val="auto"/>
                      <w:szCs w:val="21"/>
                      <w:highlight w:val="none"/>
                    </w:rPr>
                    <w:t>1次，共2天</w:t>
                  </w:r>
                </w:p>
              </w:tc>
              <w:tc>
                <w:tcPr>
                  <w:tcW w:w="3337" w:type="dxa"/>
                  <w:noWrap w:val="0"/>
                  <w:vAlign w:val="center"/>
                </w:tcPr>
                <w:p w14:paraId="74B7B091">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《工业企业厂界环境噪声排放标准》（GB12348-2008）</w:t>
                  </w:r>
                </w:p>
              </w:tc>
            </w:tr>
          </w:tbl>
          <w:p w14:paraId="7B2A174C">
            <w:pPr>
              <w:spacing w:line="360" w:lineRule="auto"/>
              <w:ind w:firstLine="562" w:firstLineChars="200"/>
              <w:rPr>
                <w:rFonts w:hint="default" w:ascii="Times New Roman" w:hAnsi="Times New Roman" w:cs="Times New Roman"/>
                <w:color w:val="auto"/>
                <w:sz w:val="28"/>
                <w:szCs w:val="28"/>
                <w:highlight w:val="none"/>
                <w:lang w:eastAsia="zh-CN"/>
              </w:rPr>
            </w:pPr>
            <w:r>
              <w:rPr>
                <w:rFonts w:hint="default" w:ascii="Times New Roman" w:hAnsi="Times New Roman" w:cs="Times New Roman"/>
                <w:b/>
                <w:bCs/>
                <w:color w:val="auto"/>
                <w:sz w:val="28"/>
                <w:szCs w:val="36"/>
                <w:highlight w:val="none"/>
                <w:lang w:val="en-US" w:eastAsia="zh-CN"/>
              </w:rPr>
              <w:t>5</w:t>
            </w:r>
            <w:r>
              <w:rPr>
                <w:rFonts w:hint="default" w:ascii="Times New Roman" w:hAnsi="Times New Roman" w:cs="Times New Roman"/>
                <w:b/>
                <w:bCs/>
                <w:color w:val="auto"/>
                <w:sz w:val="28"/>
                <w:szCs w:val="36"/>
                <w:highlight w:val="none"/>
              </w:rPr>
              <w:t>.</w:t>
            </w:r>
            <w:r>
              <w:rPr>
                <w:rFonts w:hint="default" w:ascii="Times New Roman" w:hAnsi="Times New Roman" w:cs="Times New Roman"/>
                <w:b/>
                <w:bCs/>
                <w:color w:val="auto"/>
                <w:sz w:val="28"/>
                <w:szCs w:val="36"/>
                <w:highlight w:val="none"/>
                <w:lang w:val="en-US" w:eastAsia="zh-CN"/>
              </w:rPr>
              <w:t>2</w:t>
            </w:r>
            <w:r>
              <w:rPr>
                <w:rFonts w:hint="default" w:ascii="Times New Roman" w:hAnsi="Times New Roman" w:cs="Times New Roman"/>
                <w:b/>
                <w:bCs/>
                <w:color w:val="auto"/>
                <w:sz w:val="28"/>
                <w:szCs w:val="36"/>
                <w:highlight w:val="none"/>
              </w:rPr>
              <w:t>.2噪声执行标准</w:t>
            </w:r>
          </w:p>
          <w:p w14:paraId="790C878F">
            <w:pPr>
              <w:spacing w:line="360" w:lineRule="auto"/>
              <w:ind w:firstLine="560" w:firstLineChars="200"/>
              <w:rPr>
                <w:rFonts w:hint="default" w:ascii="Times New Roman" w:hAnsi="Times New Roman" w:cs="Times New Roman"/>
                <w:b/>
                <w:bCs/>
                <w:color w:val="auto"/>
                <w:sz w:val="24"/>
                <w:highlight w:val="none"/>
              </w:rPr>
            </w:pPr>
            <w:r>
              <w:rPr>
                <w:rFonts w:hint="default" w:ascii="Times New Roman" w:hAnsi="Times New Roman" w:cs="Times New Roman"/>
                <w:color w:val="auto"/>
                <w:sz w:val="28"/>
                <w:szCs w:val="28"/>
                <w:highlight w:val="none"/>
                <w:lang w:eastAsia="zh-CN"/>
              </w:rPr>
              <w:t>本项目</w:t>
            </w:r>
            <w:r>
              <w:rPr>
                <w:rFonts w:hint="default" w:ascii="Times New Roman" w:hAnsi="Times New Roman" w:cs="Times New Roman"/>
                <w:color w:val="auto"/>
                <w:sz w:val="28"/>
                <w:szCs w:val="28"/>
                <w:highlight w:val="none"/>
              </w:rPr>
              <w:t>厂界噪声执行《工业企业厂界环境噪声排放标准》（</w:t>
            </w:r>
            <w:r>
              <w:rPr>
                <w:rFonts w:hint="default" w:ascii="Times New Roman" w:hAnsi="Times New Roman" w:cs="Times New Roman"/>
                <w:color w:val="auto"/>
                <w:spacing w:val="-6"/>
                <w:sz w:val="28"/>
                <w:szCs w:val="28"/>
                <w:highlight w:val="none"/>
              </w:rPr>
              <w:t>GB12348-2008）中</w:t>
            </w:r>
            <w:r>
              <w:rPr>
                <w:rFonts w:hint="eastAsia" w:ascii="Times New Roman" w:hAnsi="Times New Roman" w:cs="Times New Roman"/>
                <w:color w:val="auto"/>
                <w:spacing w:val="-6"/>
                <w:sz w:val="28"/>
                <w:szCs w:val="28"/>
                <w:highlight w:val="none"/>
                <w:lang w:val="en-US" w:eastAsia="zh-CN"/>
              </w:rPr>
              <w:t>2</w:t>
            </w:r>
            <w:r>
              <w:rPr>
                <w:rFonts w:hint="default" w:ascii="Times New Roman" w:hAnsi="Times New Roman" w:cs="Times New Roman"/>
                <w:color w:val="auto"/>
                <w:spacing w:val="-6"/>
                <w:sz w:val="28"/>
                <w:szCs w:val="28"/>
                <w:highlight w:val="none"/>
              </w:rPr>
              <w:t>类区标准，见表</w:t>
            </w:r>
            <w:r>
              <w:rPr>
                <w:rFonts w:hint="default" w:ascii="Times New Roman" w:hAnsi="Times New Roman" w:cs="Times New Roman"/>
                <w:color w:val="auto"/>
                <w:spacing w:val="-6"/>
                <w:sz w:val="28"/>
                <w:szCs w:val="28"/>
                <w:highlight w:val="none"/>
                <w:lang w:val="en-US" w:eastAsia="zh-CN"/>
              </w:rPr>
              <w:t>5-4</w:t>
            </w:r>
            <w:r>
              <w:rPr>
                <w:rFonts w:hint="default" w:ascii="Times New Roman" w:hAnsi="Times New Roman" w:cs="Times New Roman"/>
                <w:color w:val="auto"/>
                <w:spacing w:val="-6"/>
                <w:sz w:val="28"/>
                <w:szCs w:val="28"/>
                <w:highlight w:val="none"/>
              </w:rPr>
              <w:t>。无组织废气及</w:t>
            </w:r>
            <w:r>
              <w:rPr>
                <w:rFonts w:hint="default" w:ascii="Times New Roman" w:hAnsi="Times New Roman" w:cs="Times New Roman"/>
                <w:color w:val="auto"/>
                <w:sz w:val="28"/>
                <w:szCs w:val="36"/>
                <w:highlight w:val="none"/>
              </w:rPr>
              <w:t>噪声监测点位示意图见图</w:t>
            </w:r>
            <w:r>
              <w:rPr>
                <w:rFonts w:hint="default" w:ascii="Times New Roman" w:hAnsi="Times New Roman" w:cs="Times New Roman"/>
                <w:color w:val="auto"/>
                <w:sz w:val="28"/>
                <w:szCs w:val="36"/>
                <w:highlight w:val="none"/>
                <w:lang w:val="en-US" w:eastAsia="zh-CN"/>
              </w:rPr>
              <w:t>5</w:t>
            </w:r>
            <w:r>
              <w:rPr>
                <w:rFonts w:hint="default" w:ascii="Times New Roman" w:hAnsi="Times New Roman" w:cs="Times New Roman"/>
                <w:color w:val="auto"/>
                <w:sz w:val="28"/>
                <w:szCs w:val="36"/>
                <w:highlight w:val="none"/>
              </w:rPr>
              <w:t>.</w:t>
            </w:r>
            <w:r>
              <w:rPr>
                <w:rFonts w:hint="default" w:ascii="Times New Roman" w:hAnsi="Times New Roman" w:cs="Times New Roman"/>
                <w:color w:val="auto"/>
                <w:sz w:val="28"/>
                <w:szCs w:val="36"/>
                <w:highlight w:val="none"/>
                <w:lang w:val="en-US" w:eastAsia="zh-CN"/>
              </w:rPr>
              <w:t>2</w:t>
            </w:r>
            <w:r>
              <w:rPr>
                <w:rFonts w:hint="default" w:ascii="Times New Roman" w:hAnsi="Times New Roman" w:cs="Times New Roman"/>
                <w:color w:val="auto"/>
                <w:sz w:val="28"/>
                <w:szCs w:val="36"/>
                <w:highlight w:val="none"/>
              </w:rPr>
              <w:t>。</w:t>
            </w:r>
          </w:p>
          <w:p w14:paraId="729FAE85">
            <w:pPr>
              <w:spacing w:line="240" w:lineRule="auto"/>
              <w:rPr>
                <w:rFonts w:hint="default" w:ascii="Times New Roman" w:hAnsi="Times New Roman" w:cs="Times New Roman"/>
                <w:color w:val="auto"/>
                <w:sz w:val="28"/>
                <w:szCs w:val="28"/>
                <w:highlight w:val="none"/>
              </w:rPr>
            </w:pPr>
            <w:r>
              <w:rPr>
                <w:rFonts w:hint="default" w:ascii="Times New Roman" w:hAnsi="Times New Roman" w:cs="Times New Roman"/>
                <w:b/>
                <w:bCs/>
                <w:color w:val="auto"/>
                <w:sz w:val="24"/>
                <w:highlight w:val="none"/>
              </w:rPr>
              <w:t>表</w:t>
            </w:r>
            <w:r>
              <w:rPr>
                <w:rFonts w:hint="default" w:ascii="Times New Roman" w:hAnsi="Times New Roman" w:cs="Times New Roman"/>
                <w:b/>
                <w:bCs/>
                <w:color w:val="auto"/>
                <w:sz w:val="24"/>
                <w:highlight w:val="none"/>
                <w:lang w:val="en-US" w:eastAsia="zh-CN"/>
              </w:rPr>
              <w:t>5</w:t>
            </w:r>
            <w:r>
              <w:rPr>
                <w:rFonts w:hint="default" w:ascii="Times New Roman" w:hAnsi="Times New Roman" w:cs="Times New Roman"/>
                <w:b/>
                <w:bCs/>
                <w:color w:val="auto"/>
                <w:sz w:val="24"/>
                <w:highlight w:val="none"/>
              </w:rPr>
              <w:t>-</w:t>
            </w:r>
            <w:r>
              <w:rPr>
                <w:rFonts w:hint="default" w:ascii="Times New Roman" w:hAnsi="Times New Roman" w:cs="Times New Roman"/>
                <w:b/>
                <w:bCs/>
                <w:color w:val="auto"/>
                <w:sz w:val="24"/>
                <w:highlight w:val="none"/>
                <w:lang w:val="en-US" w:eastAsia="zh-CN"/>
              </w:rPr>
              <w:t>4</w:t>
            </w:r>
            <w:r>
              <w:rPr>
                <w:rFonts w:hint="default" w:ascii="Times New Roman" w:hAnsi="Times New Roman" w:cs="Times New Roman"/>
                <w:b/>
                <w:bCs/>
                <w:color w:val="auto"/>
                <w:sz w:val="24"/>
                <w:highlight w:val="none"/>
              </w:rPr>
              <w:t xml:space="preserve">                        噪声排放标准</w:t>
            </w:r>
          </w:p>
          <w:tbl>
            <w:tblPr>
              <w:tblStyle w:val="15"/>
              <w:tblW w:w="8857"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636"/>
              <w:gridCol w:w="1774"/>
              <w:gridCol w:w="1440"/>
              <w:gridCol w:w="4007"/>
            </w:tblGrid>
            <w:tr w14:paraId="14B312C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36" w:type="dxa"/>
                  <w:tcBorders>
                    <w:tl2br w:val="nil"/>
                    <w:tr2bl w:val="nil"/>
                  </w:tcBorders>
                  <w:noWrap w:val="0"/>
                  <w:vAlign w:val="center"/>
                </w:tcPr>
                <w:p w14:paraId="321CEADD">
                  <w:pPr>
                    <w:spacing w:line="240" w:lineRule="auto"/>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Cs w:val="21"/>
                      <w:highlight w:val="none"/>
                    </w:rPr>
                    <w:t>项目</w:t>
                  </w:r>
                </w:p>
              </w:tc>
              <w:tc>
                <w:tcPr>
                  <w:tcW w:w="1774" w:type="dxa"/>
                  <w:tcBorders>
                    <w:tl2br w:val="nil"/>
                    <w:tr2bl w:val="nil"/>
                  </w:tcBorders>
                  <w:noWrap w:val="0"/>
                  <w:vAlign w:val="center"/>
                </w:tcPr>
                <w:p w14:paraId="43D2FA08">
                  <w:pPr>
                    <w:spacing w:line="240" w:lineRule="auto"/>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Cs w:val="21"/>
                      <w:highlight w:val="none"/>
                    </w:rPr>
                    <w:t>标准限值dB（A）</w:t>
                  </w:r>
                </w:p>
              </w:tc>
              <w:tc>
                <w:tcPr>
                  <w:tcW w:w="1440" w:type="dxa"/>
                  <w:tcBorders>
                    <w:tl2br w:val="nil"/>
                    <w:tr2bl w:val="nil"/>
                  </w:tcBorders>
                  <w:noWrap w:val="0"/>
                  <w:vAlign w:val="center"/>
                </w:tcPr>
                <w:p w14:paraId="5E9CB1BA">
                  <w:pPr>
                    <w:spacing w:line="240" w:lineRule="auto"/>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Cs w:val="21"/>
                      <w:highlight w:val="none"/>
                    </w:rPr>
                    <w:t>执行类别</w:t>
                  </w:r>
                </w:p>
              </w:tc>
              <w:tc>
                <w:tcPr>
                  <w:tcW w:w="4007" w:type="dxa"/>
                  <w:tcBorders>
                    <w:tl2br w:val="nil"/>
                    <w:tr2bl w:val="nil"/>
                  </w:tcBorders>
                  <w:noWrap w:val="0"/>
                  <w:vAlign w:val="center"/>
                </w:tcPr>
                <w:p w14:paraId="40B0BCAF">
                  <w:pPr>
                    <w:spacing w:line="240" w:lineRule="auto"/>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Cs w:val="21"/>
                      <w:highlight w:val="none"/>
                    </w:rPr>
                    <w:t>标准来源</w:t>
                  </w:r>
                </w:p>
              </w:tc>
            </w:tr>
            <w:tr w14:paraId="2E666FB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636" w:type="dxa"/>
                  <w:tcBorders>
                    <w:tl2br w:val="nil"/>
                    <w:tr2bl w:val="nil"/>
                  </w:tcBorders>
                  <w:noWrap w:val="0"/>
                  <w:vAlign w:val="center"/>
                </w:tcPr>
                <w:p w14:paraId="7B613B99">
                  <w:pPr>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昼间噪声</w:t>
                  </w:r>
                </w:p>
              </w:tc>
              <w:tc>
                <w:tcPr>
                  <w:tcW w:w="1774" w:type="dxa"/>
                  <w:tcBorders>
                    <w:tl2br w:val="nil"/>
                    <w:tr2bl w:val="nil"/>
                  </w:tcBorders>
                  <w:noWrap w:val="0"/>
                  <w:vAlign w:val="center"/>
                </w:tcPr>
                <w:p w14:paraId="0853DD4A">
                  <w:pPr>
                    <w:jc w:val="center"/>
                    <w:rPr>
                      <w:rFonts w:hint="default" w:ascii="Times New Roman" w:hAnsi="Times New Roman" w:eastAsia="宋体" w:cs="Times New Roman"/>
                      <w:color w:val="auto"/>
                      <w:kern w:val="0"/>
                      <w:szCs w:val="21"/>
                      <w:highlight w:val="none"/>
                      <w:lang w:eastAsia="zh-CN"/>
                    </w:rPr>
                  </w:pPr>
                  <w:r>
                    <w:rPr>
                      <w:rFonts w:hint="default" w:ascii="Times New Roman" w:hAnsi="Times New Roman" w:cs="Times New Roman"/>
                      <w:color w:val="auto"/>
                      <w:kern w:val="0"/>
                      <w:szCs w:val="21"/>
                      <w:highlight w:val="none"/>
                    </w:rPr>
                    <w:t>6</w:t>
                  </w:r>
                  <w:r>
                    <w:rPr>
                      <w:rFonts w:hint="eastAsia" w:ascii="Times New Roman" w:hAnsi="Times New Roman" w:cs="Times New Roman"/>
                      <w:color w:val="auto"/>
                      <w:kern w:val="0"/>
                      <w:szCs w:val="21"/>
                      <w:highlight w:val="none"/>
                      <w:lang w:val="en-US" w:eastAsia="zh-CN"/>
                    </w:rPr>
                    <w:t>0</w:t>
                  </w:r>
                </w:p>
              </w:tc>
              <w:tc>
                <w:tcPr>
                  <w:tcW w:w="1440" w:type="dxa"/>
                  <w:vMerge w:val="restart"/>
                  <w:tcBorders>
                    <w:tl2br w:val="nil"/>
                    <w:tr2bl w:val="nil"/>
                  </w:tcBorders>
                  <w:noWrap w:val="0"/>
                  <w:vAlign w:val="center"/>
                </w:tcPr>
                <w:p w14:paraId="5A46C868">
                  <w:pPr>
                    <w:jc w:val="center"/>
                    <w:rPr>
                      <w:rFonts w:hint="default"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lang w:val="en-US" w:eastAsia="zh-CN"/>
                    </w:rPr>
                    <w:t>2</w:t>
                  </w:r>
                  <w:r>
                    <w:rPr>
                      <w:rFonts w:hint="default" w:ascii="Times New Roman" w:hAnsi="Times New Roman" w:cs="Times New Roman"/>
                      <w:color w:val="auto"/>
                      <w:kern w:val="0"/>
                      <w:szCs w:val="21"/>
                      <w:highlight w:val="none"/>
                    </w:rPr>
                    <w:t>类区</w:t>
                  </w:r>
                </w:p>
              </w:tc>
              <w:tc>
                <w:tcPr>
                  <w:tcW w:w="4007" w:type="dxa"/>
                  <w:vMerge w:val="restart"/>
                  <w:tcBorders>
                    <w:tl2br w:val="nil"/>
                    <w:tr2bl w:val="nil"/>
                  </w:tcBorders>
                  <w:noWrap w:val="0"/>
                  <w:vAlign w:val="center"/>
                </w:tcPr>
                <w:p w14:paraId="3EA4427C">
                  <w:pPr>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《工业企业厂界环境噪声排放标准》（GB12348-2008）</w:t>
                  </w:r>
                </w:p>
              </w:tc>
            </w:tr>
            <w:tr w14:paraId="7BE6D76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636" w:type="dxa"/>
                  <w:tcBorders>
                    <w:tl2br w:val="nil"/>
                    <w:tr2bl w:val="nil"/>
                  </w:tcBorders>
                  <w:noWrap w:val="0"/>
                  <w:vAlign w:val="center"/>
                </w:tcPr>
                <w:p w14:paraId="02DA7D0D">
                  <w:pPr>
                    <w:jc w:val="center"/>
                    <w:rPr>
                      <w:rFonts w:hint="default" w:ascii="Times New Roman" w:hAnsi="Times New Roman" w:eastAsia="宋体" w:cs="Times New Roman"/>
                      <w:color w:val="auto"/>
                      <w:kern w:val="0"/>
                      <w:szCs w:val="21"/>
                      <w:highlight w:val="none"/>
                      <w:lang w:eastAsia="zh-CN"/>
                    </w:rPr>
                  </w:pPr>
                  <w:r>
                    <w:rPr>
                      <w:rFonts w:hint="default" w:ascii="Times New Roman" w:hAnsi="Times New Roman" w:cs="Times New Roman"/>
                      <w:color w:val="auto"/>
                      <w:kern w:val="0"/>
                      <w:szCs w:val="21"/>
                      <w:highlight w:val="none"/>
                      <w:lang w:eastAsia="zh-CN"/>
                    </w:rPr>
                    <w:t>夜间噪声</w:t>
                  </w:r>
                </w:p>
              </w:tc>
              <w:tc>
                <w:tcPr>
                  <w:tcW w:w="1774" w:type="dxa"/>
                  <w:tcBorders>
                    <w:tl2br w:val="nil"/>
                    <w:tr2bl w:val="nil"/>
                  </w:tcBorders>
                  <w:noWrap w:val="0"/>
                  <w:vAlign w:val="center"/>
                </w:tcPr>
                <w:p w14:paraId="2D19EDFA">
                  <w:pPr>
                    <w:jc w:val="center"/>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cs="Times New Roman"/>
                      <w:color w:val="auto"/>
                      <w:kern w:val="0"/>
                      <w:szCs w:val="21"/>
                      <w:highlight w:val="none"/>
                      <w:lang w:val="en-US" w:eastAsia="zh-CN"/>
                    </w:rPr>
                    <w:t>5</w:t>
                  </w:r>
                  <w:r>
                    <w:rPr>
                      <w:rFonts w:hint="eastAsia" w:ascii="Times New Roman" w:hAnsi="Times New Roman" w:cs="Times New Roman"/>
                      <w:color w:val="auto"/>
                      <w:kern w:val="0"/>
                      <w:szCs w:val="21"/>
                      <w:highlight w:val="none"/>
                      <w:lang w:val="en-US" w:eastAsia="zh-CN"/>
                    </w:rPr>
                    <w:t>0</w:t>
                  </w:r>
                </w:p>
              </w:tc>
              <w:tc>
                <w:tcPr>
                  <w:tcW w:w="1440" w:type="dxa"/>
                  <w:vMerge w:val="continue"/>
                  <w:tcBorders>
                    <w:tl2br w:val="nil"/>
                    <w:tr2bl w:val="nil"/>
                  </w:tcBorders>
                  <w:noWrap w:val="0"/>
                  <w:vAlign w:val="center"/>
                </w:tcPr>
                <w:p w14:paraId="034B76BA">
                  <w:pPr>
                    <w:jc w:val="center"/>
                    <w:rPr>
                      <w:rFonts w:hint="default" w:ascii="Times New Roman" w:hAnsi="Times New Roman" w:cs="Times New Roman"/>
                      <w:color w:val="auto"/>
                      <w:kern w:val="0"/>
                      <w:szCs w:val="21"/>
                      <w:highlight w:val="none"/>
                      <w:lang w:val="en-US" w:eastAsia="zh-CN"/>
                    </w:rPr>
                  </w:pPr>
                </w:p>
              </w:tc>
              <w:tc>
                <w:tcPr>
                  <w:tcW w:w="4007" w:type="dxa"/>
                  <w:vMerge w:val="continue"/>
                  <w:tcBorders>
                    <w:tl2br w:val="nil"/>
                    <w:tr2bl w:val="nil"/>
                  </w:tcBorders>
                  <w:noWrap w:val="0"/>
                  <w:vAlign w:val="center"/>
                </w:tcPr>
                <w:p w14:paraId="38798C08">
                  <w:pPr>
                    <w:jc w:val="center"/>
                    <w:rPr>
                      <w:rFonts w:hint="default" w:ascii="Times New Roman" w:hAnsi="Times New Roman" w:cs="Times New Roman"/>
                      <w:color w:val="auto"/>
                      <w:kern w:val="0"/>
                      <w:szCs w:val="21"/>
                      <w:highlight w:val="none"/>
                    </w:rPr>
                  </w:pPr>
                </w:p>
              </w:tc>
            </w:tr>
          </w:tbl>
          <w:p w14:paraId="4F85E487">
            <w:pPr>
              <w:pStyle w:val="20"/>
              <w:spacing w:before="261" w:line="219" w:lineRule="auto"/>
              <w:rPr>
                <w:rFonts w:hint="eastAsia" w:ascii="宋体" w:hAnsi="宋体" w:eastAsia="宋体" w:cs="宋体"/>
                <w:b/>
                <w:bCs/>
                <w:color w:val="auto"/>
                <w:sz w:val="28"/>
                <w:szCs w:val="28"/>
                <w:highlight w:val="none"/>
                <w:lang w:val="en-US" w:eastAsia="zh-CN"/>
              </w:rPr>
            </w:pPr>
            <w:r>
              <w:rPr>
                <w:rFonts w:hint="default" w:ascii="Times New Roman" w:hAnsi="Times New Roman" w:cs="Times New Roman"/>
                <w:b/>
                <w:bCs/>
                <w:color w:val="auto"/>
                <w:sz w:val="28"/>
                <w:szCs w:val="28"/>
                <w:highlight w:val="none"/>
                <w:lang w:val="en-US" w:eastAsia="zh-CN"/>
              </w:rPr>
              <w:t>5</w:t>
            </w:r>
            <w:r>
              <w:rPr>
                <w:rFonts w:hint="default" w:ascii="Times New Roman" w:hAnsi="Times New Roman" w:cs="Times New Roman"/>
                <w:b/>
                <w:bCs/>
                <w:color w:val="auto"/>
                <w:sz w:val="28"/>
                <w:szCs w:val="28"/>
                <w:highlight w:val="none"/>
              </w:rPr>
              <w:t>.</w:t>
            </w:r>
            <w:r>
              <w:rPr>
                <w:rFonts w:hint="eastAsia" w:ascii="Times New Roman" w:hAnsi="Times New Roman" w:cs="Times New Roman"/>
                <w:b/>
                <w:bCs/>
                <w:color w:val="auto"/>
                <w:sz w:val="28"/>
                <w:szCs w:val="28"/>
                <w:highlight w:val="none"/>
                <w:lang w:val="en-US" w:eastAsia="zh-CN"/>
              </w:rPr>
              <w:t>3</w:t>
            </w:r>
            <w:r>
              <w:rPr>
                <w:rFonts w:hint="eastAsia" w:ascii="Times New Roman" w:hAnsi="Times New Roman" w:cs="Times New Roman"/>
                <w:b/>
                <w:bCs/>
                <w:color w:val="auto"/>
                <w:sz w:val="28"/>
                <w:szCs w:val="36"/>
                <w:highlight w:val="none"/>
                <w:lang w:val="en-US" w:eastAsia="zh-CN"/>
              </w:rPr>
              <w:t>废水</w:t>
            </w:r>
            <w:r>
              <w:rPr>
                <w:rFonts w:hint="default" w:ascii="Times New Roman" w:hAnsi="Times New Roman" w:cs="Times New Roman"/>
                <w:b/>
                <w:bCs/>
                <w:color w:val="auto"/>
                <w:sz w:val="28"/>
                <w:szCs w:val="28"/>
                <w:highlight w:val="none"/>
              </w:rPr>
              <w:t>监测内容及验收标准</w:t>
            </w:r>
          </w:p>
          <w:p w14:paraId="1016098C">
            <w:pPr>
              <w:spacing w:line="360" w:lineRule="auto"/>
              <w:ind w:firstLine="562" w:firstLineChars="200"/>
              <w:rPr>
                <w:rFonts w:hint="eastAsia" w:ascii="Times New Roman" w:hAnsi="Times New Roman" w:cs="Times New Roman"/>
                <w:b/>
                <w:bCs/>
                <w:color w:val="auto"/>
                <w:sz w:val="28"/>
                <w:szCs w:val="36"/>
                <w:highlight w:val="none"/>
                <w:lang w:val="en-US" w:eastAsia="zh-CN"/>
              </w:rPr>
            </w:pPr>
            <w:r>
              <w:rPr>
                <w:rFonts w:hint="eastAsia" w:ascii="Times New Roman" w:hAnsi="Times New Roman" w:cs="Times New Roman"/>
                <w:b/>
                <w:bCs/>
                <w:color w:val="auto"/>
                <w:sz w:val="28"/>
                <w:szCs w:val="36"/>
                <w:highlight w:val="none"/>
                <w:lang w:val="en-US" w:eastAsia="zh-CN"/>
              </w:rPr>
              <w:t>5.3.1废水监测内容</w:t>
            </w:r>
          </w:p>
          <w:p w14:paraId="00CF3F4A">
            <w:pPr>
              <w:spacing w:line="36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根据项目环评批复要求及运行情况，</w:t>
            </w:r>
            <w:r>
              <w:rPr>
                <w:rFonts w:hint="eastAsia" w:ascii="宋体" w:hAnsi="宋体" w:eastAsia="宋体" w:cs="宋体"/>
                <w:color w:val="auto"/>
                <w:sz w:val="24"/>
                <w:szCs w:val="24"/>
                <w:highlight w:val="none"/>
                <w:lang w:val="en-US" w:eastAsia="zh-CN"/>
              </w:rPr>
              <w:t>废水</w:t>
            </w:r>
            <w:r>
              <w:rPr>
                <w:rFonts w:hint="eastAsia" w:ascii="宋体" w:hAnsi="宋体" w:eastAsia="宋体" w:cs="宋体"/>
                <w:color w:val="auto"/>
                <w:sz w:val="24"/>
                <w:szCs w:val="24"/>
                <w:highlight w:val="none"/>
              </w:rPr>
              <w:t>监测内容见表</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p>
          <w:p w14:paraId="036AC1EE">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表</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 xml:space="preserve">                         噪声监测内容</w:t>
            </w:r>
          </w:p>
          <w:tbl>
            <w:tblPr>
              <w:tblStyle w:val="15"/>
              <w:tblW w:w="8756" w:type="dxa"/>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108" w:type="dxa"/>
                <w:bottom w:w="0" w:type="dxa"/>
                <w:right w:w="108" w:type="dxa"/>
              </w:tblCellMar>
            </w:tblPr>
            <w:tblGrid>
              <w:gridCol w:w="1324"/>
              <w:gridCol w:w="1545"/>
              <w:gridCol w:w="2550"/>
              <w:gridCol w:w="3337"/>
            </w:tblGrid>
            <w:tr w14:paraId="03F79A64">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324" w:type="dxa"/>
                  <w:noWrap w:val="0"/>
                  <w:vAlign w:val="center"/>
                </w:tcPr>
                <w:p w14:paraId="71EF6EAE">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监测项目</w:t>
                  </w:r>
                </w:p>
              </w:tc>
              <w:tc>
                <w:tcPr>
                  <w:tcW w:w="1545" w:type="dxa"/>
                  <w:noWrap w:val="0"/>
                  <w:vAlign w:val="center"/>
                </w:tcPr>
                <w:p w14:paraId="35EF99A9">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监测点位</w:t>
                  </w:r>
                </w:p>
              </w:tc>
              <w:tc>
                <w:tcPr>
                  <w:tcW w:w="2550" w:type="dxa"/>
                  <w:noWrap w:val="0"/>
                  <w:vAlign w:val="center"/>
                </w:tcPr>
                <w:p w14:paraId="013DFA8F">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监测频次</w:t>
                  </w:r>
                </w:p>
              </w:tc>
              <w:tc>
                <w:tcPr>
                  <w:tcW w:w="3337" w:type="dxa"/>
                  <w:noWrap w:val="0"/>
                  <w:vAlign w:val="center"/>
                </w:tcPr>
                <w:p w14:paraId="0E3232B2">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监测依据</w:t>
                  </w:r>
                </w:p>
              </w:tc>
            </w:tr>
            <w:tr w14:paraId="1258FBF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65" w:hRule="atLeast"/>
                <w:jc w:val="center"/>
              </w:trPr>
              <w:tc>
                <w:tcPr>
                  <w:tcW w:w="1324" w:type="dxa"/>
                  <w:shd w:val="clear" w:color="auto" w:fill="auto"/>
                  <w:noWrap w:val="0"/>
                  <w:vAlign w:val="center"/>
                </w:tcPr>
                <w:p w14:paraId="7098B45E">
                  <w:pPr>
                    <w:tabs>
                      <w:tab w:val="center" w:pos="4153"/>
                      <w:tab w:val="right" w:pos="8306"/>
                    </w:tabs>
                    <w:snapToGrid w:val="0"/>
                    <w:spacing w:line="240" w:lineRule="exact"/>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粪大肠菌群</w:t>
                  </w:r>
                </w:p>
              </w:tc>
              <w:tc>
                <w:tcPr>
                  <w:tcW w:w="1545" w:type="dxa"/>
                  <w:noWrap w:val="0"/>
                  <w:vAlign w:val="center"/>
                </w:tcPr>
                <w:p w14:paraId="5712658E">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污水处理站总排口</w:t>
                  </w:r>
                </w:p>
              </w:tc>
              <w:tc>
                <w:tcPr>
                  <w:tcW w:w="2550" w:type="dxa"/>
                  <w:vMerge w:val="restart"/>
                  <w:noWrap w:val="0"/>
                  <w:vAlign w:val="center"/>
                </w:tcPr>
                <w:p w14:paraId="03033DB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一天4次</w:t>
                  </w:r>
                  <w:r>
                    <w:rPr>
                      <w:rFonts w:hint="eastAsia" w:ascii="宋体" w:hAnsi="宋体" w:eastAsia="宋体" w:cs="宋体"/>
                      <w:color w:val="auto"/>
                      <w:sz w:val="21"/>
                      <w:szCs w:val="21"/>
                      <w:highlight w:val="none"/>
                    </w:rPr>
                    <w:t>，共2天</w:t>
                  </w:r>
                </w:p>
              </w:tc>
              <w:tc>
                <w:tcPr>
                  <w:tcW w:w="3337" w:type="dxa"/>
                  <w:shd w:val="clear" w:color="auto" w:fill="auto"/>
                  <w:noWrap w:val="0"/>
                  <w:vAlign w:val="center"/>
                </w:tcPr>
                <w:p w14:paraId="72F60B84">
                  <w:pPr>
                    <w:tabs>
                      <w:tab w:val="center" w:pos="4153"/>
                      <w:tab w:val="right" w:pos="8306"/>
                    </w:tabs>
                    <w:snapToGrid w:val="0"/>
                    <w:spacing w:line="240" w:lineRule="exact"/>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水质 粪大肠菌群的测定 多管发酵法（HJ 347.2-2018）</w:t>
                  </w:r>
                </w:p>
              </w:tc>
            </w:tr>
            <w:tr w14:paraId="6DE30E74">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65" w:hRule="atLeast"/>
                <w:jc w:val="center"/>
              </w:trPr>
              <w:tc>
                <w:tcPr>
                  <w:tcW w:w="1324" w:type="dxa"/>
                  <w:shd w:val="clear" w:color="auto" w:fill="auto"/>
                  <w:noWrap w:val="0"/>
                  <w:vAlign w:val="center"/>
                </w:tcPr>
                <w:p w14:paraId="2D2A9D9E">
                  <w:pPr>
                    <w:tabs>
                      <w:tab w:val="center" w:pos="4153"/>
                      <w:tab w:val="right" w:pos="8306"/>
                    </w:tabs>
                    <w:snapToGrid w:val="0"/>
                    <w:spacing w:line="240" w:lineRule="exact"/>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pH</w:t>
                  </w:r>
                </w:p>
              </w:tc>
              <w:tc>
                <w:tcPr>
                  <w:tcW w:w="1545" w:type="dxa"/>
                  <w:noWrap w:val="0"/>
                  <w:vAlign w:val="center"/>
                </w:tcPr>
                <w:p w14:paraId="65A0B22C">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污水处理站总排口</w:t>
                  </w:r>
                </w:p>
              </w:tc>
              <w:tc>
                <w:tcPr>
                  <w:tcW w:w="2550" w:type="dxa"/>
                  <w:vMerge w:val="continue"/>
                  <w:noWrap w:val="0"/>
                  <w:vAlign w:val="center"/>
                </w:tcPr>
                <w:p w14:paraId="02FA38A1">
                  <w:pPr>
                    <w:jc w:val="center"/>
                    <w:rPr>
                      <w:rFonts w:hint="eastAsia" w:ascii="宋体" w:hAnsi="宋体" w:eastAsia="宋体" w:cs="宋体"/>
                      <w:color w:val="auto"/>
                      <w:sz w:val="21"/>
                      <w:szCs w:val="21"/>
                      <w:highlight w:val="none"/>
                      <w:lang w:val="en-US" w:eastAsia="zh-CN"/>
                    </w:rPr>
                  </w:pPr>
                </w:p>
              </w:tc>
              <w:tc>
                <w:tcPr>
                  <w:tcW w:w="3337" w:type="dxa"/>
                  <w:shd w:val="clear" w:color="auto" w:fill="auto"/>
                  <w:noWrap w:val="0"/>
                  <w:vAlign w:val="center"/>
                </w:tcPr>
                <w:p w14:paraId="3E6C1A7E">
                  <w:pPr>
                    <w:tabs>
                      <w:tab w:val="center" w:pos="4153"/>
                      <w:tab w:val="right" w:pos="8306"/>
                    </w:tabs>
                    <w:snapToGrid w:val="0"/>
                    <w:spacing w:line="240" w:lineRule="exact"/>
                    <w:jc w:val="center"/>
                    <w:rPr>
                      <w:rFonts w:hint="eastAsia" w:ascii="宋体" w:hAnsi="宋体" w:eastAsia="宋体" w:cs="宋体"/>
                      <w:kern w:val="2"/>
                      <w:sz w:val="21"/>
                      <w:szCs w:val="21"/>
                      <w:lang w:val="en-US" w:eastAsia="zh-CN" w:bidi="ar-SA"/>
                    </w:rPr>
                  </w:pPr>
                  <w:r>
                    <w:rPr>
                      <w:rFonts w:hint="eastAsia" w:ascii="宋体" w:hAnsi="宋体" w:eastAsia="宋体" w:cs="宋体"/>
                      <w:color w:val="000000" w:themeColor="text1"/>
                      <w:sz w:val="21"/>
                      <w:szCs w:val="21"/>
                      <w:lang w:val="en-US" w:eastAsia="zh-CN"/>
                      <w14:textFill>
                        <w14:solidFill>
                          <w14:schemeClr w14:val="tx1"/>
                        </w14:solidFill>
                      </w14:textFill>
                    </w:rPr>
                    <w:t>水质pH值的测定 电极法（HJ1147-2020）</w:t>
                  </w:r>
                </w:p>
              </w:tc>
            </w:tr>
            <w:tr w14:paraId="1609FB22">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65" w:hRule="atLeast"/>
                <w:jc w:val="center"/>
              </w:trPr>
              <w:tc>
                <w:tcPr>
                  <w:tcW w:w="1324" w:type="dxa"/>
                  <w:shd w:val="clear" w:color="auto" w:fill="auto"/>
                  <w:noWrap w:val="0"/>
                  <w:vAlign w:val="center"/>
                </w:tcPr>
                <w:p w14:paraId="3F014DEC">
                  <w:pPr>
                    <w:tabs>
                      <w:tab w:val="center" w:pos="4153"/>
                      <w:tab w:val="right" w:pos="8306"/>
                    </w:tabs>
                    <w:snapToGrid w:val="0"/>
                    <w:spacing w:line="240" w:lineRule="exact"/>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氨氮</w:t>
                  </w:r>
                </w:p>
              </w:tc>
              <w:tc>
                <w:tcPr>
                  <w:tcW w:w="1545" w:type="dxa"/>
                  <w:noWrap w:val="0"/>
                  <w:vAlign w:val="center"/>
                </w:tcPr>
                <w:p w14:paraId="585581FF">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污水处理站总排口</w:t>
                  </w:r>
                </w:p>
              </w:tc>
              <w:tc>
                <w:tcPr>
                  <w:tcW w:w="2550" w:type="dxa"/>
                  <w:vMerge w:val="continue"/>
                  <w:noWrap w:val="0"/>
                  <w:vAlign w:val="center"/>
                </w:tcPr>
                <w:p w14:paraId="68315356">
                  <w:pPr>
                    <w:jc w:val="center"/>
                    <w:rPr>
                      <w:rFonts w:hint="eastAsia" w:ascii="宋体" w:hAnsi="宋体" w:eastAsia="宋体" w:cs="宋体"/>
                      <w:color w:val="auto"/>
                      <w:sz w:val="21"/>
                      <w:szCs w:val="21"/>
                      <w:highlight w:val="none"/>
                      <w:lang w:val="en-US" w:eastAsia="zh-CN"/>
                    </w:rPr>
                  </w:pPr>
                </w:p>
              </w:tc>
              <w:tc>
                <w:tcPr>
                  <w:tcW w:w="3337" w:type="dxa"/>
                  <w:shd w:val="clear" w:color="auto" w:fill="auto"/>
                  <w:noWrap w:val="0"/>
                  <w:vAlign w:val="center"/>
                </w:tcPr>
                <w:p w14:paraId="54BF0EE4">
                  <w:pPr>
                    <w:tabs>
                      <w:tab w:val="center" w:pos="4153"/>
                      <w:tab w:val="right" w:pos="8306"/>
                    </w:tabs>
                    <w:snapToGrid w:val="0"/>
                    <w:spacing w:line="24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水质 氨氮的测定 </w:t>
                  </w:r>
                </w:p>
                <w:p w14:paraId="412D61BF">
                  <w:pPr>
                    <w:tabs>
                      <w:tab w:val="center" w:pos="4153"/>
                      <w:tab w:val="right" w:pos="8306"/>
                    </w:tabs>
                    <w:snapToGrid w:val="0"/>
                    <w:spacing w:line="240" w:lineRule="exact"/>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纳氏试剂分光光度法（HJ535-2009）</w:t>
                  </w:r>
                </w:p>
              </w:tc>
            </w:tr>
            <w:tr w14:paraId="7FD6E82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65" w:hRule="atLeast"/>
                <w:jc w:val="center"/>
              </w:trPr>
              <w:tc>
                <w:tcPr>
                  <w:tcW w:w="1324" w:type="dxa"/>
                  <w:shd w:val="clear" w:color="auto" w:fill="auto"/>
                  <w:noWrap w:val="0"/>
                  <w:vAlign w:val="center"/>
                </w:tcPr>
                <w:p w14:paraId="25769B35">
                  <w:pPr>
                    <w:tabs>
                      <w:tab w:val="center" w:pos="4153"/>
                      <w:tab w:val="right" w:pos="8306"/>
                    </w:tabs>
                    <w:snapToGrid w:val="0"/>
                    <w:spacing w:line="240" w:lineRule="exact"/>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五日生化需氧量</w:t>
                  </w:r>
                </w:p>
              </w:tc>
              <w:tc>
                <w:tcPr>
                  <w:tcW w:w="1545" w:type="dxa"/>
                  <w:noWrap w:val="0"/>
                  <w:vAlign w:val="center"/>
                </w:tcPr>
                <w:p w14:paraId="1CAFBD19">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污水处理站总排口</w:t>
                  </w:r>
                </w:p>
              </w:tc>
              <w:tc>
                <w:tcPr>
                  <w:tcW w:w="2550" w:type="dxa"/>
                  <w:vMerge w:val="continue"/>
                  <w:noWrap w:val="0"/>
                  <w:vAlign w:val="center"/>
                </w:tcPr>
                <w:p w14:paraId="7D8BC9B6">
                  <w:pPr>
                    <w:jc w:val="center"/>
                    <w:rPr>
                      <w:rFonts w:hint="eastAsia" w:ascii="宋体" w:hAnsi="宋体" w:eastAsia="宋体" w:cs="宋体"/>
                      <w:color w:val="auto"/>
                      <w:sz w:val="21"/>
                      <w:szCs w:val="21"/>
                      <w:highlight w:val="none"/>
                      <w:lang w:val="en-US" w:eastAsia="zh-CN"/>
                    </w:rPr>
                  </w:pPr>
                </w:p>
              </w:tc>
              <w:tc>
                <w:tcPr>
                  <w:tcW w:w="3337" w:type="dxa"/>
                  <w:shd w:val="clear" w:color="auto" w:fill="auto"/>
                  <w:noWrap w:val="0"/>
                  <w:vAlign w:val="center"/>
                </w:tcPr>
                <w:p w14:paraId="4ADCAD81">
                  <w:pPr>
                    <w:tabs>
                      <w:tab w:val="center" w:pos="4153"/>
                      <w:tab w:val="right" w:pos="8306"/>
                    </w:tabs>
                    <w:snapToGrid w:val="0"/>
                    <w:spacing w:line="240" w:lineRule="exact"/>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五日生化需氧量的测定 稀释与接种法（HJ505-2009）</w:t>
                  </w:r>
                </w:p>
              </w:tc>
            </w:tr>
            <w:tr w14:paraId="64C5C1D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65" w:hRule="atLeast"/>
                <w:jc w:val="center"/>
              </w:trPr>
              <w:tc>
                <w:tcPr>
                  <w:tcW w:w="1324" w:type="dxa"/>
                  <w:shd w:val="clear" w:color="auto" w:fill="auto"/>
                  <w:noWrap w:val="0"/>
                  <w:vAlign w:val="center"/>
                </w:tcPr>
                <w:p w14:paraId="5331FE08">
                  <w:pPr>
                    <w:tabs>
                      <w:tab w:val="center" w:pos="4153"/>
                      <w:tab w:val="right" w:pos="8306"/>
                    </w:tabs>
                    <w:snapToGrid w:val="0"/>
                    <w:spacing w:line="240" w:lineRule="exact"/>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化学需氧量</w:t>
                  </w:r>
                </w:p>
              </w:tc>
              <w:tc>
                <w:tcPr>
                  <w:tcW w:w="1545" w:type="dxa"/>
                  <w:noWrap w:val="0"/>
                  <w:vAlign w:val="center"/>
                </w:tcPr>
                <w:p w14:paraId="12E6F0E0">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污水处理站总排口</w:t>
                  </w:r>
                </w:p>
              </w:tc>
              <w:tc>
                <w:tcPr>
                  <w:tcW w:w="2550" w:type="dxa"/>
                  <w:vMerge w:val="continue"/>
                  <w:noWrap w:val="0"/>
                  <w:vAlign w:val="center"/>
                </w:tcPr>
                <w:p w14:paraId="0835E56B">
                  <w:pPr>
                    <w:jc w:val="center"/>
                    <w:rPr>
                      <w:rFonts w:hint="eastAsia" w:ascii="宋体" w:hAnsi="宋体" w:eastAsia="宋体" w:cs="宋体"/>
                      <w:color w:val="auto"/>
                      <w:sz w:val="21"/>
                      <w:szCs w:val="21"/>
                      <w:highlight w:val="none"/>
                      <w:lang w:val="en-US" w:eastAsia="zh-CN"/>
                    </w:rPr>
                  </w:pPr>
                </w:p>
              </w:tc>
              <w:tc>
                <w:tcPr>
                  <w:tcW w:w="3337" w:type="dxa"/>
                  <w:shd w:val="clear" w:color="auto" w:fill="auto"/>
                  <w:noWrap w:val="0"/>
                  <w:vAlign w:val="center"/>
                </w:tcPr>
                <w:p w14:paraId="04534704">
                  <w:pPr>
                    <w:tabs>
                      <w:tab w:val="center" w:pos="4153"/>
                      <w:tab w:val="right" w:pos="8306"/>
                    </w:tabs>
                    <w:snapToGrid w:val="0"/>
                    <w:spacing w:line="24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水质 化学需氧量的测定 </w:t>
                  </w:r>
                </w:p>
                <w:p w14:paraId="4BFFCF91">
                  <w:pPr>
                    <w:tabs>
                      <w:tab w:val="center" w:pos="4153"/>
                      <w:tab w:val="right" w:pos="8306"/>
                    </w:tabs>
                    <w:snapToGrid w:val="0"/>
                    <w:spacing w:line="240" w:lineRule="exact"/>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重铬酸盐法（HJ828-2017）</w:t>
                  </w:r>
                </w:p>
              </w:tc>
            </w:tr>
            <w:tr w14:paraId="04004BC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65" w:hRule="atLeast"/>
                <w:jc w:val="center"/>
              </w:trPr>
              <w:tc>
                <w:tcPr>
                  <w:tcW w:w="1324" w:type="dxa"/>
                  <w:shd w:val="clear" w:color="auto" w:fill="auto"/>
                  <w:noWrap w:val="0"/>
                  <w:vAlign w:val="center"/>
                </w:tcPr>
                <w:p w14:paraId="67CEE74A">
                  <w:pPr>
                    <w:tabs>
                      <w:tab w:val="center" w:pos="4153"/>
                      <w:tab w:val="right" w:pos="8306"/>
                    </w:tabs>
                    <w:snapToGrid w:val="0"/>
                    <w:spacing w:line="240" w:lineRule="exact"/>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悬浮物</w:t>
                  </w:r>
                </w:p>
              </w:tc>
              <w:tc>
                <w:tcPr>
                  <w:tcW w:w="1545" w:type="dxa"/>
                  <w:noWrap w:val="0"/>
                  <w:vAlign w:val="center"/>
                </w:tcPr>
                <w:p w14:paraId="4BF8E40B">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污水处理站总排口</w:t>
                  </w:r>
                </w:p>
              </w:tc>
              <w:tc>
                <w:tcPr>
                  <w:tcW w:w="2550" w:type="dxa"/>
                  <w:vMerge w:val="continue"/>
                  <w:noWrap w:val="0"/>
                  <w:vAlign w:val="center"/>
                </w:tcPr>
                <w:p w14:paraId="0ABB8551">
                  <w:pPr>
                    <w:jc w:val="center"/>
                    <w:rPr>
                      <w:rFonts w:hint="eastAsia" w:ascii="宋体" w:hAnsi="宋体" w:eastAsia="宋体" w:cs="宋体"/>
                      <w:color w:val="auto"/>
                      <w:sz w:val="21"/>
                      <w:szCs w:val="21"/>
                      <w:highlight w:val="none"/>
                      <w:lang w:val="en-US" w:eastAsia="zh-CN"/>
                    </w:rPr>
                  </w:pPr>
                </w:p>
              </w:tc>
              <w:tc>
                <w:tcPr>
                  <w:tcW w:w="3337" w:type="dxa"/>
                  <w:shd w:val="clear" w:color="auto" w:fill="auto"/>
                  <w:noWrap w:val="0"/>
                  <w:vAlign w:val="center"/>
                </w:tcPr>
                <w:p w14:paraId="5045D962">
                  <w:pPr>
                    <w:tabs>
                      <w:tab w:val="center" w:pos="4153"/>
                      <w:tab w:val="right" w:pos="8306"/>
                    </w:tabs>
                    <w:snapToGrid w:val="0"/>
                    <w:spacing w:line="240" w:lineRule="exact"/>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水质 生活饮用水标准检验方法 感官性状和物理指标GB/T5750.4-2006(8.1称量法)</w:t>
                  </w:r>
                </w:p>
              </w:tc>
            </w:tr>
            <w:tr w14:paraId="22ED763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65" w:hRule="atLeast"/>
                <w:jc w:val="center"/>
              </w:trPr>
              <w:tc>
                <w:tcPr>
                  <w:tcW w:w="1324" w:type="dxa"/>
                  <w:shd w:val="clear" w:color="auto" w:fill="auto"/>
                  <w:noWrap w:val="0"/>
                  <w:vAlign w:val="center"/>
                </w:tcPr>
                <w:p w14:paraId="1BFD5BC8">
                  <w:pPr>
                    <w:tabs>
                      <w:tab w:val="center" w:pos="4153"/>
                      <w:tab w:val="right" w:pos="8306"/>
                    </w:tabs>
                    <w:snapToGrid w:val="0"/>
                    <w:spacing w:line="240" w:lineRule="exact"/>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动植物油</w:t>
                  </w:r>
                </w:p>
              </w:tc>
              <w:tc>
                <w:tcPr>
                  <w:tcW w:w="1545" w:type="dxa"/>
                  <w:noWrap w:val="0"/>
                  <w:vAlign w:val="center"/>
                </w:tcPr>
                <w:p w14:paraId="5DEAF068">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污水处理站总排口</w:t>
                  </w:r>
                </w:p>
              </w:tc>
              <w:tc>
                <w:tcPr>
                  <w:tcW w:w="2550" w:type="dxa"/>
                  <w:vMerge w:val="continue"/>
                  <w:noWrap w:val="0"/>
                  <w:vAlign w:val="center"/>
                </w:tcPr>
                <w:p w14:paraId="04947E12">
                  <w:pPr>
                    <w:jc w:val="center"/>
                    <w:rPr>
                      <w:rFonts w:hint="eastAsia" w:ascii="宋体" w:hAnsi="宋体" w:eastAsia="宋体" w:cs="宋体"/>
                      <w:color w:val="auto"/>
                      <w:sz w:val="21"/>
                      <w:szCs w:val="21"/>
                      <w:highlight w:val="none"/>
                      <w:lang w:val="en-US" w:eastAsia="zh-CN"/>
                    </w:rPr>
                  </w:pPr>
                </w:p>
              </w:tc>
              <w:tc>
                <w:tcPr>
                  <w:tcW w:w="3337" w:type="dxa"/>
                  <w:shd w:val="clear" w:color="auto" w:fill="auto"/>
                  <w:noWrap w:val="0"/>
                  <w:vAlign w:val="center"/>
                </w:tcPr>
                <w:p w14:paraId="509A579E">
                  <w:pPr>
                    <w:tabs>
                      <w:tab w:val="center" w:pos="4153"/>
                      <w:tab w:val="right" w:pos="8306"/>
                    </w:tabs>
                    <w:snapToGrid w:val="0"/>
                    <w:spacing w:line="240" w:lineRule="exact"/>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水质 石油类和动植物油类的测定红外分光（HJ637-2018）</w:t>
                  </w:r>
                </w:p>
              </w:tc>
            </w:tr>
            <w:tr w14:paraId="2E2FFFC5">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65" w:hRule="atLeast"/>
                <w:jc w:val="center"/>
              </w:trPr>
              <w:tc>
                <w:tcPr>
                  <w:tcW w:w="1324" w:type="dxa"/>
                  <w:shd w:val="clear" w:color="auto" w:fill="auto"/>
                  <w:noWrap w:val="0"/>
                  <w:vAlign w:val="center"/>
                </w:tcPr>
                <w:p w14:paraId="217757D0">
                  <w:pPr>
                    <w:tabs>
                      <w:tab w:val="center" w:pos="4153"/>
                      <w:tab w:val="right" w:pos="8306"/>
                    </w:tabs>
                    <w:snapToGrid w:val="0"/>
                    <w:spacing w:line="240" w:lineRule="exact"/>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总磷</w:t>
                  </w:r>
                </w:p>
              </w:tc>
              <w:tc>
                <w:tcPr>
                  <w:tcW w:w="1545" w:type="dxa"/>
                  <w:noWrap w:val="0"/>
                  <w:vAlign w:val="center"/>
                </w:tcPr>
                <w:p w14:paraId="0ABB1214">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污水处理站总排口</w:t>
                  </w:r>
                </w:p>
              </w:tc>
              <w:tc>
                <w:tcPr>
                  <w:tcW w:w="2550" w:type="dxa"/>
                  <w:vMerge w:val="continue"/>
                  <w:noWrap w:val="0"/>
                  <w:vAlign w:val="center"/>
                </w:tcPr>
                <w:p w14:paraId="300127F9">
                  <w:pPr>
                    <w:jc w:val="center"/>
                    <w:rPr>
                      <w:rFonts w:hint="eastAsia" w:ascii="宋体" w:hAnsi="宋体" w:eastAsia="宋体" w:cs="宋体"/>
                      <w:color w:val="auto"/>
                      <w:sz w:val="21"/>
                      <w:szCs w:val="21"/>
                      <w:highlight w:val="none"/>
                      <w:lang w:val="en-US" w:eastAsia="zh-CN"/>
                    </w:rPr>
                  </w:pPr>
                </w:p>
              </w:tc>
              <w:tc>
                <w:tcPr>
                  <w:tcW w:w="3337" w:type="dxa"/>
                  <w:shd w:val="clear" w:color="auto" w:fill="auto"/>
                  <w:noWrap w:val="0"/>
                  <w:vAlign w:val="center"/>
                </w:tcPr>
                <w:p w14:paraId="75F58668">
                  <w:pPr>
                    <w:tabs>
                      <w:tab w:val="center" w:pos="4153"/>
                      <w:tab w:val="right" w:pos="8306"/>
                    </w:tabs>
                    <w:snapToGrid w:val="0"/>
                    <w:spacing w:line="24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水质</w:t>
                  </w:r>
                  <w:r>
                    <w:rPr>
                      <w:rFonts w:hint="eastAsia" w:ascii="宋体" w:hAnsi="宋体" w:eastAsia="宋体" w:cs="宋体"/>
                      <w:sz w:val="21"/>
                      <w:szCs w:val="21"/>
                      <w:lang w:val="en-US" w:eastAsia="zh-CN"/>
                    </w:rPr>
                    <w:t xml:space="preserve"> 总磷的测定 </w:t>
                  </w:r>
                </w:p>
                <w:p w14:paraId="09DCC452">
                  <w:pPr>
                    <w:tabs>
                      <w:tab w:val="center" w:pos="4153"/>
                      <w:tab w:val="right" w:pos="8306"/>
                    </w:tabs>
                    <w:snapToGrid w:val="0"/>
                    <w:spacing w:line="240" w:lineRule="exact"/>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钼酸铵分光光度法（GB11893-1989）</w:t>
                  </w:r>
                </w:p>
              </w:tc>
            </w:tr>
            <w:tr w14:paraId="483EAC6C">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65" w:hRule="atLeast"/>
                <w:jc w:val="center"/>
              </w:trPr>
              <w:tc>
                <w:tcPr>
                  <w:tcW w:w="1324" w:type="dxa"/>
                  <w:shd w:val="clear" w:color="auto" w:fill="auto"/>
                  <w:noWrap w:val="0"/>
                  <w:vAlign w:val="center"/>
                </w:tcPr>
                <w:p w14:paraId="4D40D379">
                  <w:pPr>
                    <w:tabs>
                      <w:tab w:val="center" w:pos="4153"/>
                      <w:tab w:val="right" w:pos="8306"/>
                    </w:tabs>
                    <w:snapToGrid w:val="0"/>
                    <w:spacing w:line="240" w:lineRule="exact"/>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总氮</w:t>
                  </w:r>
                </w:p>
              </w:tc>
              <w:tc>
                <w:tcPr>
                  <w:tcW w:w="1545" w:type="dxa"/>
                  <w:noWrap w:val="0"/>
                  <w:vAlign w:val="center"/>
                </w:tcPr>
                <w:p w14:paraId="270B4FE6">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污水处理站总排口</w:t>
                  </w:r>
                </w:p>
              </w:tc>
              <w:tc>
                <w:tcPr>
                  <w:tcW w:w="2550" w:type="dxa"/>
                  <w:vMerge w:val="continue"/>
                  <w:noWrap w:val="0"/>
                  <w:vAlign w:val="center"/>
                </w:tcPr>
                <w:p w14:paraId="61F567E0">
                  <w:pPr>
                    <w:jc w:val="center"/>
                    <w:rPr>
                      <w:rFonts w:hint="eastAsia" w:ascii="宋体" w:hAnsi="宋体" w:eastAsia="宋体" w:cs="宋体"/>
                      <w:color w:val="auto"/>
                      <w:sz w:val="21"/>
                      <w:szCs w:val="21"/>
                      <w:highlight w:val="none"/>
                      <w:lang w:val="en-US" w:eastAsia="zh-CN"/>
                    </w:rPr>
                  </w:pPr>
                </w:p>
              </w:tc>
              <w:tc>
                <w:tcPr>
                  <w:tcW w:w="3337" w:type="dxa"/>
                  <w:shd w:val="clear" w:color="auto" w:fill="auto"/>
                  <w:noWrap w:val="0"/>
                  <w:vAlign w:val="center"/>
                </w:tcPr>
                <w:p w14:paraId="5DFA549D">
                  <w:pPr>
                    <w:tabs>
                      <w:tab w:val="center" w:pos="4153"/>
                      <w:tab w:val="right" w:pos="8306"/>
                    </w:tabs>
                    <w:snapToGrid w:val="0"/>
                    <w:spacing w:line="240" w:lineRule="exact"/>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水质 总氮的测定 碱性过硫酸钾消解紫外分光光度法（HJ636-2012）</w:t>
                  </w:r>
                </w:p>
              </w:tc>
            </w:tr>
            <w:tr w14:paraId="3A85A24A">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65" w:hRule="atLeast"/>
                <w:jc w:val="center"/>
              </w:trPr>
              <w:tc>
                <w:tcPr>
                  <w:tcW w:w="1324" w:type="dxa"/>
                  <w:shd w:val="clear" w:color="auto" w:fill="auto"/>
                  <w:noWrap w:val="0"/>
                  <w:vAlign w:val="center"/>
                </w:tcPr>
                <w:p w14:paraId="55E1F1B9">
                  <w:pPr>
                    <w:jc w:val="center"/>
                    <w:rPr>
                      <w:rFonts w:hint="eastAsia" w:ascii="宋体" w:hAnsi="宋体" w:eastAsia="宋体" w:cs="宋体"/>
                      <w:kern w:val="2"/>
                      <w:sz w:val="21"/>
                      <w:szCs w:val="21"/>
                      <w:lang w:val="en-US" w:eastAsia="zh-CN" w:bidi="ar-SA"/>
                    </w:rPr>
                  </w:pPr>
                  <w:r>
                    <w:rPr>
                      <w:rFonts w:hint="eastAsia" w:ascii="宋体" w:hAnsi="宋体" w:eastAsia="宋体" w:cs="宋体"/>
                      <w:color w:val="000000" w:themeColor="text1"/>
                      <w:sz w:val="21"/>
                      <w:szCs w:val="21"/>
                      <w:lang w:val="en-US" w:eastAsia="zh-CN"/>
                      <w14:textFill>
                        <w14:solidFill>
                          <w14:schemeClr w14:val="tx1"/>
                        </w14:solidFill>
                      </w14:textFill>
                    </w:rPr>
                    <w:t>阴离子表面活性剂</w:t>
                  </w:r>
                </w:p>
              </w:tc>
              <w:tc>
                <w:tcPr>
                  <w:tcW w:w="1545" w:type="dxa"/>
                  <w:noWrap w:val="0"/>
                  <w:vAlign w:val="center"/>
                </w:tcPr>
                <w:p w14:paraId="3BCB9D2A">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污水处理站总排口</w:t>
                  </w:r>
                </w:p>
              </w:tc>
              <w:tc>
                <w:tcPr>
                  <w:tcW w:w="2550" w:type="dxa"/>
                  <w:vMerge w:val="continue"/>
                  <w:noWrap w:val="0"/>
                  <w:vAlign w:val="center"/>
                </w:tcPr>
                <w:p w14:paraId="7B9626F6">
                  <w:pPr>
                    <w:jc w:val="center"/>
                    <w:rPr>
                      <w:rFonts w:hint="eastAsia" w:ascii="宋体" w:hAnsi="宋体" w:eastAsia="宋体" w:cs="宋体"/>
                      <w:color w:val="auto"/>
                      <w:sz w:val="21"/>
                      <w:szCs w:val="21"/>
                      <w:highlight w:val="none"/>
                      <w:lang w:val="en-US" w:eastAsia="zh-CN"/>
                    </w:rPr>
                  </w:pPr>
                </w:p>
              </w:tc>
              <w:tc>
                <w:tcPr>
                  <w:tcW w:w="3337" w:type="dxa"/>
                  <w:shd w:val="clear" w:color="auto" w:fill="auto"/>
                  <w:noWrap w:val="0"/>
                  <w:vAlign w:val="center"/>
                </w:tcPr>
                <w:p w14:paraId="2809183D">
                  <w:pPr>
                    <w:jc w:val="center"/>
                    <w:rPr>
                      <w:rFonts w:hint="eastAsia" w:ascii="宋体" w:hAnsi="宋体" w:eastAsia="宋体" w:cs="宋体"/>
                      <w:kern w:val="2"/>
                      <w:sz w:val="21"/>
                      <w:szCs w:val="21"/>
                      <w:lang w:val="en-US" w:eastAsia="zh-CN" w:bidi="ar-SA"/>
                    </w:rPr>
                  </w:pPr>
                  <w:r>
                    <w:rPr>
                      <w:rFonts w:hint="eastAsia" w:ascii="宋体" w:hAnsi="宋体" w:eastAsia="宋体" w:cs="宋体"/>
                      <w:color w:val="000000" w:themeColor="text1"/>
                      <w:sz w:val="21"/>
                      <w:szCs w:val="21"/>
                      <w:lang w:val="en-US" w:eastAsia="zh-CN"/>
                      <w14:textFill>
                        <w14:solidFill>
                          <w14:schemeClr w14:val="tx1"/>
                        </w14:solidFill>
                      </w14:textFill>
                    </w:rPr>
                    <w:t>水质 阴离子表面活性剂的测定 亚甲蓝分光光度（GB7494-1987）</w:t>
                  </w:r>
                </w:p>
              </w:tc>
            </w:tr>
          </w:tbl>
          <w:p w14:paraId="6A6810F0">
            <w:pPr>
              <w:spacing w:line="360" w:lineRule="auto"/>
              <w:ind w:firstLine="562" w:firstLineChars="200"/>
              <w:rPr>
                <w:rFonts w:hint="default" w:ascii="Times New Roman" w:hAnsi="Times New Roman" w:cs="Times New Roman"/>
                <w:color w:val="auto"/>
                <w:sz w:val="28"/>
                <w:szCs w:val="28"/>
                <w:highlight w:val="none"/>
                <w:lang w:eastAsia="zh-CN"/>
              </w:rPr>
            </w:pPr>
            <w:r>
              <w:rPr>
                <w:rFonts w:hint="default" w:ascii="Times New Roman" w:hAnsi="Times New Roman" w:cs="Times New Roman"/>
                <w:b/>
                <w:bCs/>
                <w:color w:val="auto"/>
                <w:sz w:val="28"/>
                <w:szCs w:val="36"/>
                <w:highlight w:val="none"/>
                <w:lang w:val="en-US" w:eastAsia="zh-CN"/>
              </w:rPr>
              <w:t>5</w:t>
            </w:r>
            <w:r>
              <w:rPr>
                <w:rFonts w:hint="default" w:ascii="Times New Roman" w:hAnsi="Times New Roman" w:cs="Times New Roman"/>
                <w:b/>
                <w:bCs/>
                <w:color w:val="auto"/>
                <w:sz w:val="28"/>
                <w:szCs w:val="36"/>
                <w:highlight w:val="none"/>
              </w:rPr>
              <w:t>.</w:t>
            </w:r>
            <w:r>
              <w:rPr>
                <w:rFonts w:hint="eastAsia" w:ascii="Times New Roman" w:hAnsi="Times New Roman" w:cs="Times New Roman"/>
                <w:b/>
                <w:bCs/>
                <w:color w:val="auto"/>
                <w:sz w:val="28"/>
                <w:szCs w:val="36"/>
                <w:highlight w:val="none"/>
                <w:lang w:val="en-US" w:eastAsia="zh-CN"/>
              </w:rPr>
              <w:t>3</w:t>
            </w:r>
            <w:r>
              <w:rPr>
                <w:rFonts w:hint="default" w:ascii="Times New Roman" w:hAnsi="Times New Roman" w:cs="Times New Roman"/>
                <w:b/>
                <w:bCs/>
                <w:color w:val="auto"/>
                <w:sz w:val="28"/>
                <w:szCs w:val="36"/>
                <w:highlight w:val="none"/>
              </w:rPr>
              <w:t>.2</w:t>
            </w:r>
            <w:r>
              <w:rPr>
                <w:rFonts w:hint="eastAsia" w:ascii="Times New Roman" w:hAnsi="Times New Roman" w:cs="Times New Roman"/>
                <w:b/>
                <w:bCs/>
                <w:color w:val="auto"/>
                <w:sz w:val="28"/>
                <w:szCs w:val="36"/>
                <w:highlight w:val="none"/>
                <w:lang w:val="en-US" w:eastAsia="zh-CN"/>
              </w:rPr>
              <w:t>废水</w:t>
            </w:r>
            <w:r>
              <w:rPr>
                <w:rFonts w:hint="default" w:ascii="Times New Roman" w:hAnsi="Times New Roman" w:cs="Times New Roman"/>
                <w:b/>
                <w:bCs/>
                <w:color w:val="auto"/>
                <w:sz w:val="28"/>
                <w:szCs w:val="36"/>
                <w:highlight w:val="none"/>
              </w:rPr>
              <w:t>执行标准</w:t>
            </w:r>
          </w:p>
          <w:p w14:paraId="48725884">
            <w:pPr>
              <w:ind w:firstLine="560" w:firstLineChars="200"/>
              <w:jc w:val="both"/>
              <w:rPr>
                <w:rFonts w:hint="default" w:ascii="Times New Roman" w:hAnsi="Times New Roman" w:cs="Times New Roman"/>
                <w:color w:val="auto"/>
                <w:sz w:val="28"/>
                <w:szCs w:val="36"/>
                <w:highlight w:val="none"/>
              </w:rPr>
            </w:pPr>
            <w:r>
              <w:rPr>
                <w:rFonts w:hint="default" w:ascii="Times New Roman" w:hAnsi="Times New Roman" w:cs="Times New Roman"/>
                <w:color w:val="auto"/>
                <w:sz w:val="28"/>
                <w:szCs w:val="28"/>
                <w:highlight w:val="none"/>
                <w:lang w:eastAsia="zh-CN"/>
              </w:rPr>
              <w:t>本项目</w:t>
            </w:r>
            <w:r>
              <w:rPr>
                <w:rFonts w:hint="eastAsia" w:ascii="Times New Roman" w:hAnsi="Times New Roman" w:cs="Times New Roman"/>
                <w:color w:val="auto"/>
                <w:sz w:val="28"/>
                <w:szCs w:val="28"/>
                <w:highlight w:val="none"/>
                <w:lang w:val="en-US" w:eastAsia="zh-CN"/>
              </w:rPr>
              <w:t>废水</w:t>
            </w:r>
            <w:r>
              <w:rPr>
                <w:rFonts w:hint="default" w:ascii="Times New Roman" w:hAnsi="Times New Roman" w:cs="Times New Roman"/>
                <w:color w:val="auto"/>
                <w:sz w:val="28"/>
                <w:szCs w:val="28"/>
                <w:highlight w:val="none"/>
              </w:rPr>
              <w:t>执</w:t>
            </w:r>
            <w:r>
              <w:rPr>
                <w:rFonts w:hint="default" w:ascii="Times New Roman" w:hAnsi="Times New Roman" w:cs="Times New Roman"/>
                <w:color w:val="auto"/>
                <w:sz w:val="28"/>
                <w:szCs w:val="28"/>
                <w:highlight w:val="none"/>
                <w:lang w:eastAsia="zh-CN"/>
              </w:rPr>
              <w:t>行</w:t>
            </w:r>
            <w:r>
              <w:rPr>
                <w:rFonts w:hint="eastAsia" w:ascii="Times New Roman" w:hAnsi="Times New Roman" w:cs="Times New Roman"/>
                <w:color w:val="auto"/>
                <w:sz w:val="28"/>
                <w:szCs w:val="28"/>
                <w:highlight w:val="none"/>
                <w:lang w:val="en-US" w:eastAsia="zh-CN"/>
              </w:rPr>
              <w:t>《肉类加工工业水污染物排放标准》（GB 13457-92）中表3畜类屠宰加工一级标准限值</w:t>
            </w:r>
            <w:r>
              <w:rPr>
                <w:rFonts w:hint="default" w:ascii="Times New Roman" w:hAnsi="Times New Roman" w:cs="Times New Roman"/>
                <w:color w:val="auto"/>
                <w:sz w:val="28"/>
                <w:szCs w:val="28"/>
                <w:highlight w:val="none"/>
                <w:lang w:eastAsia="zh-CN"/>
              </w:rPr>
              <w:t>，见</w:t>
            </w:r>
            <w:r>
              <w:rPr>
                <w:rFonts w:hint="default" w:ascii="Times New Roman" w:hAnsi="Times New Roman" w:cs="Times New Roman"/>
                <w:color w:val="auto"/>
                <w:spacing w:val="-6"/>
                <w:sz w:val="28"/>
                <w:szCs w:val="28"/>
                <w:highlight w:val="none"/>
              </w:rPr>
              <w:t>表</w:t>
            </w:r>
            <w:r>
              <w:rPr>
                <w:rFonts w:hint="default" w:ascii="Times New Roman" w:hAnsi="Times New Roman" w:cs="Times New Roman"/>
                <w:color w:val="auto"/>
                <w:spacing w:val="-6"/>
                <w:sz w:val="28"/>
                <w:szCs w:val="28"/>
                <w:highlight w:val="none"/>
                <w:lang w:val="en-US" w:eastAsia="zh-CN"/>
              </w:rPr>
              <w:t>5-</w:t>
            </w:r>
            <w:r>
              <w:rPr>
                <w:rFonts w:hint="eastAsia" w:ascii="Times New Roman" w:hAnsi="Times New Roman" w:cs="Times New Roman"/>
                <w:color w:val="auto"/>
                <w:spacing w:val="-6"/>
                <w:sz w:val="28"/>
                <w:szCs w:val="28"/>
                <w:highlight w:val="none"/>
                <w:lang w:val="en-US" w:eastAsia="zh-CN"/>
              </w:rPr>
              <w:t>6</w:t>
            </w:r>
            <w:r>
              <w:rPr>
                <w:rFonts w:hint="default" w:ascii="Times New Roman" w:hAnsi="Times New Roman" w:cs="Times New Roman"/>
                <w:color w:val="auto"/>
                <w:spacing w:val="-6"/>
                <w:sz w:val="28"/>
                <w:szCs w:val="28"/>
                <w:highlight w:val="none"/>
              </w:rPr>
              <w:t>。</w:t>
            </w:r>
            <w:r>
              <w:rPr>
                <w:rFonts w:hint="default" w:ascii="Times New Roman" w:hAnsi="Times New Roman" w:cs="Times New Roman"/>
                <w:color w:val="auto"/>
                <w:sz w:val="28"/>
                <w:szCs w:val="36"/>
                <w:highlight w:val="none"/>
              </w:rPr>
              <w:t>监测点位示意图见图</w:t>
            </w:r>
            <w:r>
              <w:rPr>
                <w:rFonts w:hint="default" w:ascii="Times New Roman" w:hAnsi="Times New Roman" w:cs="Times New Roman"/>
                <w:color w:val="auto"/>
                <w:sz w:val="28"/>
                <w:szCs w:val="36"/>
                <w:highlight w:val="none"/>
                <w:lang w:val="en-US" w:eastAsia="zh-CN"/>
              </w:rPr>
              <w:t>5</w:t>
            </w:r>
            <w:r>
              <w:rPr>
                <w:rFonts w:hint="default" w:ascii="Times New Roman" w:hAnsi="Times New Roman" w:cs="Times New Roman"/>
                <w:color w:val="auto"/>
                <w:sz w:val="28"/>
                <w:szCs w:val="36"/>
                <w:highlight w:val="none"/>
              </w:rPr>
              <w:t>.</w:t>
            </w:r>
            <w:r>
              <w:rPr>
                <w:rFonts w:hint="eastAsia" w:ascii="Times New Roman" w:hAnsi="Times New Roman" w:cs="Times New Roman"/>
                <w:color w:val="auto"/>
                <w:sz w:val="28"/>
                <w:szCs w:val="36"/>
                <w:highlight w:val="none"/>
                <w:lang w:val="en-US" w:eastAsia="zh-CN"/>
              </w:rPr>
              <w:t>1</w:t>
            </w:r>
            <w:r>
              <w:rPr>
                <w:rFonts w:hint="default" w:ascii="Times New Roman" w:hAnsi="Times New Roman" w:cs="Times New Roman"/>
                <w:color w:val="auto"/>
                <w:sz w:val="28"/>
                <w:szCs w:val="36"/>
                <w:highlight w:val="none"/>
              </w:rPr>
              <w:t>。</w:t>
            </w:r>
          </w:p>
          <w:p w14:paraId="024FB7B9">
            <w:pPr>
              <w:pStyle w:val="2"/>
              <w:ind w:left="0" w:leftChars="0" w:firstLine="0" w:firstLineChars="0"/>
              <w:jc w:val="center"/>
              <w:rPr>
                <w:rFonts w:hint="default"/>
              </w:rPr>
            </w:pPr>
            <w:r>
              <w:rPr>
                <w:rFonts w:hint="default" w:ascii="Times New Roman" w:hAnsi="Times New Roman" w:cs="Times New Roman"/>
                <w:b/>
                <w:bCs/>
                <w:color w:val="auto"/>
                <w:sz w:val="24"/>
                <w:highlight w:val="none"/>
              </w:rPr>
              <w:t>表</w:t>
            </w:r>
            <w:r>
              <w:rPr>
                <w:rFonts w:hint="default" w:ascii="Times New Roman" w:hAnsi="Times New Roman" w:cs="Times New Roman"/>
                <w:b/>
                <w:bCs/>
                <w:color w:val="auto"/>
                <w:sz w:val="24"/>
                <w:highlight w:val="none"/>
                <w:lang w:val="en-US" w:eastAsia="zh-CN"/>
              </w:rPr>
              <w:t>5</w:t>
            </w:r>
            <w:r>
              <w:rPr>
                <w:rFonts w:hint="default" w:ascii="Times New Roman" w:hAnsi="Times New Roman" w:cs="Times New Roman"/>
                <w:b/>
                <w:bCs/>
                <w:color w:val="auto"/>
                <w:sz w:val="24"/>
                <w:highlight w:val="none"/>
              </w:rPr>
              <w:t>-</w:t>
            </w:r>
            <w:r>
              <w:rPr>
                <w:rFonts w:hint="eastAsia" w:ascii="Times New Roman" w:hAnsi="Times New Roman" w:cs="Times New Roman"/>
                <w:b/>
                <w:bCs/>
                <w:color w:val="auto"/>
                <w:sz w:val="24"/>
                <w:highlight w:val="none"/>
                <w:lang w:val="en-US" w:eastAsia="zh-CN"/>
              </w:rPr>
              <w:t>6</w:t>
            </w:r>
            <w:r>
              <w:rPr>
                <w:rFonts w:hint="default" w:ascii="Times New Roman" w:hAnsi="Times New Roman" w:cs="Times New Roman"/>
                <w:b/>
                <w:bCs/>
                <w:color w:val="auto"/>
                <w:sz w:val="24"/>
                <w:highlight w:val="none"/>
              </w:rPr>
              <w:t xml:space="preserve">                        </w:t>
            </w:r>
            <w:r>
              <w:rPr>
                <w:rFonts w:hint="eastAsia" w:ascii="Times New Roman" w:hAnsi="Times New Roman" w:cs="Times New Roman"/>
                <w:b/>
                <w:bCs/>
                <w:color w:val="auto"/>
                <w:sz w:val="24"/>
                <w:highlight w:val="none"/>
                <w:lang w:val="en-US" w:eastAsia="zh-CN"/>
              </w:rPr>
              <w:t>废水</w:t>
            </w:r>
            <w:r>
              <w:rPr>
                <w:rFonts w:hint="default" w:ascii="Times New Roman" w:hAnsi="Times New Roman" w:cs="Times New Roman"/>
                <w:b/>
                <w:bCs/>
                <w:color w:val="auto"/>
                <w:sz w:val="24"/>
                <w:highlight w:val="none"/>
              </w:rPr>
              <w:t>排放标准</w:t>
            </w:r>
          </w:p>
          <w:tbl>
            <w:tblPr>
              <w:tblStyle w:val="15"/>
              <w:tblpPr w:leftFromText="180" w:rightFromText="180" w:vertAnchor="text" w:horzAnchor="page" w:tblpX="-173" w:tblpY="299"/>
              <w:tblOverlap w:val="never"/>
              <w:tblW w:w="8857"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636"/>
              <w:gridCol w:w="1774"/>
              <w:gridCol w:w="1440"/>
              <w:gridCol w:w="4007"/>
            </w:tblGrid>
            <w:tr w14:paraId="0078BBF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636" w:type="dxa"/>
                  <w:tcBorders>
                    <w:tl2br w:val="nil"/>
                    <w:tr2bl w:val="nil"/>
                  </w:tcBorders>
                  <w:noWrap w:val="0"/>
                  <w:vAlign w:val="center"/>
                </w:tcPr>
                <w:p w14:paraId="56C3D87B">
                  <w:pPr>
                    <w:spacing w:line="240" w:lineRule="auto"/>
                    <w:jc w:val="center"/>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14:textFill>
                        <w14:solidFill>
                          <w14:schemeClr w14:val="tx1"/>
                        </w14:solidFill>
                      </w14:textFill>
                    </w:rPr>
                    <w:t>项目</w:t>
                  </w:r>
                </w:p>
              </w:tc>
              <w:tc>
                <w:tcPr>
                  <w:tcW w:w="1774" w:type="dxa"/>
                  <w:tcBorders>
                    <w:tl2br w:val="nil"/>
                    <w:tr2bl w:val="nil"/>
                  </w:tcBorders>
                  <w:noWrap w:val="0"/>
                  <w:vAlign w:val="center"/>
                </w:tcPr>
                <w:p w14:paraId="53FC77EB">
                  <w:pPr>
                    <w:spacing w:line="240" w:lineRule="auto"/>
                    <w:jc w:val="center"/>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14:textFill>
                        <w14:solidFill>
                          <w14:schemeClr w14:val="tx1"/>
                        </w14:solidFill>
                      </w14:textFill>
                    </w:rPr>
                    <w:t>标准限值dB（A）</w:t>
                  </w:r>
                </w:p>
              </w:tc>
              <w:tc>
                <w:tcPr>
                  <w:tcW w:w="1440" w:type="dxa"/>
                  <w:tcBorders>
                    <w:tl2br w:val="nil"/>
                    <w:tr2bl w:val="nil"/>
                  </w:tcBorders>
                  <w:noWrap w:val="0"/>
                  <w:vAlign w:val="center"/>
                </w:tcPr>
                <w:p w14:paraId="66681004">
                  <w:pPr>
                    <w:spacing w:line="240" w:lineRule="auto"/>
                    <w:jc w:val="center"/>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14:textFill>
                        <w14:solidFill>
                          <w14:schemeClr w14:val="tx1"/>
                        </w14:solidFill>
                      </w14:textFill>
                    </w:rPr>
                    <w:t>执行类别</w:t>
                  </w:r>
                </w:p>
              </w:tc>
              <w:tc>
                <w:tcPr>
                  <w:tcW w:w="4007" w:type="dxa"/>
                  <w:tcBorders>
                    <w:tl2br w:val="nil"/>
                    <w:tr2bl w:val="nil"/>
                  </w:tcBorders>
                  <w:noWrap w:val="0"/>
                  <w:vAlign w:val="center"/>
                </w:tcPr>
                <w:p w14:paraId="189F76B0">
                  <w:pPr>
                    <w:spacing w:line="240" w:lineRule="auto"/>
                    <w:jc w:val="center"/>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14:textFill>
                        <w14:solidFill>
                          <w14:schemeClr w14:val="tx1"/>
                        </w14:solidFill>
                      </w14:textFill>
                    </w:rPr>
                    <w:t>标准来源</w:t>
                  </w:r>
                </w:p>
              </w:tc>
            </w:tr>
            <w:tr w14:paraId="43A12BD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1636" w:type="dxa"/>
                  <w:tcBorders>
                    <w:tl2br w:val="nil"/>
                    <w:tr2bl w:val="nil"/>
                  </w:tcBorders>
                  <w:noWrap w:val="0"/>
                  <w:vAlign w:val="center"/>
                </w:tcPr>
                <w:p w14:paraId="414027AE">
                  <w:pPr>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pH（无量纲）</w:t>
                  </w:r>
                </w:p>
              </w:tc>
              <w:tc>
                <w:tcPr>
                  <w:tcW w:w="1774" w:type="dxa"/>
                  <w:tcBorders>
                    <w:tl2br w:val="nil"/>
                    <w:tr2bl w:val="nil"/>
                  </w:tcBorders>
                  <w:noWrap w:val="0"/>
                  <w:vAlign w:val="center"/>
                </w:tcPr>
                <w:p w14:paraId="105E52F8">
                  <w:pPr>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6~8.5</w:t>
                  </w:r>
                </w:p>
              </w:tc>
              <w:tc>
                <w:tcPr>
                  <w:tcW w:w="1440" w:type="dxa"/>
                  <w:vMerge w:val="restart"/>
                  <w:tcBorders>
                    <w:tl2br w:val="nil"/>
                    <w:tr2bl w:val="nil"/>
                  </w:tcBorders>
                  <w:noWrap w:val="0"/>
                  <w:vAlign w:val="center"/>
                </w:tcPr>
                <w:p w14:paraId="38DC67C8">
                  <w:pPr>
                    <w:jc w:val="center"/>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表3</w:t>
                  </w:r>
                </w:p>
                <w:p w14:paraId="0D3E5ADE">
                  <w:pPr>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畜类屠宰加工一级标准限值</w:t>
                  </w:r>
                </w:p>
              </w:tc>
              <w:tc>
                <w:tcPr>
                  <w:tcW w:w="4007" w:type="dxa"/>
                  <w:vMerge w:val="restart"/>
                  <w:tcBorders>
                    <w:tl2br w:val="nil"/>
                    <w:tr2bl w:val="nil"/>
                  </w:tcBorders>
                  <w:noWrap w:val="0"/>
                  <w:vAlign w:val="center"/>
                </w:tcPr>
                <w:p w14:paraId="52754616">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《肉类加工工业水污染物排放标准》</w:t>
                  </w:r>
                </w:p>
                <w:p w14:paraId="3C279C63">
                  <w:pPr>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（GB 13457-92）</w:t>
                  </w:r>
                </w:p>
              </w:tc>
            </w:tr>
            <w:tr w14:paraId="13D5158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1636" w:type="dxa"/>
                  <w:tcBorders>
                    <w:tl2br w:val="nil"/>
                    <w:tr2bl w:val="nil"/>
                  </w:tcBorders>
                  <w:noWrap w:val="0"/>
                  <w:vAlign w:val="center"/>
                </w:tcPr>
                <w:p w14:paraId="70934556">
                  <w:pPr>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五日生化需氧量</w:t>
                  </w:r>
                  <w:r>
                    <w:rPr>
                      <w:rFonts w:hint="eastAsia" w:ascii="宋体" w:hAnsi="宋体" w:eastAsia="宋体" w:cs="宋体"/>
                      <w:color w:val="000000" w:themeColor="text1"/>
                      <w:sz w:val="21"/>
                      <w:szCs w:val="21"/>
                      <w14:textFill>
                        <w14:solidFill>
                          <w14:schemeClr w14:val="tx1"/>
                        </w14:solidFill>
                      </w14:textFill>
                    </w:rPr>
                    <w:t>（mg/L）</w:t>
                  </w:r>
                </w:p>
              </w:tc>
              <w:tc>
                <w:tcPr>
                  <w:tcW w:w="1774" w:type="dxa"/>
                  <w:tcBorders>
                    <w:tl2br w:val="nil"/>
                    <w:tr2bl w:val="nil"/>
                  </w:tcBorders>
                  <w:noWrap w:val="0"/>
                  <w:vAlign w:val="center"/>
                </w:tcPr>
                <w:p w14:paraId="33865B0B">
                  <w:pPr>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30</w:t>
                  </w:r>
                </w:p>
              </w:tc>
              <w:tc>
                <w:tcPr>
                  <w:tcW w:w="1440" w:type="dxa"/>
                  <w:vMerge w:val="continue"/>
                  <w:tcBorders>
                    <w:tl2br w:val="nil"/>
                    <w:tr2bl w:val="nil"/>
                  </w:tcBorders>
                  <w:noWrap w:val="0"/>
                  <w:vAlign w:val="center"/>
                </w:tcPr>
                <w:p w14:paraId="197F127B">
                  <w:pPr>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p>
              </w:tc>
              <w:tc>
                <w:tcPr>
                  <w:tcW w:w="4007" w:type="dxa"/>
                  <w:vMerge w:val="continue"/>
                  <w:tcBorders>
                    <w:tl2br w:val="nil"/>
                    <w:tr2bl w:val="nil"/>
                  </w:tcBorders>
                  <w:noWrap w:val="0"/>
                  <w:vAlign w:val="center"/>
                </w:tcPr>
                <w:p w14:paraId="1BFAE5C1">
                  <w:pPr>
                    <w:jc w:val="center"/>
                    <w:rPr>
                      <w:rFonts w:hint="eastAsia" w:ascii="宋体" w:hAnsi="宋体" w:eastAsia="宋体" w:cs="宋体"/>
                      <w:color w:val="000000" w:themeColor="text1"/>
                      <w:kern w:val="0"/>
                      <w:sz w:val="21"/>
                      <w:szCs w:val="21"/>
                      <w:highlight w:val="none"/>
                      <w14:textFill>
                        <w14:solidFill>
                          <w14:schemeClr w14:val="tx1"/>
                        </w14:solidFill>
                      </w14:textFill>
                    </w:rPr>
                  </w:pPr>
                </w:p>
              </w:tc>
            </w:tr>
            <w:tr w14:paraId="0052274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99" w:hRule="atLeast"/>
              </w:trPr>
              <w:tc>
                <w:tcPr>
                  <w:tcW w:w="1636" w:type="dxa"/>
                  <w:tcBorders>
                    <w:tl2br w:val="nil"/>
                    <w:tr2bl w:val="nil"/>
                  </w:tcBorders>
                  <w:noWrap w:val="0"/>
                  <w:vAlign w:val="center"/>
                </w:tcPr>
                <w:p w14:paraId="062A04ED">
                  <w:pPr>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化学需氧量（mg/L）</w:t>
                  </w:r>
                </w:p>
              </w:tc>
              <w:tc>
                <w:tcPr>
                  <w:tcW w:w="1774" w:type="dxa"/>
                  <w:tcBorders>
                    <w:tl2br w:val="nil"/>
                    <w:tr2bl w:val="nil"/>
                  </w:tcBorders>
                  <w:noWrap w:val="0"/>
                  <w:vAlign w:val="center"/>
                </w:tcPr>
                <w:p w14:paraId="2BAE6548">
                  <w:pPr>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80</w:t>
                  </w:r>
                </w:p>
              </w:tc>
              <w:tc>
                <w:tcPr>
                  <w:tcW w:w="1440" w:type="dxa"/>
                  <w:vMerge w:val="continue"/>
                  <w:tcBorders>
                    <w:tl2br w:val="nil"/>
                    <w:tr2bl w:val="nil"/>
                  </w:tcBorders>
                  <w:noWrap w:val="0"/>
                  <w:vAlign w:val="center"/>
                </w:tcPr>
                <w:p w14:paraId="7A2C8F58">
                  <w:pPr>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p>
              </w:tc>
              <w:tc>
                <w:tcPr>
                  <w:tcW w:w="4007" w:type="dxa"/>
                  <w:vMerge w:val="continue"/>
                  <w:tcBorders>
                    <w:tl2br w:val="nil"/>
                    <w:tr2bl w:val="nil"/>
                  </w:tcBorders>
                  <w:noWrap w:val="0"/>
                  <w:vAlign w:val="center"/>
                </w:tcPr>
                <w:p w14:paraId="302568CC">
                  <w:pPr>
                    <w:jc w:val="center"/>
                    <w:rPr>
                      <w:rFonts w:hint="eastAsia" w:ascii="宋体" w:hAnsi="宋体" w:eastAsia="宋体" w:cs="宋体"/>
                      <w:color w:val="000000" w:themeColor="text1"/>
                      <w:kern w:val="0"/>
                      <w:sz w:val="21"/>
                      <w:szCs w:val="21"/>
                      <w:highlight w:val="none"/>
                      <w14:textFill>
                        <w14:solidFill>
                          <w14:schemeClr w14:val="tx1"/>
                        </w14:solidFill>
                      </w14:textFill>
                    </w:rPr>
                  </w:pPr>
                </w:p>
              </w:tc>
            </w:tr>
            <w:tr w14:paraId="77AEF69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1636" w:type="dxa"/>
                  <w:tcBorders>
                    <w:tl2br w:val="nil"/>
                    <w:tr2bl w:val="nil"/>
                  </w:tcBorders>
                  <w:noWrap w:val="0"/>
                  <w:vAlign w:val="center"/>
                </w:tcPr>
                <w:p w14:paraId="05EDC25F">
                  <w:pPr>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氨氮（mg/L）</w:t>
                  </w:r>
                </w:p>
              </w:tc>
              <w:tc>
                <w:tcPr>
                  <w:tcW w:w="1774" w:type="dxa"/>
                  <w:tcBorders>
                    <w:tl2br w:val="nil"/>
                    <w:tr2bl w:val="nil"/>
                  </w:tcBorders>
                  <w:noWrap w:val="0"/>
                  <w:vAlign w:val="center"/>
                </w:tcPr>
                <w:p w14:paraId="3EC137B6">
                  <w:pPr>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15</w:t>
                  </w:r>
                </w:p>
              </w:tc>
              <w:tc>
                <w:tcPr>
                  <w:tcW w:w="1440" w:type="dxa"/>
                  <w:vMerge w:val="continue"/>
                  <w:tcBorders>
                    <w:tl2br w:val="nil"/>
                    <w:tr2bl w:val="nil"/>
                  </w:tcBorders>
                  <w:noWrap w:val="0"/>
                  <w:vAlign w:val="center"/>
                </w:tcPr>
                <w:p w14:paraId="404A0F73">
                  <w:pPr>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p>
              </w:tc>
              <w:tc>
                <w:tcPr>
                  <w:tcW w:w="4007" w:type="dxa"/>
                  <w:vMerge w:val="continue"/>
                  <w:tcBorders>
                    <w:tl2br w:val="nil"/>
                    <w:tr2bl w:val="nil"/>
                  </w:tcBorders>
                  <w:noWrap w:val="0"/>
                  <w:vAlign w:val="center"/>
                </w:tcPr>
                <w:p w14:paraId="4E2E04B1">
                  <w:pPr>
                    <w:jc w:val="center"/>
                    <w:rPr>
                      <w:rFonts w:hint="eastAsia" w:ascii="宋体" w:hAnsi="宋体" w:eastAsia="宋体" w:cs="宋体"/>
                      <w:color w:val="000000" w:themeColor="text1"/>
                      <w:kern w:val="0"/>
                      <w:sz w:val="21"/>
                      <w:szCs w:val="21"/>
                      <w:highlight w:val="none"/>
                      <w14:textFill>
                        <w14:solidFill>
                          <w14:schemeClr w14:val="tx1"/>
                        </w14:solidFill>
                      </w14:textFill>
                    </w:rPr>
                  </w:pPr>
                </w:p>
              </w:tc>
            </w:tr>
            <w:tr w14:paraId="2257A0B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1636" w:type="dxa"/>
                  <w:tcBorders>
                    <w:tl2br w:val="nil"/>
                    <w:tr2bl w:val="nil"/>
                  </w:tcBorders>
                  <w:noWrap w:val="0"/>
                  <w:vAlign w:val="center"/>
                </w:tcPr>
                <w:p w14:paraId="38EC950C">
                  <w:pPr>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悬浮物</w:t>
                  </w:r>
                  <w:r>
                    <w:rPr>
                      <w:rFonts w:hint="eastAsia" w:ascii="宋体" w:hAnsi="宋体" w:eastAsia="宋体" w:cs="宋体"/>
                      <w:color w:val="000000" w:themeColor="text1"/>
                      <w:sz w:val="21"/>
                      <w:szCs w:val="21"/>
                      <w14:textFill>
                        <w14:solidFill>
                          <w14:schemeClr w14:val="tx1"/>
                        </w14:solidFill>
                      </w14:textFill>
                    </w:rPr>
                    <w:t>（mg/L）</w:t>
                  </w:r>
                </w:p>
              </w:tc>
              <w:tc>
                <w:tcPr>
                  <w:tcW w:w="1774" w:type="dxa"/>
                  <w:tcBorders>
                    <w:tl2br w:val="nil"/>
                    <w:tr2bl w:val="nil"/>
                  </w:tcBorders>
                  <w:noWrap w:val="0"/>
                  <w:vAlign w:val="center"/>
                </w:tcPr>
                <w:p w14:paraId="6E0F7528">
                  <w:pPr>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60</w:t>
                  </w:r>
                </w:p>
              </w:tc>
              <w:tc>
                <w:tcPr>
                  <w:tcW w:w="1440" w:type="dxa"/>
                  <w:vMerge w:val="continue"/>
                  <w:tcBorders>
                    <w:tl2br w:val="nil"/>
                    <w:tr2bl w:val="nil"/>
                  </w:tcBorders>
                  <w:noWrap w:val="0"/>
                  <w:vAlign w:val="center"/>
                </w:tcPr>
                <w:p w14:paraId="1A0B948D">
                  <w:pPr>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p>
              </w:tc>
              <w:tc>
                <w:tcPr>
                  <w:tcW w:w="4007" w:type="dxa"/>
                  <w:vMerge w:val="continue"/>
                  <w:tcBorders>
                    <w:tl2br w:val="nil"/>
                    <w:tr2bl w:val="nil"/>
                  </w:tcBorders>
                  <w:noWrap w:val="0"/>
                  <w:vAlign w:val="center"/>
                </w:tcPr>
                <w:p w14:paraId="4B83AD87">
                  <w:pPr>
                    <w:jc w:val="center"/>
                    <w:rPr>
                      <w:rFonts w:hint="eastAsia" w:ascii="宋体" w:hAnsi="宋体" w:eastAsia="宋体" w:cs="宋体"/>
                      <w:color w:val="000000" w:themeColor="text1"/>
                      <w:kern w:val="0"/>
                      <w:sz w:val="21"/>
                      <w:szCs w:val="21"/>
                      <w:highlight w:val="none"/>
                      <w14:textFill>
                        <w14:solidFill>
                          <w14:schemeClr w14:val="tx1"/>
                        </w14:solidFill>
                      </w14:textFill>
                    </w:rPr>
                  </w:pPr>
                </w:p>
              </w:tc>
            </w:tr>
            <w:tr w14:paraId="70A96D4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1636" w:type="dxa"/>
                  <w:tcBorders>
                    <w:tl2br w:val="nil"/>
                    <w:tr2bl w:val="nil"/>
                  </w:tcBorders>
                  <w:noWrap w:val="0"/>
                  <w:vAlign w:val="center"/>
                </w:tcPr>
                <w:p w14:paraId="6373A569">
                  <w:pPr>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粪大肠菌群（</w:t>
                  </w:r>
                  <w:r>
                    <w:rPr>
                      <w:rFonts w:hint="eastAsia" w:ascii="宋体" w:hAnsi="宋体" w:eastAsia="宋体" w:cs="宋体"/>
                      <w:color w:val="000000" w:themeColor="text1"/>
                      <w:sz w:val="21"/>
                      <w:szCs w:val="21"/>
                      <w:highlight w:val="none"/>
                      <w:lang w:val="en-US" w:eastAsia="zh-CN"/>
                      <w14:textFill>
                        <w14:solidFill>
                          <w14:schemeClr w14:val="tx1"/>
                        </w14:solidFill>
                      </w14:textFill>
                    </w:rPr>
                    <w:t>MPN</w:t>
                  </w:r>
                  <w:r>
                    <w:rPr>
                      <w:rFonts w:hint="eastAsia" w:ascii="宋体" w:hAnsi="宋体" w:eastAsia="宋体" w:cs="宋体"/>
                      <w:color w:val="000000" w:themeColor="text1"/>
                      <w:sz w:val="21"/>
                      <w:szCs w:val="21"/>
                      <w:highlight w:val="none"/>
                      <w14:textFill>
                        <w14:solidFill>
                          <w14:schemeClr w14:val="tx1"/>
                        </w14:solidFill>
                      </w14:textFill>
                    </w:rPr>
                    <w:t>/L）</w:t>
                  </w:r>
                </w:p>
              </w:tc>
              <w:tc>
                <w:tcPr>
                  <w:tcW w:w="1774" w:type="dxa"/>
                  <w:tcBorders>
                    <w:tl2br w:val="nil"/>
                    <w:tr2bl w:val="nil"/>
                  </w:tcBorders>
                  <w:noWrap w:val="0"/>
                  <w:vAlign w:val="center"/>
                </w:tcPr>
                <w:p w14:paraId="32221743">
                  <w:pPr>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5000</w:t>
                  </w:r>
                </w:p>
              </w:tc>
              <w:tc>
                <w:tcPr>
                  <w:tcW w:w="1440" w:type="dxa"/>
                  <w:vMerge w:val="continue"/>
                  <w:tcBorders>
                    <w:tl2br w:val="nil"/>
                    <w:tr2bl w:val="nil"/>
                  </w:tcBorders>
                  <w:noWrap w:val="0"/>
                  <w:vAlign w:val="center"/>
                </w:tcPr>
                <w:p w14:paraId="03699E95">
                  <w:pPr>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p>
              </w:tc>
              <w:tc>
                <w:tcPr>
                  <w:tcW w:w="4007" w:type="dxa"/>
                  <w:vMerge w:val="continue"/>
                  <w:tcBorders>
                    <w:tl2br w:val="nil"/>
                    <w:tr2bl w:val="nil"/>
                  </w:tcBorders>
                  <w:noWrap w:val="0"/>
                  <w:vAlign w:val="center"/>
                </w:tcPr>
                <w:p w14:paraId="01BF4950">
                  <w:pPr>
                    <w:jc w:val="center"/>
                    <w:rPr>
                      <w:rFonts w:hint="eastAsia" w:ascii="宋体" w:hAnsi="宋体" w:eastAsia="宋体" w:cs="宋体"/>
                      <w:color w:val="000000" w:themeColor="text1"/>
                      <w:kern w:val="0"/>
                      <w:sz w:val="21"/>
                      <w:szCs w:val="21"/>
                      <w:highlight w:val="none"/>
                      <w14:textFill>
                        <w14:solidFill>
                          <w14:schemeClr w14:val="tx1"/>
                        </w14:solidFill>
                      </w14:textFill>
                    </w:rPr>
                  </w:pPr>
                </w:p>
              </w:tc>
            </w:tr>
            <w:tr w14:paraId="2B03F86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1636" w:type="dxa"/>
                  <w:tcBorders>
                    <w:tl2br w:val="nil"/>
                    <w:tr2bl w:val="nil"/>
                  </w:tcBorders>
                  <w:noWrap w:val="0"/>
                  <w:vAlign w:val="center"/>
                </w:tcPr>
                <w:p w14:paraId="74D1A450">
                  <w:pPr>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动植物油</w:t>
                  </w:r>
                  <w:r>
                    <w:rPr>
                      <w:rFonts w:hint="eastAsia" w:ascii="宋体" w:hAnsi="宋体" w:eastAsia="宋体" w:cs="宋体"/>
                      <w:color w:val="000000" w:themeColor="text1"/>
                      <w:sz w:val="21"/>
                      <w:szCs w:val="21"/>
                      <w:highlight w:val="none"/>
                      <w14:textFill>
                        <w14:solidFill>
                          <w14:schemeClr w14:val="tx1"/>
                        </w14:solidFill>
                      </w14:textFill>
                    </w:rPr>
                    <w:t>（mg/L）</w:t>
                  </w:r>
                </w:p>
              </w:tc>
              <w:tc>
                <w:tcPr>
                  <w:tcW w:w="1774" w:type="dxa"/>
                  <w:tcBorders>
                    <w:tl2br w:val="nil"/>
                    <w:tr2bl w:val="nil"/>
                  </w:tcBorders>
                  <w:noWrap w:val="0"/>
                  <w:vAlign w:val="center"/>
                </w:tcPr>
                <w:p w14:paraId="45CBE42A">
                  <w:pPr>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15</w:t>
                  </w:r>
                </w:p>
              </w:tc>
              <w:tc>
                <w:tcPr>
                  <w:tcW w:w="1440" w:type="dxa"/>
                  <w:vMerge w:val="continue"/>
                  <w:tcBorders>
                    <w:tl2br w:val="nil"/>
                    <w:tr2bl w:val="nil"/>
                  </w:tcBorders>
                  <w:noWrap w:val="0"/>
                  <w:vAlign w:val="center"/>
                </w:tcPr>
                <w:p w14:paraId="225B953B">
                  <w:pPr>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p>
              </w:tc>
              <w:tc>
                <w:tcPr>
                  <w:tcW w:w="4007" w:type="dxa"/>
                  <w:vMerge w:val="continue"/>
                  <w:tcBorders>
                    <w:tl2br w:val="nil"/>
                    <w:tr2bl w:val="nil"/>
                  </w:tcBorders>
                  <w:noWrap w:val="0"/>
                  <w:vAlign w:val="center"/>
                </w:tcPr>
                <w:p w14:paraId="17A08F8E">
                  <w:pPr>
                    <w:jc w:val="center"/>
                    <w:rPr>
                      <w:rFonts w:hint="eastAsia" w:ascii="宋体" w:hAnsi="宋体" w:eastAsia="宋体" w:cs="宋体"/>
                      <w:color w:val="000000" w:themeColor="text1"/>
                      <w:kern w:val="0"/>
                      <w:sz w:val="21"/>
                      <w:szCs w:val="21"/>
                      <w:highlight w:val="none"/>
                      <w14:textFill>
                        <w14:solidFill>
                          <w14:schemeClr w14:val="tx1"/>
                        </w14:solidFill>
                      </w14:textFill>
                    </w:rPr>
                  </w:pPr>
                </w:p>
              </w:tc>
            </w:tr>
            <w:tr w14:paraId="2A92C5E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1636" w:type="dxa"/>
                  <w:tcBorders>
                    <w:tl2br w:val="nil"/>
                    <w:tr2bl w:val="nil"/>
                  </w:tcBorders>
                  <w:noWrap w:val="0"/>
                  <w:vAlign w:val="center"/>
                </w:tcPr>
                <w:p w14:paraId="083778E3">
                  <w:pPr>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总磷</w:t>
                  </w:r>
                  <w:r>
                    <w:rPr>
                      <w:rFonts w:hint="eastAsia" w:ascii="宋体" w:hAnsi="宋体" w:eastAsia="宋体" w:cs="宋体"/>
                      <w:color w:val="000000" w:themeColor="text1"/>
                      <w:sz w:val="21"/>
                      <w:szCs w:val="21"/>
                      <w:highlight w:val="none"/>
                      <w14:textFill>
                        <w14:solidFill>
                          <w14:schemeClr w14:val="tx1"/>
                        </w14:solidFill>
                      </w14:textFill>
                    </w:rPr>
                    <w:t>（mg/L）</w:t>
                  </w:r>
                </w:p>
              </w:tc>
              <w:tc>
                <w:tcPr>
                  <w:tcW w:w="1774" w:type="dxa"/>
                  <w:tcBorders>
                    <w:tl2br w:val="nil"/>
                    <w:tr2bl w:val="nil"/>
                  </w:tcBorders>
                  <w:noWrap w:val="0"/>
                  <w:vAlign w:val="center"/>
                </w:tcPr>
                <w:p w14:paraId="3557C716">
                  <w:pPr>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0.5</w:t>
                  </w:r>
                </w:p>
              </w:tc>
              <w:tc>
                <w:tcPr>
                  <w:tcW w:w="1440" w:type="dxa"/>
                  <w:vMerge w:val="continue"/>
                  <w:tcBorders>
                    <w:tl2br w:val="nil"/>
                    <w:tr2bl w:val="nil"/>
                  </w:tcBorders>
                  <w:noWrap w:val="0"/>
                  <w:vAlign w:val="center"/>
                </w:tcPr>
                <w:p w14:paraId="03960A03">
                  <w:pPr>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p>
              </w:tc>
              <w:tc>
                <w:tcPr>
                  <w:tcW w:w="4007" w:type="dxa"/>
                  <w:vMerge w:val="continue"/>
                  <w:tcBorders>
                    <w:tl2br w:val="nil"/>
                    <w:tr2bl w:val="nil"/>
                  </w:tcBorders>
                  <w:noWrap w:val="0"/>
                  <w:vAlign w:val="center"/>
                </w:tcPr>
                <w:p w14:paraId="1CCFEBCE">
                  <w:pPr>
                    <w:jc w:val="center"/>
                    <w:rPr>
                      <w:rFonts w:hint="eastAsia" w:ascii="宋体" w:hAnsi="宋体" w:eastAsia="宋体" w:cs="宋体"/>
                      <w:color w:val="000000" w:themeColor="text1"/>
                      <w:kern w:val="0"/>
                      <w:sz w:val="21"/>
                      <w:szCs w:val="21"/>
                      <w:highlight w:val="none"/>
                      <w14:textFill>
                        <w14:solidFill>
                          <w14:schemeClr w14:val="tx1"/>
                        </w14:solidFill>
                      </w14:textFill>
                    </w:rPr>
                  </w:pPr>
                </w:p>
              </w:tc>
            </w:tr>
            <w:tr w14:paraId="2FB1437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1636" w:type="dxa"/>
                  <w:tcBorders>
                    <w:tl2br w:val="nil"/>
                    <w:tr2bl w:val="nil"/>
                  </w:tcBorders>
                  <w:shd w:val="clear" w:color="auto" w:fill="auto"/>
                  <w:noWrap w:val="0"/>
                  <w:vAlign w:val="center"/>
                </w:tcPr>
                <w:p w14:paraId="163FB3F9">
                  <w:pPr>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总氮</w:t>
                  </w:r>
                  <w:r>
                    <w:rPr>
                      <w:rFonts w:hint="eastAsia" w:ascii="宋体" w:hAnsi="宋体" w:eastAsia="宋体" w:cs="宋体"/>
                      <w:color w:val="000000" w:themeColor="text1"/>
                      <w:sz w:val="21"/>
                      <w:szCs w:val="21"/>
                      <w:highlight w:val="none"/>
                      <w14:textFill>
                        <w14:solidFill>
                          <w14:schemeClr w14:val="tx1"/>
                        </w14:solidFill>
                      </w14:textFill>
                    </w:rPr>
                    <w:t>（mg/L）</w:t>
                  </w:r>
                </w:p>
              </w:tc>
              <w:tc>
                <w:tcPr>
                  <w:tcW w:w="1774" w:type="dxa"/>
                  <w:tcBorders>
                    <w:tl2br w:val="nil"/>
                    <w:tr2bl w:val="nil"/>
                  </w:tcBorders>
                  <w:noWrap w:val="0"/>
                  <w:vAlign w:val="center"/>
                </w:tcPr>
                <w:p w14:paraId="45CF5E07">
                  <w:pPr>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15</w:t>
                  </w:r>
                </w:p>
              </w:tc>
              <w:tc>
                <w:tcPr>
                  <w:tcW w:w="1440" w:type="dxa"/>
                  <w:vMerge w:val="continue"/>
                  <w:tcBorders>
                    <w:tl2br w:val="nil"/>
                    <w:tr2bl w:val="nil"/>
                  </w:tcBorders>
                  <w:noWrap w:val="0"/>
                  <w:vAlign w:val="center"/>
                </w:tcPr>
                <w:p w14:paraId="7F63FD8F">
                  <w:pPr>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p>
              </w:tc>
              <w:tc>
                <w:tcPr>
                  <w:tcW w:w="4007" w:type="dxa"/>
                  <w:vMerge w:val="continue"/>
                  <w:tcBorders>
                    <w:tl2br w:val="nil"/>
                    <w:tr2bl w:val="nil"/>
                  </w:tcBorders>
                  <w:noWrap w:val="0"/>
                  <w:vAlign w:val="center"/>
                </w:tcPr>
                <w:p w14:paraId="3B3C0112">
                  <w:pPr>
                    <w:jc w:val="center"/>
                    <w:rPr>
                      <w:rFonts w:hint="eastAsia" w:ascii="宋体" w:hAnsi="宋体" w:eastAsia="宋体" w:cs="宋体"/>
                      <w:color w:val="000000" w:themeColor="text1"/>
                      <w:kern w:val="0"/>
                      <w:sz w:val="21"/>
                      <w:szCs w:val="21"/>
                      <w:highlight w:val="none"/>
                      <w14:textFill>
                        <w14:solidFill>
                          <w14:schemeClr w14:val="tx1"/>
                        </w14:solidFill>
                      </w14:textFill>
                    </w:rPr>
                  </w:pPr>
                </w:p>
              </w:tc>
            </w:tr>
            <w:tr w14:paraId="18FAC7E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1636" w:type="dxa"/>
                  <w:tcBorders>
                    <w:tl2br w:val="nil"/>
                    <w:tr2bl w:val="nil"/>
                  </w:tcBorders>
                  <w:shd w:val="clear" w:color="auto" w:fill="auto"/>
                  <w:noWrap w:val="0"/>
                  <w:vAlign w:val="center"/>
                </w:tcPr>
                <w:p w14:paraId="3FCDC8D6">
                  <w:pPr>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shd w:val="clear"/>
                      <w:lang w:val="en-US" w:eastAsia="zh-CN"/>
                      <w14:textFill>
                        <w14:solidFill>
                          <w14:schemeClr w14:val="tx1"/>
                        </w14:solidFill>
                      </w14:textFill>
                    </w:rPr>
                    <w:t>阴离子表面活性剂</w:t>
                  </w:r>
                  <w:r>
                    <w:rPr>
                      <w:rFonts w:hint="eastAsia" w:ascii="宋体" w:hAnsi="宋体" w:eastAsia="宋体" w:cs="宋体"/>
                      <w:color w:val="000000" w:themeColor="text1"/>
                      <w:sz w:val="21"/>
                      <w:szCs w:val="21"/>
                      <w:shd w:val="clear"/>
                      <w:lang w:eastAsia="zh-CN"/>
                      <w14:textFill>
                        <w14:solidFill>
                          <w14:schemeClr w14:val="tx1"/>
                        </w14:solidFill>
                      </w14:textFill>
                    </w:rPr>
                    <w:t>（mg/L）</w:t>
                  </w:r>
                </w:p>
              </w:tc>
              <w:tc>
                <w:tcPr>
                  <w:tcW w:w="1774" w:type="dxa"/>
                  <w:tcBorders>
                    <w:tl2br w:val="nil"/>
                    <w:tr2bl w:val="nil"/>
                  </w:tcBorders>
                  <w:noWrap w:val="0"/>
                  <w:vAlign w:val="center"/>
                </w:tcPr>
                <w:p w14:paraId="6D002556">
                  <w:pPr>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w:t>
                  </w:r>
                </w:p>
              </w:tc>
              <w:tc>
                <w:tcPr>
                  <w:tcW w:w="1440" w:type="dxa"/>
                  <w:vMerge w:val="continue"/>
                  <w:tcBorders>
                    <w:tl2br w:val="nil"/>
                    <w:tr2bl w:val="nil"/>
                  </w:tcBorders>
                  <w:noWrap w:val="0"/>
                  <w:vAlign w:val="center"/>
                </w:tcPr>
                <w:p w14:paraId="11AE6E1C">
                  <w:pPr>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p>
              </w:tc>
              <w:tc>
                <w:tcPr>
                  <w:tcW w:w="4007" w:type="dxa"/>
                  <w:vMerge w:val="continue"/>
                  <w:tcBorders>
                    <w:tl2br w:val="nil"/>
                    <w:tr2bl w:val="nil"/>
                  </w:tcBorders>
                  <w:noWrap w:val="0"/>
                  <w:vAlign w:val="center"/>
                </w:tcPr>
                <w:p w14:paraId="5E46709B">
                  <w:pPr>
                    <w:jc w:val="center"/>
                    <w:rPr>
                      <w:rFonts w:hint="eastAsia" w:ascii="宋体" w:hAnsi="宋体" w:eastAsia="宋体" w:cs="宋体"/>
                      <w:color w:val="000000" w:themeColor="text1"/>
                      <w:kern w:val="0"/>
                      <w:sz w:val="21"/>
                      <w:szCs w:val="21"/>
                      <w:highlight w:val="none"/>
                      <w14:textFill>
                        <w14:solidFill>
                          <w14:schemeClr w14:val="tx1"/>
                        </w14:solidFill>
                      </w14:textFill>
                    </w:rPr>
                  </w:pPr>
                </w:p>
              </w:tc>
            </w:tr>
          </w:tbl>
          <w:p w14:paraId="7BBEA3C3">
            <w:pPr>
              <w:spacing w:line="240" w:lineRule="auto"/>
              <w:rPr>
                <w:rFonts w:hint="default" w:ascii="Times New Roman" w:hAnsi="Times New Roman" w:cs="Times New Roman"/>
                <w:color w:val="auto"/>
                <w:sz w:val="28"/>
                <w:szCs w:val="28"/>
                <w:highlight w:val="none"/>
              </w:rPr>
            </w:pPr>
          </w:p>
          <w:p w14:paraId="715836D3">
            <w:pPr>
              <w:pStyle w:val="20"/>
              <w:spacing w:before="261" w:line="219" w:lineRule="auto"/>
              <w:rPr>
                <w:rFonts w:hint="eastAsia" w:ascii="宋体" w:hAnsi="宋体" w:eastAsia="宋体" w:cs="宋体"/>
                <w:b/>
                <w:bCs/>
                <w:color w:val="auto"/>
                <w:sz w:val="28"/>
                <w:szCs w:val="28"/>
                <w:highlight w:val="none"/>
                <w:lang w:val="en-US" w:eastAsia="zh-CN"/>
              </w:rPr>
            </w:pPr>
          </w:p>
        </w:tc>
      </w:tr>
    </w:tbl>
    <w:p w14:paraId="000B296D">
      <w:pPr>
        <w:pStyle w:val="11"/>
        <w:spacing w:after="0"/>
        <w:ind w:left="0" w:leftChars="0" w:right="0" w:rightChars="0" w:firstLine="0" w:firstLineChars="0"/>
        <w:jc w:val="left"/>
        <w:rPr>
          <w:rStyle w:val="18"/>
          <w:rFonts w:hint="default" w:ascii="Times New Roman" w:hAnsi="Times New Roman" w:cs="Times New Roman"/>
          <w:color w:val="auto"/>
          <w:sz w:val="28"/>
          <w:szCs w:val="28"/>
          <w:highlight w:val="none"/>
        </w:rPr>
      </w:pPr>
      <w:bookmarkStart w:id="12" w:name="_Toc27330"/>
      <w:r>
        <w:rPr>
          <w:rStyle w:val="18"/>
          <w:rFonts w:hint="default" w:ascii="Times New Roman" w:hAnsi="Times New Roman" w:cs="Times New Roman"/>
          <w:color w:val="auto"/>
          <w:sz w:val="28"/>
          <w:szCs w:val="28"/>
          <w:highlight w:val="none"/>
        </w:rPr>
        <w:t>表</w:t>
      </w:r>
      <w:r>
        <w:rPr>
          <w:rStyle w:val="18"/>
          <w:rFonts w:hint="default" w:ascii="Times New Roman" w:hAnsi="Times New Roman" w:cs="Times New Roman"/>
          <w:color w:val="auto"/>
          <w:sz w:val="28"/>
          <w:szCs w:val="28"/>
          <w:highlight w:val="none"/>
          <w:lang w:val="en-US" w:eastAsia="zh-CN"/>
        </w:rPr>
        <w:t>六</w:t>
      </w:r>
      <w:r>
        <w:rPr>
          <w:rStyle w:val="18"/>
          <w:rFonts w:hint="default" w:ascii="Times New Roman" w:hAnsi="Times New Roman" w:cs="Times New Roman"/>
          <w:color w:val="auto"/>
          <w:sz w:val="28"/>
          <w:szCs w:val="28"/>
          <w:highlight w:val="none"/>
        </w:rPr>
        <w:t xml:space="preserve">  验收监测质量保证及质量控制</w:t>
      </w:r>
      <w:bookmarkEnd w:id="10"/>
      <w:bookmarkEnd w:id="11"/>
    </w:p>
    <w:bookmarkEnd w:id="12"/>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7CAC6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7" w:hRule="atLeast"/>
        </w:trPr>
        <w:tc>
          <w:tcPr>
            <w:tcW w:w="8522" w:type="dxa"/>
          </w:tcPr>
          <w:p w14:paraId="600F18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验收监测分析方法采用国家有关部门颁布的标准（或推荐）分析方法，监测人员经过考核并持有合格证书；测量检测仪器定期经计量部门检定合格，并在有效使用期内使用；监测数据严格实行三级审核制度</w:t>
            </w:r>
            <w:r>
              <w:rPr>
                <w:rFonts w:hint="eastAsia" w:ascii="宋体" w:hAnsi="宋体" w:eastAsia="宋体" w:cs="宋体"/>
                <w:color w:val="auto"/>
                <w:sz w:val="24"/>
                <w:szCs w:val="24"/>
                <w:lang w:eastAsia="zh-CN"/>
              </w:rPr>
              <w:t>。</w:t>
            </w:r>
          </w:p>
          <w:p w14:paraId="481158C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bookmarkStart w:id="13" w:name="_Toc18956"/>
            <w:r>
              <w:rPr>
                <w:rFonts w:hint="eastAsia" w:ascii="宋体" w:hAnsi="宋体" w:eastAsia="宋体" w:cs="宋体"/>
                <w:b/>
                <w:bCs/>
                <w:color w:val="auto"/>
                <w:sz w:val="24"/>
                <w:szCs w:val="24"/>
                <w:highlight w:val="none"/>
              </w:rPr>
              <w:t>6.1废气监测分析过程中的质量保证和质量控制</w:t>
            </w:r>
            <w:bookmarkEnd w:id="13"/>
          </w:p>
          <w:p w14:paraId="7620E2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废气监测选用国标及国标推荐的监测分析方法，</w:t>
            </w:r>
            <w:r>
              <w:rPr>
                <w:rFonts w:hint="eastAsia" w:ascii="宋体" w:hAnsi="宋体" w:eastAsia="宋体" w:cs="宋体"/>
                <w:color w:val="auto"/>
                <w:sz w:val="24"/>
                <w:szCs w:val="24"/>
                <w:lang w:val="en-US" w:eastAsia="zh-CN"/>
              </w:rPr>
              <w:t>本项目</w:t>
            </w:r>
            <w:r>
              <w:rPr>
                <w:rFonts w:hint="eastAsia" w:ascii="宋体" w:hAnsi="宋体" w:eastAsia="宋体" w:cs="宋体"/>
                <w:color w:val="auto"/>
                <w:sz w:val="24"/>
                <w:szCs w:val="24"/>
              </w:rPr>
              <w:t>废气监测方法见表</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，废气</w:t>
            </w:r>
            <w:r>
              <w:rPr>
                <w:rFonts w:hint="eastAsia" w:ascii="宋体" w:hAnsi="宋体" w:eastAsia="宋体" w:cs="宋体"/>
                <w:color w:val="auto"/>
                <w:sz w:val="24"/>
                <w:szCs w:val="24"/>
              </w:rPr>
              <w:t>分析</w:t>
            </w:r>
            <w:r>
              <w:rPr>
                <w:rFonts w:hint="eastAsia" w:ascii="宋体" w:hAnsi="宋体" w:eastAsia="宋体" w:cs="宋体"/>
                <w:color w:val="auto"/>
                <w:sz w:val="24"/>
                <w:szCs w:val="24"/>
                <w:lang w:eastAsia="zh-CN"/>
              </w:rPr>
              <w:t>方法见表</w:t>
            </w:r>
            <w:r>
              <w:rPr>
                <w:rFonts w:hint="eastAsia" w:ascii="宋体" w:hAnsi="宋体" w:eastAsia="宋体" w:cs="宋体"/>
                <w:color w:val="auto"/>
                <w:sz w:val="24"/>
                <w:szCs w:val="24"/>
                <w:lang w:val="en-US" w:eastAsia="zh-CN"/>
              </w:rPr>
              <w:t>6-2</w:t>
            </w:r>
            <w:r>
              <w:rPr>
                <w:rFonts w:hint="eastAsia" w:ascii="宋体" w:hAnsi="宋体" w:eastAsia="宋体" w:cs="宋体"/>
                <w:color w:val="auto"/>
                <w:sz w:val="24"/>
                <w:szCs w:val="24"/>
              </w:rPr>
              <w:t>。</w:t>
            </w:r>
          </w:p>
          <w:p w14:paraId="526C8F31">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表6-1                    </w:t>
            </w:r>
            <w:r>
              <w:rPr>
                <w:rFonts w:hint="eastAsia" w:ascii="宋体" w:hAnsi="宋体" w:eastAsia="宋体" w:cs="宋体"/>
                <w:b/>
                <w:bCs/>
                <w:color w:val="auto"/>
                <w:sz w:val="24"/>
                <w:szCs w:val="24"/>
              </w:rPr>
              <w:t>废气监测方法</w:t>
            </w:r>
            <w:r>
              <w:rPr>
                <w:rFonts w:hint="eastAsia" w:ascii="宋体" w:hAnsi="宋体" w:eastAsia="宋体" w:cs="宋体"/>
                <w:b/>
                <w:bCs/>
                <w:color w:val="auto"/>
                <w:sz w:val="24"/>
                <w:szCs w:val="24"/>
                <w:lang w:eastAsia="zh-CN"/>
              </w:rPr>
              <w:t>及仪器一览表</w:t>
            </w:r>
          </w:p>
          <w:tbl>
            <w:tblPr>
              <w:tblStyle w:val="15"/>
              <w:tblW w:w="4971"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52"/>
              <w:gridCol w:w="575"/>
              <w:gridCol w:w="1579"/>
              <w:gridCol w:w="2627"/>
              <w:gridCol w:w="2010"/>
              <w:gridCol w:w="815"/>
            </w:tblGrid>
            <w:tr w14:paraId="11AB6F6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653" w:type="dxa"/>
                  <w:noWrap w:val="0"/>
                  <w:vAlign w:val="center"/>
                </w:tcPr>
                <w:p w14:paraId="3694B0C8">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cs="Times New Roman"/>
                      <w:color w:val="auto"/>
                      <w:szCs w:val="21"/>
                    </w:rPr>
                  </w:pPr>
                  <w:r>
                    <w:rPr>
                      <w:rFonts w:hint="default" w:ascii="Times New Roman" w:hAnsi="Times New Roman" w:cs="Times New Roman"/>
                      <w:b/>
                      <w:bCs/>
                      <w:color w:val="auto"/>
                      <w:kern w:val="2"/>
                      <w:sz w:val="21"/>
                      <w:szCs w:val="21"/>
                      <w:highlight w:val="none"/>
                      <w:lang w:val="en-US" w:eastAsia="zh-CN" w:bidi="ar-SA"/>
                    </w:rPr>
                    <w:t>类型</w:t>
                  </w:r>
                </w:p>
              </w:tc>
              <w:tc>
                <w:tcPr>
                  <w:tcW w:w="2154" w:type="dxa"/>
                  <w:gridSpan w:val="2"/>
                  <w:noWrap w:val="0"/>
                  <w:vAlign w:val="center"/>
                </w:tcPr>
                <w:p w14:paraId="5A137D88">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b/>
                      <w:bCs/>
                      <w:color w:val="auto"/>
                      <w:sz w:val="21"/>
                      <w:szCs w:val="21"/>
                    </w:rPr>
                  </w:pPr>
                  <w:r>
                    <w:rPr>
                      <w:rFonts w:hint="default" w:ascii="Times New Roman" w:hAnsi="Times New Roman" w:cs="Times New Roman"/>
                      <w:b/>
                      <w:bCs/>
                      <w:color w:val="auto"/>
                      <w:kern w:val="2"/>
                      <w:sz w:val="21"/>
                      <w:szCs w:val="21"/>
                      <w:highlight w:val="none"/>
                      <w:lang w:val="en-US" w:eastAsia="zh-CN" w:bidi="ar-SA"/>
                    </w:rPr>
                    <w:t>监测参数</w:t>
                  </w:r>
                </w:p>
              </w:tc>
              <w:tc>
                <w:tcPr>
                  <w:tcW w:w="2627" w:type="dxa"/>
                  <w:noWrap w:val="0"/>
                  <w:vAlign w:val="center"/>
                </w:tcPr>
                <w:p w14:paraId="7D1D3F5D">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b/>
                      <w:bCs/>
                      <w:color w:val="auto"/>
                      <w:sz w:val="21"/>
                      <w:szCs w:val="21"/>
                    </w:rPr>
                  </w:pPr>
                  <w:r>
                    <w:rPr>
                      <w:rFonts w:hint="default" w:ascii="Times New Roman" w:hAnsi="Times New Roman" w:cs="Times New Roman"/>
                      <w:b/>
                      <w:bCs/>
                      <w:color w:val="auto"/>
                      <w:kern w:val="2"/>
                      <w:sz w:val="21"/>
                      <w:szCs w:val="21"/>
                      <w:highlight w:val="none"/>
                      <w:lang w:val="en-US" w:eastAsia="zh-CN" w:bidi="ar-SA"/>
                    </w:rPr>
                    <w:t>仪器型号/名称</w:t>
                  </w:r>
                </w:p>
              </w:tc>
              <w:tc>
                <w:tcPr>
                  <w:tcW w:w="2010" w:type="dxa"/>
                  <w:noWrap w:val="0"/>
                  <w:vAlign w:val="center"/>
                </w:tcPr>
                <w:p w14:paraId="7E278509">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b/>
                      <w:bCs/>
                      <w:color w:val="auto"/>
                      <w:sz w:val="21"/>
                      <w:szCs w:val="21"/>
                    </w:rPr>
                  </w:pPr>
                  <w:r>
                    <w:rPr>
                      <w:rFonts w:hint="default" w:ascii="Times New Roman" w:hAnsi="Times New Roman" w:cs="Times New Roman"/>
                      <w:b/>
                      <w:bCs/>
                      <w:color w:val="auto"/>
                      <w:kern w:val="2"/>
                      <w:sz w:val="21"/>
                      <w:szCs w:val="21"/>
                      <w:highlight w:val="none"/>
                      <w:lang w:val="en-US" w:eastAsia="zh-CN" w:bidi="ar-SA"/>
                    </w:rPr>
                    <w:t>仪器编号</w:t>
                  </w:r>
                </w:p>
              </w:tc>
              <w:tc>
                <w:tcPr>
                  <w:tcW w:w="815" w:type="dxa"/>
                  <w:noWrap w:val="0"/>
                  <w:vAlign w:val="center"/>
                </w:tcPr>
                <w:p w14:paraId="227AF3CE">
                  <w:pPr>
                    <w:jc w:val="center"/>
                    <w:rPr>
                      <w:rFonts w:hint="default" w:ascii="Times New Roman" w:hAnsi="Times New Roman" w:eastAsia="宋体" w:cs="Times New Roman"/>
                      <w:b/>
                      <w:bCs/>
                      <w:color w:val="auto"/>
                      <w:sz w:val="21"/>
                      <w:szCs w:val="21"/>
                    </w:rPr>
                  </w:pPr>
                  <w:r>
                    <w:rPr>
                      <w:rFonts w:hint="default" w:ascii="Times New Roman" w:hAnsi="Times New Roman" w:cs="Times New Roman"/>
                      <w:b/>
                      <w:bCs/>
                      <w:color w:val="auto"/>
                      <w:sz w:val="21"/>
                      <w:szCs w:val="21"/>
                      <w:highlight w:val="none"/>
                      <w:lang w:eastAsia="zh-CN"/>
                    </w:rPr>
                    <w:t>检定有限期</w:t>
                  </w:r>
                </w:p>
              </w:tc>
            </w:tr>
            <w:tr w14:paraId="3DA08BB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29" w:hRule="atLeast"/>
                <w:jc w:val="center"/>
              </w:trPr>
              <w:tc>
                <w:tcPr>
                  <w:tcW w:w="653" w:type="dxa"/>
                  <w:vMerge w:val="restart"/>
                  <w:noWrap w:val="0"/>
                  <w:vAlign w:val="center"/>
                </w:tcPr>
                <w:p w14:paraId="348FE02B">
                  <w:pPr>
                    <w:jc w:val="center"/>
                    <w:rPr>
                      <w:rFonts w:hint="default" w:ascii="Times New Roman" w:hAnsi="Times New Roman" w:cs="Times New Roman"/>
                      <w:color w:val="auto"/>
                      <w:szCs w:val="21"/>
                    </w:rPr>
                  </w:pPr>
                  <w:r>
                    <w:rPr>
                      <w:rFonts w:hint="default" w:ascii="Times New Roman" w:hAnsi="Times New Roman" w:cs="Times New Roman"/>
                      <w:color w:val="auto"/>
                      <w:szCs w:val="21"/>
                    </w:rPr>
                    <w:t>采样信息</w:t>
                  </w:r>
                </w:p>
              </w:tc>
              <w:tc>
                <w:tcPr>
                  <w:tcW w:w="575" w:type="dxa"/>
                  <w:noWrap w:val="0"/>
                  <w:vAlign w:val="center"/>
                </w:tcPr>
                <w:p w14:paraId="7EF36186">
                  <w:pPr>
                    <w:pStyle w:val="30"/>
                    <w:adjustRightInd/>
                    <w:spacing w:line="280" w:lineRule="exact"/>
                    <w:jc w:val="center"/>
                    <w:rPr>
                      <w:rFonts w:hint="default" w:ascii="Times New Roman" w:hAnsi="Times New Roman" w:eastAsia="宋体" w:cs="Times New Roman"/>
                      <w:b w:val="0"/>
                      <w:bCs/>
                      <w:color w:val="auto"/>
                      <w:sz w:val="21"/>
                      <w:szCs w:val="21"/>
                      <w:highlight w:val="none"/>
                      <w:lang w:eastAsia="zh-CN"/>
                    </w:rPr>
                  </w:pPr>
                  <w:r>
                    <w:rPr>
                      <w:rFonts w:hint="default" w:ascii="Times New Roman" w:hAnsi="Times New Roman" w:eastAsia="宋体" w:cs="Times New Roman"/>
                      <w:b w:val="0"/>
                      <w:bCs/>
                      <w:color w:val="auto"/>
                      <w:sz w:val="21"/>
                      <w:szCs w:val="21"/>
                      <w:highlight w:val="none"/>
                      <w:lang w:eastAsia="zh-CN"/>
                    </w:rPr>
                    <w:t>有组织</w:t>
                  </w:r>
                </w:p>
              </w:tc>
              <w:tc>
                <w:tcPr>
                  <w:tcW w:w="1579" w:type="dxa"/>
                  <w:noWrap w:val="0"/>
                  <w:vAlign w:val="center"/>
                </w:tcPr>
                <w:p w14:paraId="2E846E1F">
                  <w:pPr>
                    <w:pStyle w:val="30"/>
                    <w:keepNext w:val="0"/>
                    <w:keepLines w:val="0"/>
                    <w:pageBreakBefore w:val="0"/>
                    <w:kinsoku/>
                    <w:wordWrap/>
                    <w:overflowPunct/>
                    <w:topLinePunct w:val="0"/>
                    <w:bidi w:val="0"/>
                    <w:spacing w:line="240" w:lineRule="auto"/>
                    <w:jc w:val="center"/>
                    <w:rPr>
                      <w:rFonts w:hint="default" w:ascii="Times New Roman" w:hAnsi="Times New Roman" w:eastAsia="宋体" w:cs="Times New Roman"/>
                      <w:b w:val="0"/>
                      <w:bCs w:val="0"/>
                      <w:color w:val="auto"/>
                      <w:kern w:val="2"/>
                      <w:sz w:val="21"/>
                      <w:szCs w:val="21"/>
                      <w:lang w:val="en-US" w:eastAsia="zh-CN" w:bidi="ar-SA"/>
                    </w:rPr>
                  </w:pPr>
                  <w:r>
                    <w:rPr>
                      <w:rFonts w:hint="eastAsia" w:ascii="Times New Roman" w:eastAsia="宋体" w:cs="Times New Roman"/>
                      <w:b w:val="0"/>
                      <w:bCs w:val="0"/>
                      <w:color w:val="auto"/>
                      <w:kern w:val="2"/>
                      <w:sz w:val="21"/>
                      <w:szCs w:val="21"/>
                      <w:lang w:val="en-US" w:eastAsia="zh-CN" w:bidi="ar-SA"/>
                    </w:rPr>
                    <w:t>氨、硫化氢、臭气浓度</w:t>
                  </w:r>
                </w:p>
              </w:tc>
              <w:tc>
                <w:tcPr>
                  <w:tcW w:w="2627" w:type="dxa"/>
                  <w:noWrap w:val="0"/>
                  <w:vAlign w:val="center"/>
                </w:tcPr>
                <w:p w14:paraId="3670058B">
                  <w:pPr>
                    <w:pStyle w:val="30"/>
                    <w:keepNext w:val="0"/>
                    <w:keepLines w:val="0"/>
                    <w:pageBreakBefore w:val="0"/>
                    <w:kinsoku/>
                    <w:wordWrap/>
                    <w:overflowPunct/>
                    <w:topLinePunct w:val="0"/>
                    <w:bidi w:val="0"/>
                    <w:spacing w:line="240" w:lineRule="auto"/>
                    <w:jc w:val="center"/>
                    <w:rPr>
                      <w:rFonts w:hint="default" w:ascii="Times New Roman" w:hAnsi="Times New Roman" w:eastAsia="宋体" w:cs="Times New Roman"/>
                      <w:b w:val="0"/>
                      <w:bCs w:val="0"/>
                      <w:color w:val="auto"/>
                      <w:kern w:val="2"/>
                      <w:sz w:val="21"/>
                      <w:szCs w:val="21"/>
                      <w:lang w:val="en-US" w:eastAsia="zh-CN" w:bidi="ar-SA"/>
                    </w:rPr>
                  </w:pPr>
                  <w:r>
                    <w:rPr>
                      <w:rFonts w:hint="eastAsia" w:ascii="Times New Roman" w:eastAsia="宋体" w:cs="Times New Roman"/>
                      <w:b w:val="0"/>
                      <w:bCs w:val="0"/>
                      <w:color w:val="auto"/>
                      <w:kern w:val="2"/>
                      <w:sz w:val="21"/>
                      <w:szCs w:val="21"/>
                      <w:lang w:val="en-US" w:eastAsia="zh-CN" w:bidi="ar-SA"/>
                    </w:rPr>
                    <w:t>双路烟气采样器、恶臭采样桶、ZR-3260D低浓度自动烟尘烟气综合测试仪</w:t>
                  </w:r>
                </w:p>
              </w:tc>
              <w:tc>
                <w:tcPr>
                  <w:tcW w:w="2010" w:type="dxa"/>
                  <w:noWrap w:val="0"/>
                  <w:vAlign w:val="center"/>
                </w:tcPr>
                <w:p w14:paraId="415F1253">
                  <w:pPr>
                    <w:pStyle w:val="30"/>
                    <w:keepNext w:val="0"/>
                    <w:keepLines w:val="0"/>
                    <w:pageBreakBefore w:val="0"/>
                    <w:kinsoku/>
                    <w:wordWrap/>
                    <w:overflowPunct/>
                    <w:topLinePunct w:val="0"/>
                    <w:bidi w:val="0"/>
                    <w:spacing w:line="240" w:lineRule="auto"/>
                    <w:jc w:val="center"/>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YQ-0</w:t>
                  </w:r>
                  <w:r>
                    <w:rPr>
                      <w:rFonts w:hint="eastAsia" w:cs="Times New Roman"/>
                      <w:i w:val="0"/>
                      <w:color w:val="000000" w:themeColor="text1"/>
                      <w:kern w:val="0"/>
                      <w:sz w:val="21"/>
                      <w:szCs w:val="21"/>
                      <w:highlight w:val="none"/>
                      <w:u w:val="none"/>
                      <w:lang w:val="en-US" w:eastAsia="zh-CN" w:bidi="ar"/>
                      <w14:textFill>
                        <w14:solidFill>
                          <w14:schemeClr w14:val="tx1"/>
                        </w14:solidFill>
                      </w14:textFill>
                    </w:rPr>
                    <w:t>12、</w:t>
                  </w: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YQ-</w:t>
                  </w:r>
                  <w:r>
                    <w:rPr>
                      <w:rFonts w:hint="eastAsia" w:cs="Times New Roman"/>
                      <w:i w:val="0"/>
                      <w:color w:val="000000" w:themeColor="text1"/>
                      <w:kern w:val="0"/>
                      <w:sz w:val="21"/>
                      <w:szCs w:val="21"/>
                      <w:highlight w:val="none"/>
                      <w:u w:val="none"/>
                      <w:lang w:val="en-US" w:eastAsia="zh-CN" w:bidi="ar"/>
                      <w14:textFill>
                        <w14:solidFill>
                          <w14:schemeClr w14:val="tx1"/>
                        </w14:solidFill>
                      </w14:textFill>
                    </w:rPr>
                    <w:t>134、</w:t>
                  </w: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YQ-</w:t>
                  </w:r>
                  <w:r>
                    <w:rPr>
                      <w:rFonts w:hint="eastAsia" w:cs="Times New Roman"/>
                      <w:i w:val="0"/>
                      <w:color w:val="000000" w:themeColor="text1"/>
                      <w:kern w:val="0"/>
                      <w:sz w:val="21"/>
                      <w:szCs w:val="21"/>
                      <w:highlight w:val="none"/>
                      <w:u w:val="none"/>
                      <w:lang w:val="en-US" w:eastAsia="zh-CN" w:bidi="ar"/>
                      <w14:textFill>
                        <w14:solidFill>
                          <w14:schemeClr w14:val="tx1"/>
                        </w14:solidFill>
                      </w14:textFill>
                    </w:rPr>
                    <w:t>120</w:t>
                  </w:r>
                </w:p>
              </w:tc>
              <w:tc>
                <w:tcPr>
                  <w:tcW w:w="815" w:type="dxa"/>
                  <w:vMerge w:val="restart"/>
                  <w:noWrap w:val="0"/>
                  <w:vAlign w:val="center"/>
                </w:tcPr>
                <w:p w14:paraId="48F9865C">
                  <w:pPr>
                    <w:widowControl/>
                    <w:spacing w:line="28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监测使用仪器均在检定有效期内</w:t>
                  </w:r>
                </w:p>
              </w:tc>
            </w:tr>
            <w:tr w14:paraId="50E008B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653" w:type="dxa"/>
                  <w:vMerge w:val="continue"/>
                  <w:noWrap w:val="0"/>
                  <w:vAlign w:val="center"/>
                </w:tcPr>
                <w:p w14:paraId="129106FE">
                  <w:pPr>
                    <w:jc w:val="center"/>
                    <w:rPr>
                      <w:rFonts w:hint="default" w:ascii="Times New Roman" w:hAnsi="Times New Roman" w:cs="Times New Roman"/>
                      <w:color w:val="auto"/>
                      <w:szCs w:val="21"/>
                    </w:rPr>
                  </w:pPr>
                </w:p>
              </w:tc>
              <w:tc>
                <w:tcPr>
                  <w:tcW w:w="575" w:type="dxa"/>
                  <w:noWrap w:val="0"/>
                  <w:vAlign w:val="center"/>
                </w:tcPr>
                <w:p w14:paraId="2EFEE4B6">
                  <w:pPr>
                    <w:pStyle w:val="30"/>
                    <w:adjustRightInd/>
                    <w:spacing w:line="280" w:lineRule="exact"/>
                    <w:jc w:val="center"/>
                    <w:rPr>
                      <w:rFonts w:hint="default" w:ascii="Times New Roman" w:hAnsi="Times New Roman" w:eastAsia="宋体" w:cs="Times New Roman"/>
                      <w:b w:val="0"/>
                      <w:bCs/>
                      <w:color w:val="auto"/>
                      <w:sz w:val="21"/>
                      <w:szCs w:val="21"/>
                      <w:highlight w:val="none"/>
                      <w:lang w:eastAsia="zh-CN"/>
                    </w:rPr>
                  </w:pPr>
                  <w:r>
                    <w:rPr>
                      <w:rFonts w:hint="default" w:ascii="Times New Roman" w:hAnsi="Times New Roman" w:eastAsia="宋体" w:cs="Times New Roman"/>
                      <w:b w:val="0"/>
                      <w:bCs/>
                      <w:color w:val="auto"/>
                      <w:sz w:val="21"/>
                      <w:szCs w:val="21"/>
                      <w:highlight w:val="none"/>
                      <w:lang w:eastAsia="zh-CN"/>
                    </w:rPr>
                    <w:t>无组织</w:t>
                  </w:r>
                </w:p>
              </w:tc>
              <w:tc>
                <w:tcPr>
                  <w:tcW w:w="1579" w:type="dxa"/>
                  <w:noWrap w:val="0"/>
                  <w:vAlign w:val="center"/>
                </w:tcPr>
                <w:p w14:paraId="2CD54749">
                  <w:pPr>
                    <w:keepNext w:val="0"/>
                    <w:keepLines w:val="0"/>
                    <w:pageBreakBefore w:val="0"/>
                    <w:kinsoku/>
                    <w:wordWrap/>
                    <w:overflowPunct/>
                    <w:topLinePunct w:val="0"/>
                    <w:autoSpaceDE/>
                    <w:autoSpaceDN/>
                    <w:bidi w:val="0"/>
                    <w:spacing w:line="240" w:lineRule="auto"/>
                    <w:ind w:left="-105" w:leftChars="-50" w:right="-105" w:rightChars="-50"/>
                    <w:jc w:val="center"/>
                    <w:textAlignment w:val="auto"/>
                    <w:rPr>
                      <w:rFonts w:hint="eastAsia" w:ascii="Times New Roman" w:hAnsi="Times New Roman" w:eastAsia="宋体" w:cs="Times New Roman"/>
                      <w:color w:val="auto"/>
                      <w:sz w:val="21"/>
                      <w:szCs w:val="21"/>
                      <w:lang w:eastAsia="zh-CN"/>
                    </w:rPr>
                  </w:pPr>
                  <w:r>
                    <w:rPr>
                      <w:rFonts w:hint="eastAsia" w:ascii="Times New Roman" w:eastAsia="宋体" w:cs="Times New Roman"/>
                      <w:b w:val="0"/>
                      <w:bCs w:val="0"/>
                      <w:color w:val="auto"/>
                      <w:kern w:val="2"/>
                      <w:sz w:val="21"/>
                      <w:szCs w:val="21"/>
                      <w:lang w:val="en-US" w:eastAsia="zh-CN" w:bidi="ar-SA"/>
                    </w:rPr>
                    <w:t>氨、硫化氢、臭气浓度</w:t>
                  </w:r>
                </w:p>
              </w:tc>
              <w:tc>
                <w:tcPr>
                  <w:tcW w:w="2627" w:type="dxa"/>
                  <w:noWrap w:val="0"/>
                  <w:vAlign w:val="center"/>
                </w:tcPr>
                <w:p w14:paraId="1D59438F">
                  <w:pPr>
                    <w:pStyle w:val="30"/>
                    <w:keepNext w:val="0"/>
                    <w:keepLines w:val="0"/>
                    <w:pageBreakBefore w:val="0"/>
                    <w:kinsoku/>
                    <w:wordWrap/>
                    <w:overflowPunct/>
                    <w:topLinePunct w:val="0"/>
                    <w:bidi w:val="0"/>
                    <w:spacing w:line="240" w:lineRule="auto"/>
                    <w:jc w:val="center"/>
                    <w:rPr>
                      <w:rFonts w:hint="default" w:ascii="Times New Roman" w:hAnsi="Times New Roman" w:eastAsia="宋体" w:cs="Times New Roman"/>
                      <w:b w:val="0"/>
                      <w:bCs w:val="0"/>
                      <w:color w:val="auto"/>
                      <w:kern w:val="2"/>
                      <w:sz w:val="21"/>
                      <w:szCs w:val="21"/>
                      <w:lang w:val="en-US" w:eastAsia="zh-CN" w:bidi="ar-SA"/>
                    </w:rPr>
                  </w:pPr>
                  <w:r>
                    <w:rPr>
                      <w:rFonts w:hint="eastAsia" w:ascii="Times New Roman" w:eastAsia="宋体" w:cs="Times New Roman"/>
                      <w:b w:val="0"/>
                      <w:bCs w:val="0"/>
                      <w:color w:val="auto"/>
                      <w:kern w:val="2"/>
                      <w:sz w:val="21"/>
                      <w:szCs w:val="21"/>
                      <w:lang w:val="en-US" w:eastAsia="zh-CN" w:bidi="ar-SA"/>
                    </w:rPr>
                    <w:t>ZR-3920型环境空气颗粒物采样器、臭气采样桶、真空采样箱</w:t>
                  </w:r>
                </w:p>
              </w:tc>
              <w:tc>
                <w:tcPr>
                  <w:tcW w:w="2010" w:type="dxa"/>
                  <w:noWrap w:val="0"/>
                  <w:vAlign w:val="center"/>
                </w:tcPr>
                <w:p w14:paraId="4F4EDDD9">
                  <w:pPr>
                    <w:pStyle w:val="30"/>
                    <w:keepNext w:val="0"/>
                    <w:keepLines w:val="0"/>
                    <w:pageBreakBefore w:val="0"/>
                    <w:kinsoku/>
                    <w:wordWrap/>
                    <w:overflowPunct/>
                    <w:topLinePunct w:val="0"/>
                    <w:bidi w:val="0"/>
                    <w:spacing w:line="240" w:lineRule="auto"/>
                    <w:jc w:val="center"/>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YQ-0</w:t>
                  </w:r>
                  <w:r>
                    <w:rPr>
                      <w:rFonts w:hint="eastAsia" w:cs="Times New Roman"/>
                      <w:i w:val="0"/>
                      <w:color w:val="000000" w:themeColor="text1"/>
                      <w:kern w:val="0"/>
                      <w:sz w:val="21"/>
                      <w:szCs w:val="21"/>
                      <w:highlight w:val="none"/>
                      <w:u w:val="none"/>
                      <w:lang w:val="en-US" w:eastAsia="zh-CN" w:bidi="ar"/>
                      <w14:textFill>
                        <w14:solidFill>
                          <w14:schemeClr w14:val="tx1"/>
                        </w14:solidFill>
                      </w14:textFill>
                    </w:rPr>
                    <w:t>05、</w:t>
                  </w: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0</w:t>
                  </w:r>
                  <w:r>
                    <w:rPr>
                      <w:rFonts w:hint="eastAsia" w:cs="Times New Roman"/>
                      <w:i w:val="0"/>
                      <w:color w:val="000000" w:themeColor="text1"/>
                      <w:kern w:val="0"/>
                      <w:sz w:val="21"/>
                      <w:szCs w:val="21"/>
                      <w:highlight w:val="none"/>
                      <w:u w:val="none"/>
                      <w:lang w:val="en-US" w:eastAsia="zh-CN" w:bidi="ar"/>
                      <w14:textFill>
                        <w14:solidFill>
                          <w14:schemeClr w14:val="tx1"/>
                        </w14:solidFill>
                      </w14:textFill>
                    </w:rPr>
                    <w:t>07、</w:t>
                  </w:r>
                  <w:r>
                    <w:rPr>
                      <w:rFonts w:hint="eastAsia" w:eastAsia="宋体" w:cs="Times New Roman"/>
                      <w:i w:val="0"/>
                      <w:color w:val="000000" w:themeColor="text1"/>
                      <w:kern w:val="0"/>
                      <w:sz w:val="21"/>
                      <w:szCs w:val="21"/>
                      <w:highlight w:val="none"/>
                      <w:u w:val="none"/>
                      <w:lang w:val="en-US" w:eastAsia="zh-CN" w:bidi="ar"/>
                      <w14:textFill>
                        <w14:solidFill>
                          <w14:schemeClr w14:val="tx1"/>
                        </w14:solidFill>
                      </w14:textFill>
                    </w:rPr>
                    <w:t>150</w:t>
                  </w:r>
                  <w:r>
                    <w:rPr>
                      <w:rFonts w:hint="eastAsia" w:cs="Times New Roman"/>
                      <w:i w:val="0"/>
                      <w:color w:val="000000" w:themeColor="text1"/>
                      <w:kern w:val="0"/>
                      <w:sz w:val="21"/>
                      <w:szCs w:val="21"/>
                      <w:highlight w:val="none"/>
                      <w:u w:val="none"/>
                      <w:lang w:val="en-US" w:eastAsia="zh-CN" w:bidi="ar"/>
                      <w14:textFill>
                        <w14:solidFill>
                          <w14:schemeClr w14:val="tx1"/>
                        </w14:solidFill>
                      </w14:textFill>
                    </w:rPr>
                    <w:t>、</w:t>
                  </w:r>
                  <w:r>
                    <w:rPr>
                      <w:rFonts w:hint="eastAsia" w:eastAsia="宋体" w:cs="Times New Roman"/>
                      <w:i w:val="0"/>
                      <w:color w:val="000000" w:themeColor="text1"/>
                      <w:kern w:val="0"/>
                      <w:sz w:val="21"/>
                      <w:szCs w:val="21"/>
                      <w:highlight w:val="none"/>
                      <w:u w:val="none"/>
                      <w:lang w:val="en-US" w:eastAsia="zh-CN" w:bidi="ar"/>
                      <w14:textFill>
                        <w14:solidFill>
                          <w14:schemeClr w14:val="tx1"/>
                        </w14:solidFill>
                      </w14:textFill>
                    </w:rPr>
                    <w:t>151、</w:t>
                  </w:r>
                  <w:r>
                    <w:rPr>
                      <w:rFonts w:hint="default" w:eastAsia="宋体" w:cs="Times New Roman"/>
                      <w:sz w:val="21"/>
                      <w:szCs w:val="21"/>
                      <w:lang w:val="en-US" w:eastAsia="zh-CN"/>
                    </w:rPr>
                    <w:t>YQ-</w:t>
                  </w:r>
                  <w:r>
                    <w:rPr>
                      <w:rFonts w:hint="eastAsia" w:eastAsia="宋体" w:cs="Times New Roman"/>
                      <w:sz w:val="21"/>
                      <w:szCs w:val="21"/>
                      <w:lang w:val="en-US" w:eastAsia="zh-CN"/>
                    </w:rPr>
                    <w:t>146、</w:t>
                  </w:r>
                  <w:r>
                    <w:rPr>
                      <w:rFonts w:hint="default" w:eastAsia="宋体" w:cs="Times New Roman"/>
                      <w:sz w:val="21"/>
                      <w:szCs w:val="21"/>
                      <w:lang w:val="en-US" w:eastAsia="zh-CN"/>
                    </w:rPr>
                    <w:t>YQ-</w:t>
                  </w:r>
                  <w:r>
                    <w:rPr>
                      <w:rFonts w:hint="eastAsia" w:eastAsia="宋体" w:cs="Times New Roman"/>
                      <w:sz w:val="21"/>
                      <w:szCs w:val="21"/>
                      <w:lang w:val="en-US" w:eastAsia="zh-CN"/>
                    </w:rPr>
                    <w:t>147</w:t>
                  </w:r>
                </w:p>
              </w:tc>
              <w:tc>
                <w:tcPr>
                  <w:tcW w:w="815" w:type="dxa"/>
                  <w:vMerge w:val="continue"/>
                  <w:noWrap w:val="0"/>
                  <w:vAlign w:val="center"/>
                </w:tcPr>
                <w:p w14:paraId="03C74E57">
                  <w:pPr>
                    <w:widowControl/>
                    <w:spacing w:line="280" w:lineRule="exact"/>
                    <w:rPr>
                      <w:rFonts w:hint="default" w:ascii="Times New Roman" w:hAnsi="Times New Roman" w:cs="Times New Roman"/>
                      <w:color w:val="auto"/>
                      <w:szCs w:val="21"/>
                    </w:rPr>
                  </w:pPr>
                </w:p>
              </w:tc>
            </w:tr>
          </w:tbl>
          <w:p w14:paraId="37FC2F64">
            <w:pPr>
              <w:rPr>
                <w:rFonts w:hint="default" w:ascii="Times New Roman" w:hAnsi="Times New Roman" w:cs="Times New Roman"/>
                <w:b/>
                <w:bCs/>
                <w:color w:val="auto"/>
                <w:sz w:val="24"/>
              </w:rPr>
            </w:pPr>
          </w:p>
          <w:p w14:paraId="147A745F">
            <w:pPr>
              <w:rPr>
                <w:rFonts w:hint="default" w:ascii="Times New Roman" w:hAnsi="Times New Roman" w:cs="Times New Roman"/>
                <w:color w:val="auto"/>
              </w:rPr>
            </w:pPr>
            <w:r>
              <w:rPr>
                <w:rFonts w:hint="default" w:ascii="Times New Roman" w:hAnsi="Times New Roman" w:cs="Times New Roman"/>
                <w:b/>
                <w:bCs/>
                <w:color w:val="auto"/>
                <w:sz w:val="24"/>
              </w:rPr>
              <w:t>表</w:t>
            </w:r>
            <w:r>
              <w:rPr>
                <w:rFonts w:hint="default" w:ascii="Times New Roman" w:hAnsi="Times New Roman" w:cs="Times New Roman"/>
                <w:b/>
                <w:bCs/>
                <w:color w:val="auto"/>
                <w:sz w:val="24"/>
                <w:lang w:val="en-US" w:eastAsia="zh-CN"/>
              </w:rPr>
              <w:t>6</w:t>
            </w:r>
            <w:r>
              <w:rPr>
                <w:rFonts w:hint="default" w:ascii="Times New Roman" w:hAnsi="Times New Roman" w:cs="Times New Roman"/>
                <w:b/>
                <w:bCs/>
                <w:color w:val="auto"/>
                <w:sz w:val="24"/>
              </w:rPr>
              <w:t>-</w:t>
            </w:r>
            <w:r>
              <w:rPr>
                <w:rFonts w:hint="default" w:ascii="Times New Roman" w:hAnsi="Times New Roman" w:cs="Times New Roman"/>
                <w:b/>
                <w:bCs/>
                <w:color w:val="auto"/>
                <w:sz w:val="24"/>
                <w:lang w:val="en-US" w:eastAsia="zh-CN"/>
              </w:rPr>
              <w:t>2</w:t>
            </w:r>
            <w:r>
              <w:rPr>
                <w:rFonts w:hint="default" w:ascii="Times New Roman" w:hAnsi="Times New Roman" w:cs="Times New Roman"/>
                <w:b/>
                <w:bCs/>
                <w:color w:val="auto"/>
                <w:sz w:val="24"/>
              </w:rPr>
              <w:t xml:space="preserve">                     废气分析方法</w:t>
            </w:r>
            <w:r>
              <w:rPr>
                <w:rFonts w:hint="default" w:ascii="Times New Roman" w:hAnsi="Times New Roman" w:cs="Times New Roman"/>
                <w:b/>
                <w:bCs/>
                <w:color w:val="auto"/>
                <w:sz w:val="24"/>
                <w:lang w:eastAsia="zh-CN"/>
              </w:rPr>
              <w:t>及仪器一览表</w:t>
            </w:r>
          </w:p>
          <w:tbl>
            <w:tblPr>
              <w:tblStyle w:val="15"/>
              <w:tblW w:w="4971"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74" w:type="dxa"/>
                <w:bottom w:w="0" w:type="dxa"/>
                <w:right w:w="74" w:type="dxa"/>
              </w:tblCellMar>
            </w:tblPr>
            <w:tblGrid>
              <w:gridCol w:w="593"/>
              <w:gridCol w:w="508"/>
              <w:gridCol w:w="980"/>
              <w:gridCol w:w="2062"/>
              <w:gridCol w:w="1461"/>
              <w:gridCol w:w="1012"/>
              <w:gridCol w:w="905"/>
              <w:gridCol w:w="737"/>
            </w:tblGrid>
            <w:tr w14:paraId="0DCC9FE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74" w:type="dxa"/>
                  <w:bottom w:w="0" w:type="dxa"/>
                  <w:right w:w="74" w:type="dxa"/>
                </w:tblCellMar>
              </w:tblPrEx>
              <w:trPr>
                <w:trHeight w:val="635" w:hRule="atLeast"/>
                <w:jc w:val="center"/>
              </w:trPr>
              <w:tc>
                <w:tcPr>
                  <w:tcW w:w="593" w:type="dxa"/>
                  <w:noWrap w:val="0"/>
                  <w:vAlign w:val="center"/>
                </w:tcPr>
                <w:p w14:paraId="4F410F7F">
                  <w:pPr>
                    <w:spacing w:line="240" w:lineRule="auto"/>
                    <w:jc w:val="center"/>
                    <w:rPr>
                      <w:rFonts w:hint="default" w:ascii="Times New Roman" w:hAnsi="Times New Roman" w:cs="Times New Roman"/>
                      <w:color w:val="auto"/>
                      <w:sz w:val="21"/>
                      <w:szCs w:val="21"/>
                    </w:rPr>
                  </w:pPr>
                  <w:r>
                    <w:rPr>
                      <w:rFonts w:hint="default" w:ascii="Times New Roman" w:hAnsi="Times New Roman" w:cs="Times New Roman"/>
                      <w:b/>
                      <w:bCs/>
                      <w:color w:val="auto"/>
                      <w:sz w:val="21"/>
                      <w:szCs w:val="21"/>
                      <w:lang w:eastAsia="zh-CN"/>
                    </w:rPr>
                    <w:t>类型</w:t>
                  </w:r>
                </w:p>
              </w:tc>
              <w:tc>
                <w:tcPr>
                  <w:tcW w:w="1488" w:type="dxa"/>
                  <w:gridSpan w:val="2"/>
                  <w:noWrap w:val="0"/>
                  <w:vAlign w:val="center"/>
                </w:tcPr>
                <w:p w14:paraId="76C6B258">
                  <w:pPr>
                    <w:spacing w:line="240" w:lineRule="auto"/>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lang w:eastAsia="zh-CN"/>
                    </w:rPr>
                    <w:t>监测项目</w:t>
                  </w:r>
                </w:p>
              </w:tc>
              <w:tc>
                <w:tcPr>
                  <w:tcW w:w="2062" w:type="dxa"/>
                  <w:noWrap w:val="0"/>
                  <w:vAlign w:val="center"/>
                </w:tcPr>
                <w:p w14:paraId="6B17B762">
                  <w:pPr>
                    <w:spacing w:line="240" w:lineRule="auto"/>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lang w:eastAsia="zh-CN"/>
                    </w:rPr>
                    <w:t>监测</w:t>
                  </w:r>
                  <w:r>
                    <w:rPr>
                      <w:rFonts w:hint="default" w:ascii="Times New Roman" w:hAnsi="Times New Roman" w:cs="Times New Roman"/>
                      <w:b/>
                      <w:bCs/>
                      <w:color w:val="auto"/>
                      <w:sz w:val="21"/>
                      <w:szCs w:val="21"/>
                    </w:rPr>
                    <w:t>依据</w:t>
                  </w:r>
                </w:p>
              </w:tc>
              <w:tc>
                <w:tcPr>
                  <w:tcW w:w="1461" w:type="dxa"/>
                  <w:noWrap w:val="0"/>
                  <w:vAlign w:val="center"/>
                </w:tcPr>
                <w:p w14:paraId="6CB7F97E">
                  <w:pPr>
                    <w:spacing w:line="280" w:lineRule="exact"/>
                    <w:jc w:val="center"/>
                    <w:rPr>
                      <w:rFonts w:hint="default" w:ascii="Times New Roman" w:hAnsi="Times New Roman" w:cs="Times New Roman"/>
                      <w:b/>
                      <w:bCs/>
                      <w:color w:val="auto"/>
                      <w:sz w:val="21"/>
                      <w:szCs w:val="21"/>
                    </w:rPr>
                  </w:pPr>
                  <w:r>
                    <w:rPr>
                      <w:rFonts w:hint="default" w:ascii="Times New Roman" w:hAnsi="Times New Roman" w:eastAsia="宋体" w:cs="Times New Roman"/>
                      <w:b/>
                      <w:bCs/>
                      <w:color w:val="auto"/>
                      <w:sz w:val="21"/>
                      <w:szCs w:val="21"/>
                      <w:highlight w:val="none"/>
                      <w:lang w:eastAsia="zh-CN"/>
                    </w:rPr>
                    <w:t>仪器</w:t>
                  </w:r>
                  <w:r>
                    <w:rPr>
                      <w:rFonts w:hint="default" w:ascii="Times New Roman" w:hAnsi="Times New Roman" w:cs="Times New Roman"/>
                      <w:b/>
                      <w:bCs/>
                      <w:color w:val="auto"/>
                      <w:sz w:val="21"/>
                      <w:szCs w:val="21"/>
                      <w:highlight w:val="none"/>
                      <w:lang w:eastAsia="zh-CN"/>
                    </w:rPr>
                    <w:t>型号</w:t>
                  </w:r>
                  <w:r>
                    <w:rPr>
                      <w:rFonts w:hint="default" w:ascii="Times New Roman" w:hAnsi="Times New Roman" w:cs="Times New Roman"/>
                      <w:b/>
                      <w:bCs/>
                      <w:color w:val="auto"/>
                      <w:sz w:val="21"/>
                      <w:szCs w:val="21"/>
                      <w:highlight w:val="none"/>
                      <w:lang w:val="en-US" w:eastAsia="zh-CN"/>
                    </w:rPr>
                    <w:t>/</w:t>
                  </w:r>
                  <w:r>
                    <w:rPr>
                      <w:rFonts w:hint="default" w:ascii="Times New Roman" w:hAnsi="Times New Roman" w:eastAsia="宋体" w:cs="Times New Roman"/>
                      <w:b/>
                      <w:bCs/>
                      <w:color w:val="auto"/>
                      <w:sz w:val="21"/>
                      <w:szCs w:val="21"/>
                      <w:highlight w:val="none"/>
                      <w:lang w:eastAsia="zh-CN"/>
                    </w:rPr>
                    <w:t>名称</w:t>
                  </w:r>
                </w:p>
              </w:tc>
              <w:tc>
                <w:tcPr>
                  <w:tcW w:w="1012" w:type="dxa"/>
                  <w:noWrap w:val="0"/>
                  <w:vAlign w:val="center"/>
                </w:tcPr>
                <w:p w14:paraId="39FD1889">
                  <w:pPr>
                    <w:spacing w:line="240" w:lineRule="auto"/>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仪器编号</w:t>
                  </w:r>
                </w:p>
              </w:tc>
              <w:tc>
                <w:tcPr>
                  <w:tcW w:w="905" w:type="dxa"/>
                  <w:noWrap w:val="0"/>
                  <w:vAlign w:val="center"/>
                </w:tcPr>
                <w:p w14:paraId="4973CD9B">
                  <w:pPr>
                    <w:spacing w:line="240" w:lineRule="auto"/>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检出限</w:t>
                  </w:r>
                </w:p>
              </w:tc>
              <w:tc>
                <w:tcPr>
                  <w:tcW w:w="737" w:type="dxa"/>
                  <w:noWrap w:val="0"/>
                  <w:vAlign w:val="center"/>
                </w:tcPr>
                <w:p w14:paraId="5057391B">
                  <w:pPr>
                    <w:spacing w:line="240" w:lineRule="auto"/>
                    <w:jc w:val="center"/>
                    <w:rPr>
                      <w:rFonts w:hint="default" w:ascii="Times New Roman" w:hAnsi="Times New Roman" w:cs="Times New Roman"/>
                      <w:color w:val="auto"/>
                      <w:sz w:val="21"/>
                      <w:szCs w:val="21"/>
                    </w:rPr>
                  </w:pPr>
                  <w:r>
                    <w:rPr>
                      <w:rFonts w:hint="default" w:ascii="Times New Roman" w:hAnsi="Times New Roman" w:cs="Times New Roman"/>
                      <w:b/>
                      <w:bCs/>
                      <w:color w:val="auto"/>
                      <w:sz w:val="21"/>
                      <w:szCs w:val="21"/>
                      <w:lang w:eastAsia="zh-CN"/>
                    </w:rPr>
                    <w:t>检定有效期</w:t>
                  </w:r>
                </w:p>
              </w:tc>
            </w:tr>
            <w:tr w14:paraId="12A6B5E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481" w:hRule="atLeast"/>
                <w:jc w:val="center"/>
              </w:trPr>
              <w:tc>
                <w:tcPr>
                  <w:tcW w:w="593" w:type="dxa"/>
                  <w:vMerge w:val="restart"/>
                  <w:noWrap w:val="0"/>
                  <w:vAlign w:val="center"/>
                </w:tcPr>
                <w:p w14:paraId="5C5588DC">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监测</w:t>
                  </w:r>
                </w:p>
                <w:p w14:paraId="59A2B68E">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rPr>
                    <w:t>依据及仪器</w:t>
                  </w:r>
                </w:p>
              </w:tc>
              <w:tc>
                <w:tcPr>
                  <w:tcW w:w="508" w:type="dxa"/>
                  <w:vMerge w:val="restart"/>
                  <w:noWrap w:val="0"/>
                  <w:vAlign w:val="center"/>
                </w:tcPr>
                <w:p w14:paraId="4AD72371">
                  <w:pPr>
                    <w:pStyle w:val="30"/>
                    <w:adjustRightInd/>
                    <w:spacing w:line="280" w:lineRule="exact"/>
                    <w:ind w:firstLine="0" w:firstLineChars="0"/>
                    <w:jc w:val="center"/>
                    <w:rPr>
                      <w:rFonts w:hint="default" w:ascii="Times New Roman" w:hAnsi="Times New Roman" w:eastAsia="宋体" w:cs="Times New Roman"/>
                      <w:b w:val="0"/>
                      <w:bCs/>
                      <w:color w:val="auto"/>
                      <w:kern w:val="2"/>
                      <w:sz w:val="21"/>
                      <w:szCs w:val="21"/>
                      <w:lang w:val="en-US" w:eastAsia="zh-CN" w:bidi="ar-SA"/>
                    </w:rPr>
                  </w:pPr>
                  <w:r>
                    <w:rPr>
                      <w:rFonts w:hint="default" w:ascii="Times New Roman" w:hAnsi="Times New Roman" w:eastAsia="宋体" w:cs="Times New Roman"/>
                      <w:b w:val="0"/>
                      <w:bCs/>
                      <w:color w:val="auto"/>
                      <w:sz w:val="21"/>
                      <w:szCs w:val="21"/>
                      <w:lang w:eastAsia="zh-CN"/>
                    </w:rPr>
                    <w:t>有组织</w:t>
                  </w:r>
                </w:p>
              </w:tc>
              <w:tc>
                <w:tcPr>
                  <w:tcW w:w="980" w:type="dxa"/>
                  <w:noWrap w:val="0"/>
                  <w:vAlign w:val="center"/>
                </w:tcPr>
                <w:p w14:paraId="28710B6A">
                  <w:pPr>
                    <w:pStyle w:val="30"/>
                    <w:adjustRightInd/>
                    <w:spacing w:line="280" w:lineRule="exact"/>
                    <w:jc w:val="center"/>
                    <w:rPr>
                      <w:rFonts w:hint="default" w:ascii="Times New Roman" w:hAnsi="Times New Roman" w:eastAsia="宋体" w:cs="Times New Roman"/>
                      <w:b w:val="0"/>
                      <w:bCs/>
                      <w:color w:val="auto"/>
                      <w:sz w:val="21"/>
                      <w:szCs w:val="21"/>
                      <w:lang w:val="en-US" w:eastAsia="zh-CN"/>
                    </w:rPr>
                  </w:pPr>
                  <w:r>
                    <w:rPr>
                      <w:rFonts w:hint="eastAsia" w:ascii="Times New Roman" w:eastAsia="宋体" w:cs="Times New Roman"/>
                      <w:b w:val="0"/>
                      <w:bCs/>
                      <w:color w:val="auto"/>
                      <w:sz w:val="21"/>
                      <w:szCs w:val="21"/>
                      <w:lang w:val="en-US" w:eastAsia="zh-CN"/>
                    </w:rPr>
                    <w:t>硫化氢</w:t>
                  </w:r>
                </w:p>
              </w:tc>
              <w:tc>
                <w:tcPr>
                  <w:tcW w:w="2062" w:type="dxa"/>
                  <w:noWrap w:val="0"/>
                  <w:vAlign w:val="center"/>
                </w:tcPr>
                <w:p w14:paraId="4C8868B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cs="Times New Roman"/>
                      <w:color w:val="auto"/>
                      <w:sz w:val="21"/>
                      <w:szCs w:val="21"/>
                      <w:highlight w:val="none"/>
                      <w:lang w:eastAsia="zh-CN"/>
                    </w:rPr>
                  </w:pPr>
                  <w:r>
                    <w:rPr>
                      <w:rFonts w:hint="eastAsia" w:ascii="Times New Roman" w:hAnsi="Times New Roman" w:eastAsia="宋体" w:cs="Times New Roman"/>
                      <w:kern w:val="2"/>
                      <w:sz w:val="21"/>
                      <w:szCs w:val="21"/>
                      <w:lang w:val="en-US" w:eastAsia="zh-CN" w:bidi="ar-SA"/>
                    </w:rPr>
                    <w:t>空气质量硫化氢，甲硫醇，甲硫醚和二甲二硫的测定 气相色谱</w:t>
                  </w:r>
                  <w:r>
                    <w:rPr>
                      <w:rFonts w:hint="eastAsia" w:eastAsia="宋体" w:cs="Times New Roman"/>
                      <w:kern w:val="2"/>
                      <w:sz w:val="21"/>
                      <w:szCs w:val="21"/>
                      <w:lang w:val="en-US" w:eastAsia="zh-CN" w:bidi="ar-SA"/>
                    </w:rPr>
                    <w:t>（</w:t>
                  </w:r>
                  <w:r>
                    <w:rPr>
                      <w:rFonts w:hint="eastAsia" w:ascii="Times New Roman" w:hAnsi="Times New Roman" w:eastAsia="宋体" w:cs="Times New Roman"/>
                      <w:kern w:val="2"/>
                      <w:sz w:val="21"/>
                      <w:szCs w:val="21"/>
                      <w:lang w:val="en-US" w:eastAsia="zh-CN" w:bidi="ar-SA"/>
                    </w:rPr>
                    <w:t>GB/T14678-1993</w:t>
                  </w:r>
                  <w:r>
                    <w:rPr>
                      <w:rFonts w:hint="eastAsia" w:eastAsia="宋体" w:cs="Times New Roman"/>
                      <w:kern w:val="2"/>
                      <w:sz w:val="21"/>
                      <w:szCs w:val="21"/>
                      <w:lang w:val="en-US" w:eastAsia="zh-CN" w:bidi="ar-SA"/>
                    </w:rPr>
                    <w:t>）</w:t>
                  </w:r>
                </w:p>
              </w:tc>
              <w:tc>
                <w:tcPr>
                  <w:tcW w:w="1461" w:type="dxa"/>
                  <w:noWrap w:val="0"/>
                  <w:vAlign w:val="center"/>
                </w:tcPr>
                <w:p w14:paraId="0EF0160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kern w:val="2"/>
                      <w:sz w:val="21"/>
                      <w:szCs w:val="21"/>
                      <w:lang w:val="en-US" w:eastAsia="zh-CN" w:bidi="ar-SA"/>
                    </w:rPr>
                    <w:t>气相色谱</w:t>
                  </w:r>
                </w:p>
              </w:tc>
              <w:tc>
                <w:tcPr>
                  <w:tcW w:w="1012" w:type="dxa"/>
                  <w:noWrap w:val="0"/>
                  <w:vAlign w:val="center"/>
                </w:tcPr>
                <w:p w14:paraId="3CE0023A">
                  <w:pPr>
                    <w:keepNext w:val="0"/>
                    <w:keepLines w:val="0"/>
                    <w:pageBreakBefore w:val="0"/>
                    <w:kinsoku/>
                    <w:wordWrap/>
                    <w:overflowPunct/>
                    <w:topLinePunct w:val="0"/>
                    <w:autoSpaceDE/>
                    <w:autoSpaceDN/>
                    <w:bidi w:val="0"/>
                    <w:spacing w:line="240" w:lineRule="auto"/>
                    <w:ind w:right="-105" w:rightChars="-5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lang w:val="en-US" w:eastAsia="zh-CN"/>
                    </w:rPr>
                    <w:t>YQ-020</w:t>
                  </w:r>
                </w:p>
              </w:tc>
              <w:tc>
                <w:tcPr>
                  <w:tcW w:w="905" w:type="dxa"/>
                  <w:noWrap w:val="0"/>
                  <w:vAlign w:val="center"/>
                </w:tcPr>
                <w:p w14:paraId="665BB2C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0.01</w:t>
                  </w:r>
                </w:p>
                <w:p w14:paraId="3E337A9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kern w:val="2"/>
                      <w:sz w:val="21"/>
                      <w:szCs w:val="21"/>
                      <w:lang w:val="en-US" w:eastAsia="zh-CN" w:bidi="ar-SA"/>
                    </w:rPr>
                  </w:pPr>
                  <w:r>
                    <w:rPr>
                      <w:rFonts w:hint="default" w:ascii="Times New Roman" w:hAnsi="Times New Roman" w:cs="Times New Roman"/>
                      <w:color w:val="auto"/>
                      <w:sz w:val="21"/>
                      <w:szCs w:val="21"/>
                    </w:rPr>
                    <w:t>mg/m</w:t>
                  </w:r>
                  <w:r>
                    <w:rPr>
                      <w:rFonts w:hint="default" w:ascii="Times New Roman" w:hAnsi="Times New Roman" w:cs="Times New Roman"/>
                      <w:color w:val="auto"/>
                      <w:sz w:val="21"/>
                      <w:szCs w:val="21"/>
                      <w:vertAlign w:val="superscript"/>
                    </w:rPr>
                    <w:t>3</w:t>
                  </w:r>
                </w:p>
              </w:tc>
              <w:tc>
                <w:tcPr>
                  <w:tcW w:w="737" w:type="dxa"/>
                  <w:vMerge w:val="restart"/>
                  <w:noWrap w:val="0"/>
                  <w:vAlign w:val="center"/>
                </w:tcPr>
                <w:p w14:paraId="3F356B59">
                  <w:pPr>
                    <w:widowControl/>
                    <w:spacing w:line="280" w:lineRule="exact"/>
                    <w:jc w:val="center"/>
                    <w:rPr>
                      <w:rFonts w:hint="default" w:ascii="Times New Roman" w:hAnsi="Times New Roman" w:cs="Times New Roman"/>
                      <w:color w:val="auto"/>
                      <w:sz w:val="21"/>
                      <w:szCs w:val="21"/>
                    </w:rPr>
                  </w:pPr>
                  <w:r>
                    <w:rPr>
                      <w:rFonts w:hint="default" w:ascii="Times New Roman" w:hAnsi="Times New Roman" w:cs="Times New Roman"/>
                      <w:color w:val="auto"/>
                      <w:szCs w:val="21"/>
                    </w:rPr>
                    <w:t>监测使用仪器均在检定有效期内</w:t>
                  </w:r>
                </w:p>
              </w:tc>
            </w:tr>
            <w:tr w14:paraId="2D9A643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74" w:type="dxa"/>
                  <w:bottom w:w="0" w:type="dxa"/>
                  <w:right w:w="74" w:type="dxa"/>
                </w:tblCellMar>
              </w:tblPrEx>
              <w:trPr>
                <w:trHeight w:val="481" w:hRule="atLeast"/>
                <w:jc w:val="center"/>
              </w:trPr>
              <w:tc>
                <w:tcPr>
                  <w:tcW w:w="593" w:type="dxa"/>
                  <w:vMerge w:val="continue"/>
                  <w:noWrap w:val="0"/>
                  <w:vAlign w:val="center"/>
                </w:tcPr>
                <w:p w14:paraId="7B66BF7E">
                  <w:pPr>
                    <w:jc w:val="center"/>
                    <w:rPr>
                      <w:rFonts w:hint="default" w:ascii="Times New Roman" w:hAnsi="Times New Roman" w:cs="Times New Roman"/>
                      <w:color w:val="auto"/>
                      <w:sz w:val="21"/>
                      <w:szCs w:val="21"/>
                    </w:rPr>
                  </w:pPr>
                </w:p>
              </w:tc>
              <w:tc>
                <w:tcPr>
                  <w:tcW w:w="508" w:type="dxa"/>
                  <w:vMerge w:val="continue"/>
                  <w:noWrap w:val="0"/>
                  <w:vAlign w:val="center"/>
                </w:tcPr>
                <w:p w14:paraId="33A7A27C">
                  <w:pPr>
                    <w:pStyle w:val="30"/>
                    <w:adjustRightInd/>
                    <w:spacing w:line="280" w:lineRule="exact"/>
                    <w:ind w:firstLine="0" w:firstLineChars="0"/>
                    <w:jc w:val="center"/>
                    <w:rPr>
                      <w:rFonts w:hint="default" w:ascii="Times New Roman" w:hAnsi="Times New Roman" w:eastAsia="宋体" w:cs="Times New Roman"/>
                      <w:b w:val="0"/>
                      <w:bCs/>
                      <w:color w:val="auto"/>
                      <w:sz w:val="21"/>
                      <w:szCs w:val="21"/>
                      <w:lang w:eastAsia="zh-CN"/>
                    </w:rPr>
                  </w:pPr>
                </w:p>
              </w:tc>
              <w:tc>
                <w:tcPr>
                  <w:tcW w:w="980" w:type="dxa"/>
                  <w:noWrap w:val="0"/>
                  <w:vAlign w:val="center"/>
                </w:tcPr>
                <w:p w14:paraId="53535536">
                  <w:pPr>
                    <w:pStyle w:val="30"/>
                    <w:adjustRightInd/>
                    <w:spacing w:line="280" w:lineRule="exact"/>
                    <w:jc w:val="center"/>
                    <w:rPr>
                      <w:rFonts w:hint="default" w:ascii="Times New Roman" w:hAnsi="Times New Roman" w:eastAsia="宋体" w:cs="Times New Roman"/>
                      <w:b w:val="0"/>
                      <w:bCs/>
                      <w:color w:val="auto"/>
                      <w:sz w:val="21"/>
                      <w:szCs w:val="21"/>
                      <w:lang w:val="en-US" w:eastAsia="zh-CN"/>
                    </w:rPr>
                  </w:pPr>
                  <w:r>
                    <w:rPr>
                      <w:rFonts w:hint="eastAsia" w:ascii="Times New Roman" w:eastAsia="宋体" w:cs="Times New Roman"/>
                      <w:b w:val="0"/>
                      <w:bCs w:val="0"/>
                      <w:color w:val="auto"/>
                      <w:kern w:val="2"/>
                      <w:sz w:val="21"/>
                      <w:szCs w:val="21"/>
                      <w:lang w:val="en-US" w:eastAsia="zh-CN" w:bidi="ar-SA"/>
                    </w:rPr>
                    <w:t>氨</w:t>
                  </w:r>
                </w:p>
              </w:tc>
              <w:tc>
                <w:tcPr>
                  <w:tcW w:w="2062" w:type="dxa"/>
                  <w:noWrap w:val="0"/>
                  <w:vAlign w:val="center"/>
                </w:tcPr>
                <w:p w14:paraId="2E1C5B7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cs="Times New Roman"/>
                      <w:color w:val="auto"/>
                      <w:sz w:val="21"/>
                      <w:szCs w:val="21"/>
                      <w:highlight w:val="none"/>
                      <w:lang w:eastAsia="zh-CN"/>
                    </w:rPr>
                  </w:pPr>
                  <w:r>
                    <w:rPr>
                      <w:rFonts w:hint="default" w:ascii="Times New Roman" w:hAnsi="Times New Roman" w:cs="Times New Roman"/>
                      <w:kern w:val="2"/>
                      <w:sz w:val="21"/>
                      <w:szCs w:val="21"/>
                      <w:lang w:val="en-US" w:eastAsia="zh-CN" w:bidi="ar-SA"/>
                    </w:rPr>
                    <w:t>环境空气和废气 氨的测定 纳氏试剂分光光度（HJ533-2009）</w:t>
                  </w:r>
                </w:p>
              </w:tc>
              <w:tc>
                <w:tcPr>
                  <w:tcW w:w="1461" w:type="dxa"/>
                  <w:noWrap w:val="0"/>
                  <w:vAlign w:val="center"/>
                </w:tcPr>
                <w:p w14:paraId="0A42E65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分光光度计</w:t>
                  </w:r>
                </w:p>
              </w:tc>
              <w:tc>
                <w:tcPr>
                  <w:tcW w:w="1012" w:type="dxa"/>
                  <w:noWrap w:val="0"/>
                  <w:vAlign w:val="center"/>
                </w:tcPr>
                <w:p w14:paraId="22DC32CA">
                  <w:pPr>
                    <w:keepNext w:val="0"/>
                    <w:keepLines w:val="0"/>
                    <w:pageBreakBefore w:val="0"/>
                    <w:kinsoku/>
                    <w:wordWrap/>
                    <w:overflowPunct/>
                    <w:topLinePunct w:val="0"/>
                    <w:autoSpaceDE/>
                    <w:autoSpaceDN/>
                    <w:bidi w:val="0"/>
                    <w:spacing w:line="240" w:lineRule="auto"/>
                    <w:ind w:right="-105" w:rightChars="-50"/>
                    <w:jc w:val="center"/>
                    <w:rPr>
                      <w:rFonts w:hint="default" w:ascii="Times New Roman" w:hAnsi="Times New Roman" w:cs="Times New Roman"/>
                      <w:color w:val="auto"/>
                      <w:lang w:val="en-US" w:eastAsia="zh-CN"/>
                    </w:rPr>
                  </w:pPr>
                  <w:r>
                    <w:rPr>
                      <w:rFonts w:hint="eastAsia" w:ascii="Times New Roman" w:hAnsi="Times New Roman" w:cs="Times New Roman"/>
                      <w:color w:val="auto"/>
                      <w:lang w:val="en-US" w:eastAsia="zh-CN"/>
                    </w:rPr>
                    <w:t>YQ-058</w:t>
                  </w:r>
                </w:p>
              </w:tc>
              <w:tc>
                <w:tcPr>
                  <w:tcW w:w="905" w:type="dxa"/>
                  <w:noWrap w:val="0"/>
                  <w:vAlign w:val="center"/>
                </w:tcPr>
                <w:p w14:paraId="01326A6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0.25</w:t>
                  </w:r>
                </w:p>
                <w:p w14:paraId="4B3FDAA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kern w:val="2"/>
                      <w:sz w:val="21"/>
                      <w:szCs w:val="21"/>
                      <w:lang w:val="en-US" w:eastAsia="zh-CN" w:bidi="ar-SA"/>
                    </w:rPr>
                  </w:pPr>
                  <w:r>
                    <w:rPr>
                      <w:rFonts w:hint="default" w:ascii="Times New Roman" w:hAnsi="Times New Roman" w:cs="Times New Roman"/>
                      <w:color w:val="auto"/>
                      <w:kern w:val="2"/>
                      <w:sz w:val="21"/>
                      <w:szCs w:val="21"/>
                      <w:lang w:val="en-US" w:eastAsia="zh-CN" w:bidi="ar-SA"/>
                    </w:rPr>
                    <w:t>mg/m</w:t>
                  </w:r>
                  <w:r>
                    <w:rPr>
                      <w:rFonts w:hint="default" w:ascii="Times New Roman" w:hAnsi="Times New Roman" w:cs="Times New Roman"/>
                      <w:color w:val="auto"/>
                      <w:kern w:val="2"/>
                      <w:sz w:val="21"/>
                      <w:szCs w:val="21"/>
                      <w:vertAlign w:val="superscript"/>
                      <w:lang w:val="en-US" w:eastAsia="zh-CN" w:bidi="ar-SA"/>
                    </w:rPr>
                    <w:t>3</w:t>
                  </w:r>
                </w:p>
              </w:tc>
              <w:tc>
                <w:tcPr>
                  <w:tcW w:w="737" w:type="dxa"/>
                  <w:vMerge w:val="continue"/>
                  <w:noWrap w:val="0"/>
                  <w:vAlign w:val="center"/>
                </w:tcPr>
                <w:p w14:paraId="357F000F">
                  <w:pPr>
                    <w:widowControl/>
                    <w:spacing w:line="280" w:lineRule="exact"/>
                    <w:jc w:val="center"/>
                    <w:rPr>
                      <w:rFonts w:hint="default" w:ascii="Times New Roman" w:hAnsi="Times New Roman" w:cs="Times New Roman"/>
                      <w:color w:val="auto"/>
                      <w:szCs w:val="21"/>
                    </w:rPr>
                  </w:pPr>
                </w:p>
              </w:tc>
            </w:tr>
            <w:tr w14:paraId="362FE88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74" w:type="dxa"/>
                  <w:bottom w:w="0" w:type="dxa"/>
                  <w:right w:w="74" w:type="dxa"/>
                </w:tblCellMar>
              </w:tblPrEx>
              <w:trPr>
                <w:trHeight w:val="481" w:hRule="atLeast"/>
                <w:jc w:val="center"/>
              </w:trPr>
              <w:tc>
                <w:tcPr>
                  <w:tcW w:w="593" w:type="dxa"/>
                  <w:vMerge w:val="continue"/>
                  <w:noWrap w:val="0"/>
                  <w:vAlign w:val="center"/>
                </w:tcPr>
                <w:p w14:paraId="5B323D68">
                  <w:pPr>
                    <w:jc w:val="center"/>
                    <w:rPr>
                      <w:rFonts w:hint="default" w:ascii="Times New Roman" w:hAnsi="Times New Roman" w:cs="Times New Roman"/>
                      <w:color w:val="auto"/>
                      <w:sz w:val="21"/>
                      <w:szCs w:val="21"/>
                    </w:rPr>
                  </w:pPr>
                </w:p>
              </w:tc>
              <w:tc>
                <w:tcPr>
                  <w:tcW w:w="508" w:type="dxa"/>
                  <w:vMerge w:val="continue"/>
                  <w:noWrap w:val="0"/>
                  <w:vAlign w:val="center"/>
                </w:tcPr>
                <w:p w14:paraId="42634E5A">
                  <w:pPr>
                    <w:pStyle w:val="30"/>
                    <w:adjustRightInd/>
                    <w:spacing w:line="280" w:lineRule="exact"/>
                    <w:ind w:firstLine="0" w:firstLineChars="0"/>
                    <w:jc w:val="center"/>
                    <w:rPr>
                      <w:rFonts w:hint="default" w:ascii="Times New Roman" w:hAnsi="Times New Roman" w:eastAsia="宋体" w:cs="Times New Roman"/>
                      <w:b w:val="0"/>
                      <w:bCs/>
                      <w:color w:val="auto"/>
                      <w:sz w:val="21"/>
                      <w:szCs w:val="21"/>
                      <w:lang w:eastAsia="zh-CN"/>
                    </w:rPr>
                  </w:pPr>
                </w:p>
              </w:tc>
              <w:tc>
                <w:tcPr>
                  <w:tcW w:w="980" w:type="dxa"/>
                  <w:noWrap w:val="0"/>
                  <w:vAlign w:val="center"/>
                </w:tcPr>
                <w:p w14:paraId="12B5FB02">
                  <w:pPr>
                    <w:pStyle w:val="30"/>
                    <w:adjustRightInd/>
                    <w:spacing w:line="280" w:lineRule="exact"/>
                    <w:jc w:val="center"/>
                    <w:rPr>
                      <w:rFonts w:hint="eastAsia" w:ascii="Times New Roman" w:eastAsia="宋体" w:cs="Times New Roman"/>
                      <w:b w:val="0"/>
                      <w:bCs w:val="0"/>
                      <w:color w:val="auto"/>
                      <w:kern w:val="2"/>
                      <w:sz w:val="21"/>
                      <w:szCs w:val="21"/>
                      <w:lang w:val="en-US" w:eastAsia="zh-CN" w:bidi="ar-SA"/>
                    </w:rPr>
                  </w:pPr>
                  <w:r>
                    <w:rPr>
                      <w:rFonts w:hint="eastAsia" w:ascii="Times New Roman" w:eastAsia="宋体" w:cs="Times New Roman"/>
                      <w:b w:val="0"/>
                      <w:bCs w:val="0"/>
                      <w:color w:val="auto"/>
                      <w:kern w:val="2"/>
                      <w:sz w:val="21"/>
                      <w:szCs w:val="21"/>
                      <w:lang w:val="en-US" w:eastAsia="zh-CN" w:bidi="ar-SA"/>
                    </w:rPr>
                    <w:t>臭气浓度</w:t>
                  </w:r>
                </w:p>
              </w:tc>
              <w:tc>
                <w:tcPr>
                  <w:tcW w:w="2062" w:type="dxa"/>
                  <w:noWrap w:val="0"/>
                  <w:vAlign w:val="center"/>
                </w:tcPr>
                <w:p w14:paraId="61F8A72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《环境空气和废气 臭气的测定 三点比较式臭袋法》HJ 1262-2022</w:t>
                  </w:r>
                </w:p>
              </w:tc>
              <w:tc>
                <w:tcPr>
                  <w:tcW w:w="1461" w:type="dxa"/>
                  <w:noWrap w:val="0"/>
                  <w:vAlign w:val="center"/>
                </w:tcPr>
                <w:p w14:paraId="347A081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color w:val="auto"/>
                      <w:lang w:val="en-US" w:eastAsia="zh-CN"/>
                    </w:rPr>
                  </w:pPr>
                  <w:r>
                    <w:rPr>
                      <w:rFonts w:hint="eastAsia" w:ascii="Times New Roman" w:hAnsi="Times New Roman" w:cs="Times New Roman"/>
                      <w:color w:val="auto"/>
                      <w:lang w:val="en-US" w:eastAsia="zh-CN"/>
                    </w:rPr>
                    <w:t>/</w:t>
                  </w:r>
                </w:p>
              </w:tc>
              <w:tc>
                <w:tcPr>
                  <w:tcW w:w="1012" w:type="dxa"/>
                  <w:noWrap w:val="0"/>
                  <w:vAlign w:val="center"/>
                </w:tcPr>
                <w:p w14:paraId="1F5EED80">
                  <w:pPr>
                    <w:keepNext w:val="0"/>
                    <w:keepLines w:val="0"/>
                    <w:pageBreakBefore w:val="0"/>
                    <w:kinsoku/>
                    <w:wordWrap/>
                    <w:overflowPunct/>
                    <w:topLinePunct w:val="0"/>
                    <w:autoSpaceDE/>
                    <w:autoSpaceDN/>
                    <w:bidi w:val="0"/>
                    <w:spacing w:line="240" w:lineRule="auto"/>
                    <w:ind w:right="-105" w:rightChars="-50"/>
                    <w:jc w:val="center"/>
                    <w:rPr>
                      <w:rFonts w:hint="default" w:ascii="Times New Roman" w:hAnsi="Times New Roman" w:cs="Times New Roman"/>
                      <w:b w:val="0"/>
                      <w:bCs/>
                      <w:color w:val="auto"/>
                      <w:kern w:val="2"/>
                      <w:sz w:val="21"/>
                      <w:szCs w:val="21"/>
                      <w:lang w:val="en-US" w:eastAsia="zh-CN" w:bidi="ar-SA"/>
                    </w:rPr>
                  </w:pPr>
                  <w:r>
                    <w:rPr>
                      <w:rFonts w:hint="eastAsia" w:ascii="Times New Roman" w:hAnsi="Times New Roman" w:cs="Times New Roman"/>
                      <w:b w:val="0"/>
                      <w:bCs/>
                      <w:color w:val="auto"/>
                      <w:kern w:val="2"/>
                      <w:sz w:val="21"/>
                      <w:szCs w:val="21"/>
                      <w:lang w:val="en-US" w:eastAsia="zh-CN" w:bidi="ar-SA"/>
                    </w:rPr>
                    <w:t>/</w:t>
                  </w:r>
                </w:p>
              </w:tc>
              <w:tc>
                <w:tcPr>
                  <w:tcW w:w="905" w:type="dxa"/>
                  <w:noWrap w:val="0"/>
                  <w:vAlign w:val="center"/>
                </w:tcPr>
                <w:p w14:paraId="546931A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10</w:t>
                  </w:r>
                </w:p>
              </w:tc>
              <w:tc>
                <w:tcPr>
                  <w:tcW w:w="737" w:type="dxa"/>
                  <w:vMerge w:val="continue"/>
                  <w:noWrap w:val="0"/>
                  <w:vAlign w:val="center"/>
                </w:tcPr>
                <w:p w14:paraId="5290A073">
                  <w:pPr>
                    <w:widowControl/>
                    <w:spacing w:line="280" w:lineRule="exact"/>
                    <w:jc w:val="center"/>
                    <w:rPr>
                      <w:rFonts w:hint="default" w:ascii="Times New Roman" w:hAnsi="Times New Roman" w:cs="Times New Roman"/>
                      <w:color w:val="auto"/>
                      <w:szCs w:val="21"/>
                    </w:rPr>
                  </w:pPr>
                </w:p>
              </w:tc>
            </w:tr>
            <w:tr w14:paraId="190D31B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74" w:type="dxa"/>
                  <w:bottom w:w="0" w:type="dxa"/>
                  <w:right w:w="74" w:type="dxa"/>
                </w:tblCellMar>
              </w:tblPrEx>
              <w:trPr>
                <w:trHeight w:val="380" w:hRule="atLeast"/>
                <w:jc w:val="center"/>
              </w:trPr>
              <w:tc>
                <w:tcPr>
                  <w:tcW w:w="593" w:type="dxa"/>
                  <w:vMerge w:val="continue"/>
                  <w:noWrap w:val="0"/>
                  <w:vAlign w:val="center"/>
                </w:tcPr>
                <w:p w14:paraId="0CCA1BB5">
                  <w:pPr>
                    <w:jc w:val="center"/>
                    <w:rPr>
                      <w:rFonts w:hint="default" w:ascii="Times New Roman" w:hAnsi="Times New Roman" w:cs="Times New Roman"/>
                      <w:color w:val="auto"/>
                      <w:sz w:val="21"/>
                      <w:szCs w:val="21"/>
                    </w:rPr>
                  </w:pPr>
                </w:p>
              </w:tc>
              <w:tc>
                <w:tcPr>
                  <w:tcW w:w="508" w:type="dxa"/>
                  <w:vMerge w:val="restart"/>
                  <w:noWrap w:val="0"/>
                  <w:vAlign w:val="center"/>
                </w:tcPr>
                <w:p w14:paraId="64C8152A">
                  <w:pPr>
                    <w:pStyle w:val="30"/>
                    <w:adjustRightInd/>
                    <w:spacing w:line="28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color w:val="auto"/>
                      <w:sz w:val="21"/>
                      <w:szCs w:val="21"/>
                      <w:lang w:val="en-US" w:eastAsia="zh-CN"/>
                    </w:rPr>
                    <w:t>无组织</w:t>
                  </w:r>
                </w:p>
              </w:tc>
              <w:tc>
                <w:tcPr>
                  <w:tcW w:w="980" w:type="dxa"/>
                  <w:noWrap w:val="0"/>
                  <w:vAlign w:val="center"/>
                </w:tcPr>
                <w:p w14:paraId="7CE96A0A">
                  <w:pPr>
                    <w:keepNext w:val="0"/>
                    <w:keepLines w:val="0"/>
                    <w:pageBreakBefore w:val="0"/>
                    <w:widowControl w:val="0"/>
                    <w:kinsoku/>
                    <w:wordWrap/>
                    <w:overflowPunct/>
                    <w:topLinePunct w:val="0"/>
                    <w:autoSpaceDE/>
                    <w:autoSpaceDN/>
                    <w:bidi w:val="0"/>
                    <w:adjustRightInd/>
                    <w:snapToGrid/>
                    <w:spacing w:line="240" w:lineRule="auto"/>
                    <w:ind w:left="105" w:leftChars="5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硫化氢</w:t>
                  </w:r>
                </w:p>
              </w:tc>
              <w:tc>
                <w:tcPr>
                  <w:tcW w:w="2062" w:type="dxa"/>
                  <w:noWrap w:val="0"/>
                  <w:vAlign w:val="center"/>
                </w:tcPr>
                <w:p w14:paraId="312EF2A1">
                  <w:pPr>
                    <w:keepNext w:val="0"/>
                    <w:keepLines w:val="0"/>
                    <w:pageBreakBefore w:val="0"/>
                    <w:kinsoku/>
                    <w:wordWrap/>
                    <w:overflowPunct/>
                    <w:topLinePunct w:val="0"/>
                    <w:autoSpaceDE/>
                    <w:autoSpaceDN/>
                    <w:bidi w:val="0"/>
                    <w:spacing w:line="240" w:lineRule="auto"/>
                    <w:jc w:val="left"/>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kern w:val="2"/>
                      <w:sz w:val="21"/>
                      <w:szCs w:val="21"/>
                      <w:lang w:val="en-US" w:eastAsia="zh-CN" w:bidi="ar-SA"/>
                    </w:rPr>
                    <w:t>空气质量硫化氢，甲硫醇，甲硫醚和二甲二硫的测定 气相色谱GB/T14678-1993</w:t>
                  </w:r>
                </w:p>
              </w:tc>
              <w:tc>
                <w:tcPr>
                  <w:tcW w:w="1461" w:type="dxa"/>
                  <w:noWrap w:val="0"/>
                  <w:vAlign w:val="center"/>
                </w:tcPr>
                <w:p w14:paraId="6F2EB18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kern w:val="2"/>
                      <w:sz w:val="21"/>
                      <w:szCs w:val="21"/>
                      <w:lang w:val="en-US" w:eastAsia="zh-CN" w:bidi="ar-SA"/>
                    </w:rPr>
                    <w:t>气相色谱</w:t>
                  </w:r>
                </w:p>
              </w:tc>
              <w:tc>
                <w:tcPr>
                  <w:tcW w:w="1012" w:type="dxa"/>
                  <w:noWrap w:val="0"/>
                  <w:vAlign w:val="center"/>
                </w:tcPr>
                <w:p w14:paraId="6326463D">
                  <w:pPr>
                    <w:keepNext w:val="0"/>
                    <w:keepLines w:val="0"/>
                    <w:pageBreakBefore w:val="0"/>
                    <w:kinsoku/>
                    <w:wordWrap/>
                    <w:overflowPunct/>
                    <w:topLinePunct w:val="0"/>
                    <w:autoSpaceDE/>
                    <w:autoSpaceDN/>
                    <w:bidi w:val="0"/>
                    <w:spacing w:line="240" w:lineRule="auto"/>
                    <w:ind w:right="-105" w:rightChars="-5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lang w:val="en-US" w:eastAsia="zh-CN"/>
                    </w:rPr>
                    <w:t>YQ-020</w:t>
                  </w:r>
                </w:p>
              </w:tc>
              <w:tc>
                <w:tcPr>
                  <w:tcW w:w="905" w:type="dxa"/>
                  <w:noWrap w:val="0"/>
                  <w:vAlign w:val="center"/>
                </w:tcPr>
                <w:p w14:paraId="7C4F484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0.02</w:t>
                  </w:r>
                </w:p>
                <w:p w14:paraId="30103A02">
                  <w:pPr>
                    <w:keepNext w:val="0"/>
                    <w:keepLines w:val="0"/>
                    <w:pageBreakBefore w:val="0"/>
                    <w:widowControl/>
                    <w:kinsoku/>
                    <w:wordWrap/>
                    <w:overflowPunct/>
                    <w:topLinePunct w:val="0"/>
                    <w:autoSpaceDE/>
                    <w:autoSpaceDN/>
                    <w:bidi w:val="0"/>
                    <w:spacing w:line="240" w:lineRule="auto"/>
                    <w:ind w:left="-105" w:leftChars="-50" w:right="-105" w:rightChars="-5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mg/m</w:t>
                  </w:r>
                  <w:r>
                    <w:rPr>
                      <w:rFonts w:hint="default" w:ascii="Times New Roman" w:hAnsi="Times New Roman" w:eastAsia="宋体" w:cs="Times New Roman"/>
                      <w:color w:val="auto"/>
                      <w:kern w:val="2"/>
                      <w:sz w:val="21"/>
                      <w:szCs w:val="21"/>
                      <w:vertAlign w:val="superscript"/>
                      <w:lang w:val="en-US" w:eastAsia="zh-CN" w:bidi="ar-SA"/>
                    </w:rPr>
                    <w:t>3</w:t>
                  </w:r>
                </w:p>
              </w:tc>
              <w:tc>
                <w:tcPr>
                  <w:tcW w:w="737" w:type="dxa"/>
                  <w:vMerge w:val="continue"/>
                  <w:noWrap w:val="0"/>
                  <w:vAlign w:val="center"/>
                </w:tcPr>
                <w:p w14:paraId="3772ADEE">
                  <w:pPr>
                    <w:widowControl/>
                    <w:spacing w:line="280" w:lineRule="exact"/>
                    <w:jc w:val="center"/>
                    <w:rPr>
                      <w:rFonts w:hint="default" w:ascii="Times New Roman" w:hAnsi="Times New Roman" w:cs="Times New Roman"/>
                      <w:color w:val="auto"/>
                      <w:sz w:val="21"/>
                      <w:szCs w:val="21"/>
                    </w:rPr>
                  </w:pPr>
                </w:p>
              </w:tc>
            </w:tr>
            <w:tr w14:paraId="6835A39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74" w:type="dxa"/>
                  <w:bottom w:w="0" w:type="dxa"/>
                  <w:right w:w="74" w:type="dxa"/>
                </w:tblCellMar>
              </w:tblPrEx>
              <w:trPr>
                <w:trHeight w:val="380" w:hRule="atLeast"/>
                <w:jc w:val="center"/>
              </w:trPr>
              <w:tc>
                <w:tcPr>
                  <w:tcW w:w="593" w:type="dxa"/>
                  <w:vMerge w:val="continue"/>
                  <w:noWrap w:val="0"/>
                  <w:vAlign w:val="center"/>
                </w:tcPr>
                <w:p w14:paraId="210AE692">
                  <w:pPr>
                    <w:jc w:val="center"/>
                    <w:rPr>
                      <w:rFonts w:hint="default" w:ascii="Times New Roman" w:hAnsi="Times New Roman" w:cs="Times New Roman"/>
                      <w:color w:val="auto"/>
                      <w:sz w:val="21"/>
                      <w:szCs w:val="21"/>
                    </w:rPr>
                  </w:pPr>
                </w:p>
              </w:tc>
              <w:tc>
                <w:tcPr>
                  <w:tcW w:w="508" w:type="dxa"/>
                  <w:vMerge w:val="continue"/>
                  <w:noWrap w:val="0"/>
                  <w:vAlign w:val="center"/>
                </w:tcPr>
                <w:p w14:paraId="1806D47D">
                  <w:pPr>
                    <w:pStyle w:val="30"/>
                    <w:adjustRightInd/>
                    <w:spacing w:line="280" w:lineRule="exact"/>
                    <w:jc w:val="center"/>
                    <w:rPr>
                      <w:rFonts w:hint="default" w:ascii="Times New Roman" w:hAnsi="Times New Roman" w:eastAsia="宋体" w:cs="Times New Roman"/>
                      <w:b w:val="0"/>
                      <w:bCs/>
                      <w:color w:val="auto"/>
                      <w:sz w:val="21"/>
                      <w:szCs w:val="21"/>
                      <w:lang w:val="en-US" w:eastAsia="zh-CN"/>
                    </w:rPr>
                  </w:pPr>
                </w:p>
              </w:tc>
              <w:tc>
                <w:tcPr>
                  <w:tcW w:w="980" w:type="dxa"/>
                  <w:noWrap w:val="0"/>
                  <w:vAlign w:val="center"/>
                </w:tcPr>
                <w:p w14:paraId="1A5B09F9">
                  <w:pPr>
                    <w:pStyle w:val="30"/>
                    <w:adjustRightInd/>
                    <w:spacing w:line="280" w:lineRule="exact"/>
                    <w:jc w:val="center"/>
                    <w:rPr>
                      <w:rFonts w:hint="default" w:ascii="Times New Roman" w:hAnsi="Times New Roman" w:eastAsia="宋体" w:cs="Times New Roman"/>
                      <w:color w:val="auto"/>
                      <w:sz w:val="21"/>
                      <w:szCs w:val="21"/>
                      <w:lang w:eastAsia="zh-CN"/>
                    </w:rPr>
                  </w:pPr>
                  <w:r>
                    <w:rPr>
                      <w:rFonts w:hint="eastAsia" w:ascii="Times New Roman" w:eastAsia="宋体" w:cs="Times New Roman"/>
                      <w:b w:val="0"/>
                      <w:bCs w:val="0"/>
                      <w:color w:val="auto"/>
                      <w:kern w:val="2"/>
                      <w:sz w:val="21"/>
                      <w:szCs w:val="21"/>
                      <w:lang w:val="en-US" w:eastAsia="zh-CN" w:bidi="ar-SA"/>
                    </w:rPr>
                    <w:t>氨</w:t>
                  </w:r>
                </w:p>
              </w:tc>
              <w:tc>
                <w:tcPr>
                  <w:tcW w:w="2062" w:type="dxa"/>
                  <w:noWrap w:val="0"/>
                  <w:vAlign w:val="center"/>
                </w:tcPr>
                <w:p w14:paraId="52E6485D">
                  <w:pPr>
                    <w:keepNext w:val="0"/>
                    <w:keepLines w:val="0"/>
                    <w:pageBreakBefore w:val="0"/>
                    <w:kinsoku/>
                    <w:wordWrap/>
                    <w:overflowPunct/>
                    <w:topLinePunct w:val="0"/>
                    <w:autoSpaceDE/>
                    <w:autoSpaceDN/>
                    <w:bidi w:val="0"/>
                    <w:spacing w:line="240" w:lineRule="auto"/>
                    <w:jc w:val="left"/>
                    <w:textAlignment w:val="auto"/>
                    <w:rPr>
                      <w:rFonts w:hint="default" w:ascii="Times New Roman" w:hAnsi="Times New Roman" w:cs="Times New Roman"/>
                      <w:color w:val="auto"/>
                      <w:sz w:val="21"/>
                      <w:szCs w:val="21"/>
                      <w:lang w:eastAsia="zh-CN"/>
                    </w:rPr>
                  </w:pPr>
                  <w:r>
                    <w:rPr>
                      <w:rFonts w:hint="default" w:ascii="Times New Roman" w:hAnsi="Times New Roman" w:cs="Times New Roman"/>
                      <w:color w:val="auto"/>
                      <w:sz w:val="21"/>
                      <w:szCs w:val="21"/>
                      <w:lang w:eastAsia="zh-CN"/>
                    </w:rPr>
                    <w:t>《环境空气和废气 氨的测定纳氏试剂分光光度法》HJ 533-2009</w:t>
                  </w:r>
                </w:p>
              </w:tc>
              <w:tc>
                <w:tcPr>
                  <w:tcW w:w="1461" w:type="dxa"/>
                  <w:noWrap w:val="0"/>
                  <w:vAlign w:val="center"/>
                </w:tcPr>
                <w:p w14:paraId="13B5506E">
                  <w:pPr>
                    <w:keepNext w:val="0"/>
                    <w:keepLines w:val="0"/>
                    <w:pageBreakBefore w:val="0"/>
                    <w:widowControl/>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分光光度计</w:t>
                  </w:r>
                </w:p>
              </w:tc>
              <w:tc>
                <w:tcPr>
                  <w:tcW w:w="1012" w:type="dxa"/>
                  <w:noWrap w:val="0"/>
                  <w:vAlign w:val="center"/>
                </w:tcPr>
                <w:p w14:paraId="45ABF86E">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lang w:val="en-US" w:eastAsia="zh-CN"/>
                    </w:rPr>
                    <w:t>YQ-058</w:t>
                  </w:r>
                </w:p>
              </w:tc>
              <w:tc>
                <w:tcPr>
                  <w:tcW w:w="905" w:type="dxa"/>
                  <w:noWrap w:val="0"/>
                  <w:vAlign w:val="center"/>
                </w:tcPr>
                <w:p w14:paraId="0C2FF50B">
                  <w:pPr>
                    <w:keepNext w:val="0"/>
                    <w:keepLines w:val="0"/>
                    <w:pageBreakBefore w:val="0"/>
                    <w:widowControl/>
                    <w:kinsoku/>
                    <w:wordWrap/>
                    <w:overflowPunct/>
                    <w:topLinePunct w:val="0"/>
                    <w:autoSpaceDE/>
                    <w:autoSpaceDN/>
                    <w:bidi w:val="0"/>
                    <w:spacing w:line="240" w:lineRule="auto"/>
                    <w:ind w:left="-105" w:leftChars="-50" w:right="-105" w:rightChars="-5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0.01</w:t>
                  </w:r>
                </w:p>
                <w:p w14:paraId="4972E0FA">
                  <w:pPr>
                    <w:keepNext w:val="0"/>
                    <w:keepLines w:val="0"/>
                    <w:pageBreakBefore w:val="0"/>
                    <w:widowControl/>
                    <w:kinsoku/>
                    <w:wordWrap/>
                    <w:overflowPunct/>
                    <w:topLinePunct w:val="0"/>
                    <w:autoSpaceDE/>
                    <w:autoSpaceDN/>
                    <w:bidi w:val="0"/>
                    <w:spacing w:line="240" w:lineRule="auto"/>
                    <w:ind w:left="-105" w:leftChars="-50" w:right="-105" w:rightChars="-5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mg/m</w:t>
                  </w:r>
                  <w:r>
                    <w:rPr>
                      <w:rFonts w:hint="default" w:ascii="Times New Roman" w:hAnsi="Times New Roman" w:cs="Times New Roman"/>
                      <w:color w:val="auto"/>
                      <w:sz w:val="21"/>
                      <w:szCs w:val="21"/>
                      <w:vertAlign w:val="superscript"/>
                      <w:lang w:val="en-US" w:eastAsia="zh-CN"/>
                    </w:rPr>
                    <w:t>3</w:t>
                  </w:r>
                </w:p>
              </w:tc>
              <w:tc>
                <w:tcPr>
                  <w:tcW w:w="737" w:type="dxa"/>
                  <w:vMerge w:val="continue"/>
                  <w:noWrap w:val="0"/>
                  <w:vAlign w:val="center"/>
                </w:tcPr>
                <w:p w14:paraId="3D721257">
                  <w:pPr>
                    <w:widowControl/>
                    <w:spacing w:line="280" w:lineRule="exact"/>
                    <w:jc w:val="center"/>
                    <w:rPr>
                      <w:rFonts w:hint="default" w:ascii="Times New Roman" w:hAnsi="Times New Roman" w:cs="Times New Roman"/>
                      <w:color w:val="auto"/>
                      <w:sz w:val="21"/>
                      <w:szCs w:val="21"/>
                    </w:rPr>
                  </w:pPr>
                </w:p>
              </w:tc>
            </w:tr>
            <w:tr w14:paraId="2AA33F4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74" w:type="dxa"/>
                  <w:bottom w:w="0" w:type="dxa"/>
                  <w:right w:w="74" w:type="dxa"/>
                </w:tblCellMar>
              </w:tblPrEx>
              <w:trPr>
                <w:trHeight w:val="380" w:hRule="atLeast"/>
                <w:jc w:val="center"/>
              </w:trPr>
              <w:tc>
                <w:tcPr>
                  <w:tcW w:w="593" w:type="dxa"/>
                  <w:vMerge w:val="continue"/>
                  <w:noWrap w:val="0"/>
                  <w:vAlign w:val="center"/>
                </w:tcPr>
                <w:p w14:paraId="2F6720BA">
                  <w:pPr>
                    <w:jc w:val="center"/>
                    <w:rPr>
                      <w:rFonts w:hint="default" w:ascii="Times New Roman" w:hAnsi="Times New Roman" w:cs="Times New Roman"/>
                      <w:color w:val="auto"/>
                      <w:sz w:val="21"/>
                      <w:szCs w:val="21"/>
                    </w:rPr>
                  </w:pPr>
                </w:p>
              </w:tc>
              <w:tc>
                <w:tcPr>
                  <w:tcW w:w="508" w:type="dxa"/>
                  <w:vMerge w:val="continue"/>
                  <w:noWrap w:val="0"/>
                  <w:vAlign w:val="center"/>
                </w:tcPr>
                <w:p w14:paraId="29D5CB00">
                  <w:pPr>
                    <w:pStyle w:val="30"/>
                    <w:adjustRightInd/>
                    <w:spacing w:line="280" w:lineRule="exact"/>
                    <w:jc w:val="center"/>
                    <w:rPr>
                      <w:rFonts w:hint="default" w:ascii="Times New Roman" w:hAnsi="Times New Roman" w:eastAsia="宋体" w:cs="Times New Roman"/>
                      <w:b w:val="0"/>
                      <w:bCs/>
                      <w:color w:val="auto"/>
                      <w:sz w:val="21"/>
                      <w:szCs w:val="21"/>
                      <w:lang w:val="en-US" w:eastAsia="zh-CN"/>
                    </w:rPr>
                  </w:pPr>
                </w:p>
              </w:tc>
              <w:tc>
                <w:tcPr>
                  <w:tcW w:w="980" w:type="dxa"/>
                  <w:noWrap w:val="0"/>
                  <w:vAlign w:val="center"/>
                </w:tcPr>
                <w:p w14:paraId="75AE83D2">
                  <w:pPr>
                    <w:pStyle w:val="30"/>
                    <w:adjustRightInd/>
                    <w:spacing w:line="280" w:lineRule="exact"/>
                    <w:jc w:val="center"/>
                    <w:rPr>
                      <w:rFonts w:hint="eastAsia" w:ascii="Times New Roman" w:eastAsia="宋体" w:cs="Times New Roman"/>
                      <w:b w:val="0"/>
                      <w:bCs w:val="0"/>
                      <w:color w:val="auto"/>
                      <w:kern w:val="2"/>
                      <w:sz w:val="21"/>
                      <w:szCs w:val="21"/>
                      <w:lang w:val="en-US" w:eastAsia="zh-CN" w:bidi="ar-SA"/>
                    </w:rPr>
                  </w:pPr>
                  <w:r>
                    <w:rPr>
                      <w:rFonts w:hint="eastAsia" w:ascii="Times New Roman" w:eastAsia="宋体" w:cs="Times New Roman"/>
                      <w:b w:val="0"/>
                      <w:bCs w:val="0"/>
                      <w:color w:val="auto"/>
                      <w:kern w:val="2"/>
                      <w:sz w:val="21"/>
                      <w:szCs w:val="21"/>
                      <w:lang w:val="en-US" w:eastAsia="zh-CN" w:bidi="ar-SA"/>
                    </w:rPr>
                    <w:t>臭气浓度</w:t>
                  </w:r>
                </w:p>
              </w:tc>
              <w:tc>
                <w:tcPr>
                  <w:tcW w:w="2062" w:type="dxa"/>
                  <w:noWrap w:val="0"/>
                  <w:vAlign w:val="center"/>
                </w:tcPr>
                <w:p w14:paraId="31AA283A">
                  <w:pPr>
                    <w:keepNext w:val="0"/>
                    <w:keepLines w:val="0"/>
                    <w:pageBreakBefore w:val="0"/>
                    <w:kinsoku/>
                    <w:wordWrap/>
                    <w:overflowPunct/>
                    <w:topLinePunct w:val="0"/>
                    <w:autoSpaceDE/>
                    <w:autoSpaceDN/>
                    <w:bidi w:val="0"/>
                    <w:spacing w:line="240" w:lineRule="auto"/>
                    <w:jc w:val="left"/>
                    <w:textAlignment w:val="auto"/>
                    <w:rPr>
                      <w:rFonts w:hint="default" w:ascii="Times New Roman" w:hAnsi="Times New Roman" w:eastAsia="宋体" w:cs="Times New Roman"/>
                      <w:spacing w:val="-6"/>
                      <w:kern w:val="2"/>
                      <w:sz w:val="21"/>
                      <w:szCs w:val="21"/>
                      <w:lang w:val="en-US" w:eastAsia="zh-CN" w:bidi="ar-SA"/>
                    </w:rPr>
                  </w:pPr>
                  <w:r>
                    <w:rPr>
                      <w:rFonts w:hint="default" w:ascii="Times New Roman" w:hAnsi="Times New Roman" w:eastAsia="宋体" w:cs="Times New Roman"/>
                      <w:spacing w:val="-6"/>
                      <w:kern w:val="2"/>
                      <w:sz w:val="21"/>
                      <w:szCs w:val="21"/>
                      <w:lang w:val="en-US" w:eastAsia="zh-CN" w:bidi="ar-SA"/>
                    </w:rPr>
                    <w:t>《环境空气和废气 臭气的测定 三点比较式臭袋法》HJ 1262-2022</w:t>
                  </w:r>
                </w:p>
              </w:tc>
              <w:tc>
                <w:tcPr>
                  <w:tcW w:w="1461" w:type="dxa"/>
                  <w:noWrap w:val="0"/>
                  <w:vAlign w:val="center"/>
                </w:tcPr>
                <w:p w14:paraId="621CCC45">
                  <w:pPr>
                    <w:keepNext w:val="0"/>
                    <w:keepLines w:val="0"/>
                    <w:pageBreakBefore w:val="0"/>
                    <w:widowControl/>
                    <w:kinsoku/>
                    <w:wordWrap/>
                    <w:overflowPunct/>
                    <w:topLinePunct w:val="0"/>
                    <w:autoSpaceDE/>
                    <w:autoSpaceDN/>
                    <w:bidi w:val="0"/>
                    <w:spacing w:line="240" w:lineRule="auto"/>
                    <w:jc w:val="center"/>
                    <w:textAlignment w:val="auto"/>
                    <w:rPr>
                      <w:rFonts w:hint="default" w:ascii="Times New Roman" w:hAnsi="Times New Roman" w:eastAsia="宋体" w:cs="Times New Roman"/>
                      <w:b w:val="0"/>
                      <w:bCs/>
                      <w:color w:val="auto"/>
                      <w:kern w:val="2"/>
                      <w:sz w:val="21"/>
                      <w:szCs w:val="21"/>
                      <w:lang w:val="en-US" w:eastAsia="zh-CN" w:bidi="ar-SA"/>
                    </w:rPr>
                  </w:pPr>
                  <w:r>
                    <w:rPr>
                      <w:rFonts w:hint="eastAsia" w:ascii="Times New Roman" w:hAnsi="Times New Roman" w:cs="Times New Roman"/>
                      <w:b w:val="0"/>
                      <w:bCs/>
                      <w:color w:val="auto"/>
                      <w:kern w:val="2"/>
                      <w:sz w:val="21"/>
                      <w:szCs w:val="21"/>
                      <w:lang w:val="en-US" w:eastAsia="zh-CN" w:bidi="ar-SA"/>
                    </w:rPr>
                    <w:t>/</w:t>
                  </w:r>
                </w:p>
              </w:tc>
              <w:tc>
                <w:tcPr>
                  <w:tcW w:w="1012" w:type="dxa"/>
                  <w:noWrap w:val="0"/>
                  <w:vAlign w:val="center"/>
                </w:tcPr>
                <w:p w14:paraId="04BD1B1D">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b w:val="0"/>
                      <w:bCs/>
                      <w:color w:val="auto"/>
                      <w:kern w:val="2"/>
                      <w:sz w:val="21"/>
                      <w:szCs w:val="21"/>
                      <w:lang w:val="en-US" w:eastAsia="zh-CN" w:bidi="ar-SA"/>
                    </w:rPr>
                  </w:pPr>
                  <w:r>
                    <w:rPr>
                      <w:rFonts w:hint="eastAsia" w:ascii="Times New Roman" w:hAnsi="Times New Roman" w:cs="Times New Roman"/>
                      <w:b w:val="0"/>
                      <w:bCs/>
                      <w:color w:val="auto"/>
                      <w:kern w:val="2"/>
                      <w:sz w:val="21"/>
                      <w:szCs w:val="21"/>
                      <w:lang w:val="en-US" w:eastAsia="zh-CN" w:bidi="ar-SA"/>
                    </w:rPr>
                    <w:t>/</w:t>
                  </w:r>
                </w:p>
              </w:tc>
              <w:tc>
                <w:tcPr>
                  <w:tcW w:w="905" w:type="dxa"/>
                  <w:noWrap w:val="0"/>
                  <w:vAlign w:val="center"/>
                </w:tcPr>
                <w:p w14:paraId="4D7B5E8D">
                  <w:pPr>
                    <w:keepNext w:val="0"/>
                    <w:keepLines w:val="0"/>
                    <w:pageBreakBefore w:val="0"/>
                    <w:widowControl/>
                    <w:kinsoku/>
                    <w:wordWrap/>
                    <w:overflowPunct/>
                    <w:topLinePunct w:val="0"/>
                    <w:autoSpaceDE/>
                    <w:autoSpaceDN/>
                    <w:bidi w:val="0"/>
                    <w:spacing w:line="240" w:lineRule="auto"/>
                    <w:ind w:left="-105" w:leftChars="-50" w:right="-105" w:rightChars="-5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10</w:t>
                  </w:r>
                </w:p>
              </w:tc>
              <w:tc>
                <w:tcPr>
                  <w:tcW w:w="737" w:type="dxa"/>
                  <w:vMerge w:val="continue"/>
                  <w:noWrap w:val="0"/>
                  <w:vAlign w:val="center"/>
                </w:tcPr>
                <w:p w14:paraId="12A2304A">
                  <w:pPr>
                    <w:widowControl/>
                    <w:spacing w:line="280" w:lineRule="exact"/>
                    <w:jc w:val="center"/>
                    <w:rPr>
                      <w:rFonts w:hint="default" w:ascii="Times New Roman" w:hAnsi="Times New Roman" w:cs="Times New Roman"/>
                      <w:color w:val="auto"/>
                      <w:sz w:val="21"/>
                      <w:szCs w:val="21"/>
                    </w:rPr>
                  </w:pPr>
                </w:p>
              </w:tc>
            </w:tr>
          </w:tbl>
          <w:p w14:paraId="1E295F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样设备采样前和采样后要用经检定合格的高一级的流量计在采样负载条件下校准采样系统的采样流量，取两次校准的平均值作为采样流量的实际值。校准时的大气压与温度应和采样时相近，两次校准的误差不得超过5%。</w:t>
            </w:r>
          </w:p>
          <w:p w14:paraId="2250B69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6.2噪声监测分析过程中的质量保证和质量控制</w:t>
            </w:r>
          </w:p>
          <w:p w14:paraId="2EE37B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噪声监测根据《工业企业厂界环境噪声排放标准》（GB12348-2008）及相应测量方法进行，测试仪器选</w:t>
            </w:r>
            <w:r>
              <w:rPr>
                <w:rFonts w:hint="eastAsia" w:ascii="宋体" w:hAnsi="宋体" w:eastAsia="宋体" w:cs="宋体"/>
                <w:color w:val="auto"/>
                <w:sz w:val="24"/>
                <w:szCs w:val="24"/>
                <w:highlight w:val="none"/>
              </w:rPr>
              <w:t>用AWA</w:t>
            </w:r>
            <w:r>
              <w:rPr>
                <w:rFonts w:hint="eastAsia" w:ascii="宋体" w:hAnsi="宋体" w:eastAsia="宋体" w:cs="宋体"/>
                <w:color w:val="auto"/>
                <w:sz w:val="24"/>
                <w:szCs w:val="24"/>
                <w:highlight w:val="none"/>
                <w:lang w:val="en-US" w:eastAsia="zh-CN"/>
              </w:rPr>
              <w:t>5688</w:t>
            </w:r>
            <w:r>
              <w:rPr>
                <w:rFonts w:hint="eastAsia" w:ascii="宋体" w:hAnsi="宋体" w:eastAsia="宋体" w:cs="宋体"/>
                <w:color w:val="auto"/>
                <w:sz w:val="24"/>
                <w:szCs w:val="24"/>
                <w:highlight w:val="none"/>
              </w:rPr>
              <w:t>型</w:t>
            </w:r>
            <w:r>
              <w:rPr>
                <w:rFonts w:hint="eastAsia" w:ascii="宋体" w:hAnsi="宋体" w:eastAsia="宋体" w:cs="宋体"/>
                <w:color w:val="auto"/>
                <w:sz w:val="24"/>
                <w:szCs w:val="24"/>
              </w:rPr>
              <w:t>多功能声级计。</w:t>
            </w:r>
          </w:p>
          <w:p w14:paraId="543A2F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（1）监测时使用经计量部门检定、并在有效使用期内的声级计。</w:t>
            </w:r>
          </w:p>
          <w:p w14:paraId="7BEFA5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（2）噪声统计分析仪在每次使用前需进行校验；测量前后对仪器进行声学校准。</w:t>
            </w:r>
          </w:p>
          <w:p w14:paraId="5466C4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（3）灵敏度相差不大于0.5dB(A)，若大于0.5dB(A)测试数据无效。</w:t>
            </w:r>
          </w:p>
          <w:p w14:paraId="358852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（4）噪声统计分析仪使用时需加防风罩。</w:t>
            </w:r>
          </w:p>
          <w:p w14:paraId="75E841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（5）避免在风速大于5m/s及雨雪天气下监测。</w:t>
            </w:r>
          </w:p>
          <w:p w14:paraId="57CB46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rPr>
              <w:t>该项目噪声监测仪器校准表见表6-</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w:t>
            </w:r>
          </w:p>
          <w:p w14:paraId="0ADB58D0">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表6-</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 xml:space="preserve">                      声级计校准一览表</w:t>
            </w:r>
          </w:p>
          <w:tbl>
            <w:tblPr>
              <w:tblStyle w:val="15"/>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27"/>
              <w:gridCol w:w="1727"/>
              <w:gridCol w:w="1448"/>
              <w:gridCol w:w="4504"/>
            </w:tblGrid>
            <w:tr w14:paraId="6EF6B1F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37" w:type="dxa"/>
                  <w:vMerge w:val="restart"/>
                  <w:noWrap w:val="0"/>
                  <w:vAlign w:val="center"/>
                </w:tcPr>
                <w:p w14:paraId="231A64B2">
                  <w:pPr>
                    <w:pStyle w:val="29"/>
                    <w:spacing w:before="0" w:beforeLines="0" w:line="240" w:lineRule="auto"/>
                    <w:ind w:left="0" w:leftChars="0" w:right="0" w:rightChars="0" w:firstLine="0"/>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测量</w:t>
                  </w:r>
                </w:p>
                <w:p w14:paraId="0669D125">
                  <w:pPr>
                    <w:pStyle w:val="29"/>
                    <w:spacing w:before="0" w:beforeLines="0" w:line="240" w:lineRule="auto"/>
                    <w:ind w:left="0" w:leftChars="0" w:right="0" w:rightChars="0" w:firstLine="0"/>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仪器</w:t>
                  </w:r>
                </w:p>
              </w:tc>
              <w:tc>
                <w:tcPr>
                  <w:tcW w:w="1793" w:type="dxa"/>
                  <w:vMerge w:val="restart"/>
                  <w:noWrap w:val="0"/>
                  <w:vAlign w:val="center"/>
                </w:tcPr>
                <w:p w14:paraId="7BA4D360">
                  <w:pPr>
                    <w:jc w:val="center"/>
                    <w:rPr>
                      <w:rFonts w:hint="default" w:ascii="Times New Roman" w:hAnsi="Times New Roman" w:cs="Times New Roman"/>
                      <w:bCs/>
                      <w:color w:val="auto"/>
                      <w:szCs w:val="21"/>
                    </w:rPr>
                  </w:pPr>
                  <w:r>
                    <w:rPr>
                      <w:rFonts w:hint="default" w:ascii="Times New Roman" w:hAnsi="Times New Roman" w:cs="Times New Roman"/>
                      <w:color w:val="auto"/>
                      <w:szCs w:val="21"/>
                    </w:rPr>
                    <w:t>多功能声级计</w:t>
                  </w:r>
                </w:p>
              </w:tc>
              <w:tc>
                <w:tcPr>
                  <w:tcW w:w="1500" w:type="dxa"/>
                  <w:shd w:val="clear" w:color="auto" w:fill="auto"/>
                  <w:noWrap w:val="0"/>
                  <w:vAlign w:val="center"/>
                </w:tcPr>
                <w:p w14:paraId="196A03A2">
                  <w:pPr>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cs="Times New Roman"/>
                      <w:bCs/>
                      <w:color w:val="auto"/>
                      <w:szCs w:val="21"/>
                    </w:rPr>
                    <w:t>型号</w:t>
                  </w:r>
                </w:p>
              </w:tc>
              <w:tc>
                <w:tcPr>
                  <w:tcW w:w="4668" w:type="dxa"/>
                  <w:noWrap w:val="0"/>
                  <w:vAlign w:val="center"/>
                </w:tcPr>
                <w:p w14:paraId="15D49D2F">
                  <w:pPr>
                    <w:jc w:val="center"/>
                    <w:rPr>
                      <w:rFonts w:hint="default" w:ascii="Times New Roman" w:hAnsi="Times New Roman" w:cs="Times New Roman"/>
                      <w:bCs/>
                      <w:color w:val="auto"/>
                      <w:szCs w:val="21"/>
                      <w:highlight w:val="yellow"/>
                    </w:rPr>
                  </w:pPr>
                  <w:r>
                    <w:rPr>
                      <w:rFonts w:hint="default" w:ascii="Times New Roman" w:hAnsi="Times New Roman" w:cs="Times New Roman"/>
                      <w:color w:val="auto"/>
                      <w:kern w:val="0"/>
                      <w:szCs w:val="21"/>
                    </w:rPr>
                    <w:t>AWA</w:t>
                  </w:r>
                  <w:r>
                    <w:rPr>
                      <w:rFonts w:hint="default" w:ascii="Times New Roman" w:hAnsi="Times New Roman" w:cs="Times New Roman"/>
                      <w:color w:val="auto"/>
                      <w:kern w:val="0"/>
                      <w:szCs w:val="21"/>
                      <w:lang w:val="en-US" w:eastAsia="zh-CN"/>
                    </w:rPr>
                    <w:t>5688</w:t>
                  </w:r>
                </w:p>
              </w:tc>
            </w:tr>
            <w:tr w14:paraId="39DCFCD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637" w:type="dxa"/>
                  <w:vMerge w:val="continue"/>
                  <w:noWrap w:val="0"/>
                  <w:vAlign w:val="center"/>
                </w:tcPr>
                <w:p w14:paraId="0C449BB3">
                  <w:pPr>
                    <w:pStyle w:val="29"/>
                    <w:spacing w:before="0" w:beforeLines="0" w:line="240" w:lineRule="auto"/>
                    <w:ind w:left="0" w:leftChars="0" w:right="0" w:rightChars="0" w:firstLine="0"/>
                    <w:rPr>
                      <w:rFonts w:hint="default" w:ascii="Times New Roman" w:hAnsi="Times New Roman" w:cs="Times New Roman"/>
                      <w:b w:val="0"/>
                      <w:bCs/>
                      <w:color w:val="auto"/>
                      <w:sz w:val="21"/>
                      <w:szCs w:val="21"/>
                    </w:rPr>
                  </w:pPr>
                </w:p>
              </w:tc>
              <w:tc>
                <w:tcPr>
                  <w:tcW w:w="1793" w:type="dxa"/>
                  <w:vMerge w:val="continue"/>
                  <w:noWrap w:val="0"/>
                  <w:vAlign w:val="center"/>
                </w:tcPr>
                <w:p w14:paraId="6436EE44">
                  <w:pPr>
                    <w:jc w:val="center"/>
                    <w:rPr>
                      <w:rFonts w:hint="default" w:ascii="Times New Roman" w:hAnsi="Times New Roman" w:cs="Times New Roman"/>
                      <w:bCs/>
                      <w:color w:val="auto"/>
                      <w:szCs w:val="21"/>
                    </w:rPr>
                  </w:pPr>
                </w:p>
              </w:tc>
              <w:tc>
                <w:tcPr>
                  <w:tcW w:w="1500" w:type="dxa"/>
                  <w:shd w:val="clear" w:color="auto" w:fill="auto"/>
                  <w:noWrap w:val="0"/>
                  <w:vAlign w:val="center"/>
                </w:tcPr>
                <w:p w14:paraId="2C4EE59F">
                  <w:pPr>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cs="Times New Roman"/>
                      <w:bCs/>
                      <w:color w:val="auto"/>
                      <w:szCs w:val="21"/>
                    </w:rPr>
                    <w:t>编号</w:t>
                  </w:r>
                </w:p>
              </w:tc>
              <w:tc>
                <w:tcPr>
                  <w:tcW w:w="4668" w:type="dxa"/>
                  <w:noWrap w:val="0"/>
                  <w:vAlign w:val="center"/>
                </w:tcPr>
                <w:p w14:paraId="07F48DCB">
                  <w:pPr>
                    <w:widowControl/>
                    <w:jc w:val="center"/>
                    <w:rPr>
                      <w:rFonts w:hint="default" w:ascii="Times New Roman" w:hAnsi="Times New Roman" w:eastAsia="宋体" w:cs="Times New Roman"/>
                      <w:bCs/>
                      <w:color w:val="auto"/>
                      <w:szCs w:val="21"/>
                      <w:highlight w:val="yellow"/>
                      <w:lang w:val="en-US" w:eastAsia="zh-CN"/>
                    </w:rPr>
                  </w:pPr>
                  <w:r>
                    <w:rPr>
                      <w:rFonts w:hint="eastAsia" w:cs="Times New Roman"/>
                      <w:b w:val="0"/>
                      <w:bCs w:val="0"/>
                      <w:i w:val="0"/>
                      <w:color w:val="000000" w:themeColor="text1"/>
                      <w:kern w:val="0"/>
                      <w:sz w:val="21"/>
                      <w:szCs w:val="21"/>
                      <w:highlight w:val="none"/>
                      <w:u w:val="none"/>
                      <w:lang w:val="en-US" w:eastAsia="zh-CN" w:bidi="ar"/>
                      <w14:textFill>
                        <w14:solidFill>
                          <w14:schemeClr w14:val="tx1"/>
                        </w14:solidFill>
                      </w14:textFill>
                    </w:rPr>
                    <w:t>YQ-035</w:t>
                  </w:r>
                </w:p>
              </w:tc>
            </w:tr>
            <w:tr w14:paraId="1C1C7E9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637" w:type="dxa"/>
                  <w:vMerge w:val="continue"/>
                  <w:noWrap w:val="0"/>
                  <w:vAlign w:val="center"/>
                </w:tcPr>
                <w:p w14:paraId="6EE7830C">
                  <w:pPr>
                    <w:pStyle w:val="29"/>
                    <w:spacing w:before="0" w:beforeLines="0" w:line="240" w:lineRule="auto"/>
                    <w:ind w:left="0" w:leftChars="0" w:right="0" w:rightChars="0" w:firstLine="0"/>
                    <w:rPr>
                      <w:rFonts w:hint="default" w:ascii="Times New Roman" w:hAnsi="Times New Roman" w:cs="Times New Roman"/>
                      <w:b w:val="0"/>
                      <w:bCs/>
                      <w:color w:val="auto"/>
                      <w:sz w:val="21"/>
                      <w:szCs w:val="21"/>
                    </w:rPr>
                  </w:pPr>
                </w:p>
              </w:tc>
              <w:tc>
                <w:tcPr>
                  <w:tcW w:w="1793" w:type="dxa"/>
                  <w:vMerge w:val="restart"/>
                  <w:noWrap w:val="0"/>
                  <w:vAlign w:val="center"/>
                </w:tcPr>
                <w:p w14:paraId="18B37FD3">
                  <w:pPr>
                    <w:jc w:val="center"/>
                    <w:rPr>
                      <w:rFonts w:hint="default" w:ascii="Times New Roman" w:hAnsi="Times New Roman" w:cs="Times New Roman"/>
                      <w:bCs/>
                      <w:color w:val="auto"/>
                      <w:kern w:val="2"/>
                      <w:sz w:val="21"/>
                      <w:szCs w:val="21"/>
                      <w:lang w:val="en-US" w:eastAsia="zh-CN" w:bidi="ar-SA"/>
                    </w:rPr>
                  </w:pPr>
                  <w:r>
                    <w:rPr>
                      <w:rFonts w:hint="default" w:ascii="Times New Roman" w:hAnsi="Times New Roman" w:cs="Times New Roman"/>
                      <w:bCs/>
                      <w:color w:val="auto"/>
                      <w:kern w:val="2"/>
                      <w:sz w:val="21"/>
                      <w:szCs w:val="21"/>
                      <w:lang w:val="en-US" w:eastAsia="zh-CN" w:bidi="ar-SA"/>
                    </w:rPr>
                    <w:t>气象参数仪</w:t>
                  </w:r>
                </w:p>
              </w:tc>
              <w:tc>
                <w:tcPr>
                  <w:tcW w:w="1500" w:type="dxa"/>
                  <w:shd w:val="clear" w:color="auto" w:fill="auto"/>
                  <w:noWrap w:val="0"/>
                  <w:vAlign w:val="center"/>
                </w:tcPr>
                <w:p w14:paraId="04B3FFD9">
                  <w:pPr>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cs="Times New Roman"/>
                      <w:bCs/>
                      <w:color w:val="auto"/>
                      <w:szCs w:val="21"/>
                    </w:rPr>
                    <w:t>型号</w:t>
                  </w:r>
                </w:p>
              </w:tc>
              <w:tc>
                <w:tcPr>
                  <w:tcW w:w="4668" w:type="dxa"/>
                  <w:noWrap w:val="0"/>
                  <w:vAlign w:val="center"/>
                </w:tcPr>
                <w:p w14:paraId="66C24F78">
                  <w:pPr>
                    <w:widowControl/>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GM816</w:t>
                  </w:r>
                </w:p>
              </w:tc>
            </w:tr>
            <w:tr w14:paraId="507A7AD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637" w:type="dxa"/>
                  <w:vMerge w:val="continue"/>
                  <w:noWrap w:val="0"/>
                  <w:vAlign w:val="center"/>
                </w:tcPr>
                <w:p w14:paraId="0B407AB9">
                  <w:pPr>
                    <w:pStyle w:val="29"/>
                    <w:spacing w:before="0" w:beforeLines="0" w:line="240" w:lineRule="auto"/>
                    <w:ind w:left="0" w:leftChars="0" w:right="0" w:rightChars="0" w:firstLine="0"/>
                    <w:rPr>
                      <w:rFonts w:hint="default" w:ascii="Times New Roman" w:hAnsi="Times New Roman" w:cs="Times New Roman"/>
                      <w:b w:val="0"/>
                      <w:bCs/>
                      <w:color w:val="auto"/>
                      <w:sz w:val="21"/>
                      <w:szCs w:val="21"/>
                    </w:rPr>
                  </w:pPr>
                </w:p>
              </w:tc>
              <w:tc>
                <w:tcPr>
                  <w:tcW w:w="1793" w:type="dxa"/>
                  <w:vMerge w:val="continue"/>
                  <w:noWrap w:val="0"/>
                  <w:vAlign w:val="center"/>
                </w:tcPr>
                <w:p w14:paraId="49C7A60C">
                  <w:pPr>
                    <w:jc w:val="center"/>
                    <w:rPr>
                      <w:rFonts w:hint="default" w:ascii="Times New Roman" w:hAnsi="Times New Roman" w:cs="Times New Roman"/>
                      <w:bCs/>
                      <w:color w:val="auto"/>
                      <w:kern w:val="2"/>
                      <w:sz w:val="21"/>
                      <w:szCs w:val="21"/>
                      <w:lang w:val="en-US" w:eastAsia="zh-CN" w:bidi="ar-SA"/>
                    </w:rPr>
                  </w:pPr>
                </w:p>
              </w:tc>
              <w:tc>
                <w:tcPr>
                  <w:tcW w:w="1500" w:type="dxa"/>
                  <w:shd w:val="clear" w:color="auto" w:fill="auto"/>
                  <w:noWrap w:val="0"/>
                  <w:vAlign w:val="center"/>
                </w:tcPr>
                <w:p w14:paraId="111F2447">
                  <w:pPr>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cs="Times New Roman"/>
                      <w:bCs/>
                      <w:color w:val="auto"/>
                      <w:szCs w:val="21"/>
                    </w:rPr>
                    <w:t>编号</w:t>
                  </w:r>
                </w:p>
              </w:tc>
              <w:tc>
                <w:tcPr>
                  <w:tcW w:w="4668" w:type="dxa"/>
                  <w:noWrap w:val="0"/>
                  <w:vAlign w:val="center"/>
                </w:tcPr>
                <w:p w14:paraId="49A9AA46">
                  <w:pPr>
                    <w:widowControl/>
                    <w:jc w:val="center"/>
                    <w:rPr>
                      <w:rFonts w:hint="default" w:ascii="Times New Roman" w:hAnsi="Times New Roman" w:eastAsia="宋体" w:cs="Times New Roman"/>
                      <w:color w:val="auto"/>
                      <w:sz w:val="21"/>
                      <w:szCs w:val="21"/>
                      <w:lang w:val="en-US" w:eastAsia="zh-CN"/>
                    </w:rPr>
                  </w:pPr>
                  <w:r>
                    <w:rPr>
                      <w:rFonts w:hint="eastAsia" w:cs="Times New Roman"/>
                      <w:b w:val="0"/>
                      <w:bCs w:val="0"/>
                      <w:i w:val="0"/>
                      <w:color w:val="000000" w:themeColor="text1"/>
                      <w:kern w:val="0"/>
                      <w:sz w:val="21"/>
                      <w:szCs w:val="21"/>
                      <w:highlight w:val="none"/>
                      <w:u w:val="none"/>
                      <w:lang w:val="en-US" w:eastAsia="zh-CN" w:bidi="ar"/>
                      <w14:textFill>
                        <w14:solidFill>
                          <w14:schemeClr w14:val="tx1"/>
                        </w14:solidFill>
                      </w14:textFill>
                    </w:rPr>
                    <w:t>YQ-121</w:t>
                  </w:r>
                </w:p>
              </w:tc>
            </w:tr>
            <w:tr w14:paraId="194A001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637" w:type="dxa"/>
                  <w:vMerge w:val="restart"/>
                  <w:noWrap w:val="0"/>
                  <w:vAlign w:val="center"/>
                </w:tcPr>
                <w:p w14:paraId="37B7C0D9">
                  <w:pPr>
                    <w:pStyle w:val="29"/>
                    <w:spacing w:before="0" w:beforeLines="0" w:line="240" w:lineRule="auto"/>
                    <w:ind w:left="0" w:leftChars="0" w:right="0" w:rightChars="0" w:firstLine="0"/>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校准</w:t>
                  </w:r>
                </w:p>
                <w:p w14:paraId="1E064E7A">
                  <w:pPr>
                    <w:pStyle w:val="29"/>
                    <w:spacing w:before="0" w:beforeLines="0" w:line="240" w:lineRule="auto"/>
                    <w:ind w:left="0" w:leftChars="0" w:right="0" w:rightChars="0" w:firstLine="0"/>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仪器</w:t>
                  </w:r>
                </w:p>
              </w:tc>
              <w:tc>
                <w:tcPr>
                  <w:tcW w:w="1793" w:type="dxa"/>
                  <w:vMerge w:val="restart"/>
                  <w:noWrap w:val="0"/>
                  <w:vAlign w:val="center"/>
                </w:tcPr>
                <w:p w14:paraId="5A90DF52">
                  <w:pPr>
                    <w:pStyle w:val="29"/>
                    <w:spacing w:before="0" w:beforeLines="0" w:line="240" w:lineRule="auto"/>
                    <w:ind w:left="0" w:leftChars="0" w:right="0" w:rightChars="0" w:firstLine="0"/>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声校准器</w:t>
                  </w:r>
                </w:p>
              </w:tc>
              <w:tc>
                <w:tcPr>
                  <w:tcW w:w="1500" w:type="dxa"/>
                  <w:noWrap w:val="0"/>
                  <w:vAlign w:val="center"/>
                </w:tcPr>
                <w:p w14:paraId="02028C6C">
                  <w:pPr>
                    <w:pStyle w:val="29"/>
                    <w:spacing w:before="0" w:beforeLines="0" w:line="240" w:lineRule="auto"/>
                    <w:ind w:left="0" w:leftChars="0" w:right="0" w:rightChars="0" w:firstLine="0" w:firstLineChars="0"/>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型号</w:t>
                  </w:r>
                </w:p>
              </w:tc>
              <w:tc>
                <w:tcPr>
                  <w:tcW w:w="4668" w:type="dxa"/>
                  <w:noWrap w:val="0"/>
                  <w:vAlign w:val="center"/>
                </w:tcPr>
                <w:p w14:paraId="2ABA85DD">
                  <w:pPr>
                    <w:jc w:val="center"/>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AWA6022A</w:t>
                  </w:r>
                </w:p>
              </w:tc>
            </w:tr>
            <w:tr w14:paraId="7F6806F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637" w:type="dxa"/>
                  <w:vMerge w:val="continue"/>
                  <w:noWrap w:val="0"/>
                  <w:vAlign w:val="center"/>
                </w:tcPr>
                <w:p w14:paraId="55955C7F">
                  <w:pPr>
                    <w:pStyle w:val="29"/>
                    <w:spacing w:before="159" w:line="240" w:lineRule="auto"/>
                    <w:ind w:left="0" w:leftChars="0" w:right="0" w:rightChars="0" w:firstLine="0"/>
                    <w:rPr>
                      <w:rFonts w:hint="default" w:ascii="Times New Roman" w:hAnsi="Times New Roman" w:cs="Times New Roman"/>
                      <w:b w:val="0"/>
                      <w:bCs/>
                      <w:color w:val="auto"/>
                      <w:sz w:val="21"/>
                      <w:szCs w:val="21"/>
                    </w:rPr>
                  </w:pPr>
                </w:p>
              </w:tc>
              <w:tc>
                <w:tcPr>
                  <w:tcW w:w="1793" w:type="dxa"/>
                  <w:vMerge w:val="continue"/>
                  <w:noWrap w:val="0"/>
                  <w:vAlign w:val="center"/>
                </w:tcPr>
                <w:p w14:paraId="2FA9F7A0">
                  <w:pPr>
                    <w:pStyle w:val="29"/>
                    <w:spacing w:before="0" w:beforeLines="0" w:line="240" w:lineRule="auto"/>
                    <w:ind w:left="0" w:leftChars="0" w:right="0" w:rightChars="0" w:firstLine="0"/>
                    <w:rPr>
                      <w:rFonts w:hint="default" w:ascii="Times New Roman" w:hAnsi="Times New Roman" w:cs="Times New Roman"/>
                      <w:b w:val="0"/>
                      <w:bCs/>
                      <w:color w:val="auto"/>
                      <w:sz w:val="21"/>
                      <w:szCs w:val="21"/>
                    </w:rPr>
                  </w:pPr>
                </w:p>
              </w:tc>
              <w:tc>
                <w:tcPr>
                  <w:tcW w:w="1500" w:type="dxa"/>
                  <w:noWrap w:val="0"/>
                  <w:vAlign w:val="center"/>
                </w:tcPr>
                <w:p w14:paraId="390AF454">
                  <w:pPr>
                    <w:pStyle w:val="29"/>
                    <w:spacing w:before="0" w:beforeLines="0" w:line="240" w:lineRule="auto"/>
                    <w:ind w:left="0" w:leftChars="0" w:right="0" w:rightChars="0" w:firstLine="0" w:firstLineChars="0"/>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编号</w:t>
                  </w:r>
                </w:p>
              </w:tc>
              <w:tc>
                <w:tcPr>
                  <w:tcW w:w="4668" w:type="dxa"/>
                  <w:noWrap w:val="0"/>
                  <w:vAlign w:val="center"/>
                </w:tcPr>
                <w:p w14:paraId="2046566E">
                  <w:pPr>
                    <w:widowControl/>
                    <w:jc w:val="center"/>
                    <w:rPr>
                      <w:rFonts w:hint="default" w:ascii="Times New Roman" w:hAnsi="Times New Roman" w:eastAsia="宋体" w:cs="Times New Roman"/>
                      <w:bCs/>
                      <w:color w:val="auto"/>
                      <w:szCs w:val="21"/>
                      <w:highlight w:val="none"/>
                      <w:lang w:val="en-US" w:eastAsia="zh-CN"/>
                    </w:rPr>
                  </w:pPr>
                  <w:r>
                    <w:rPr>
                      <w:rFonts w:hint="eastAsia" w:cs="Times New Roman"/>
                      <w:b w:val="0"/>
                      <w:bCs w:val="0"/>
                      <w:i w:val="0"/>
                      <w:color w:val="000000" w:themeColor="text1"/>
                      <w:kern w:val="0"/>
                      <w:sz w:val="21"/>
                      <w:szCs w:val="21"/>
                      <w:highlight w:val="none"/>
                      <w:u w:val="none"/>
                      <w:lang w:val="en-US" w:eastAsia="zh-CN" w:bidi="ar"/>
                      <w14:textFill>
                        <w14:solidFill>
                          <w14:schemeClr w14:val="tx1"/>
                        </w14:solidFill>
                      </w14:textFill>
                    </w:rPr>
                    <w:t>YQ-130</w:t>
                  </w:r>
                </w:p>
              </w:tc>
            </w:tr>
          </w:tbl>
          <w:p w14:paraId="2B9830BF">
            <w:pPr>
              <w:pStyle w:val="22"/>
              <w:ind w:left="0" w:leftChars="0" w:firstLine="0" w:firstLineChars="0"/>
              <w:rPr>
                <w:rFonts w:hint="default" w:ascii="Times New Roman" w:hAnsi="Times New Roman" w:eastAsia="宋体" w:cs="Times New Roman"/>
                <w:b/>
                <w:bCs/>
                <w:kern w:val="2"/>
                <w:sz w:val="24"/>
                <w:szCs w:val="24"/>
                <w:lang w:val="en-US" w:eastAsia="zh-CN" w:bidi="ar-SA"/>
              </w:rPr>
            </w:pPr>
            <w:r>
              <w:rPr>
                <w:rFonts w:hint="default" w:ascii="Times New Roman" w:hAnsi="Times New Roman" w:eastAsia="宋体" w:cs="Times New Roman"/>
                <w:b/>
                <w:bCs/>
                <w:kern w:val="2"/>
                <w:sz w:val="24"/>
                <w:szCs w:val="24"/>
                <w:lang w:val="en-US" w:eastAsia="zh-CN" w:bidi="ar-SA"/>
              </w:rPr>
              <w:t>6.</w:t>
            </w:r>
            <w:r>
              <w:rPr>
                <w:rFonts w:hint="eastAsia" w:ascii="Times New Roman" w:hAnsi="Times New Roman" w:eastAsia="宋体" w:cs="Times New Roman"/>
                <w:b/>
                <w:bCs/>
                <w:kern w:val="2"/>
                <w:sz w:val="24"/>
                <w:szCs w:val="24"/>
                <w:lang w:val="en-US" w:eastAsia="zh-CN" w:bidi="ar-SA"/>
              </w:rPr>
              <w:t>3</w:t>
            </w:r>
            <w:r>
              <w:rPr>
                <w:rFonts w:hint="eastAsia" w:ascii="Times New Roman" w:hAnsi="Times New Roman" w:cs="Times New Roman"/>
                <w:b/>
                <w:bCs/>
                <w:kern w:val="2"/>
                <w:sz w:val="24"/>
                <w:szCs w:val="24"/>
                <w:lang w:val="en-US" w:eastAsia="zh-CN" w:bidi="ar-SA"/>
              </w:rPr>
              <w:t xml:space="preserve"> 废水检测内容</w:t>
            </w:r>
          </w:p>
          <w:p w14:paraId="3D7AC97A">
            <w:pPr>
              <w:pStyle w:val="22"/>
              <w:ind w:left="0" w:leftChars="0" w:firstLine="480" w:firstLineChars="200"/>
              <w:rPr>
                <w:rFonts w:hint="eastAsia" w:ascii="Times New Roman" w:hAnsi="Times New Roman" w:cs="Times New Roman"/>
                <w:b w:val="0"/>
                <w:bCs w:val="0"/>
                <w:kern w:val="2"/>
                <w:sz w:val="24"/>
                <w:szCs w:val="24"/>
                <w:lang w:val="en-US" w:eastAsia="zh-CN" w:bidi="ar-SA"/>
              </w:rPr>
            </w:pPr>
            <w:r>
              <w:rPr>
                <w:rFonts w:hint="eastAsia" w:ascii="Times New Roman" w:hAnsi="Times New Roman" w:cs="Times New Roman"/>
                <w:b w:val="0"/>
                <w:bCs w:val="0"/>
                <w:kern w:val="2"/>
                <w:sz w:val="24"/>
                <w:szCs w:val="24"/>
                <w:lang w:val="en-US" w:eastAsia="zh-CN" w:bidi="ar-SA"/>
              </w:rPr>
              <w:t>本项目废水主要是生产废水和员工生活污水，具体监测内容如下：</w:t>
            </w:r>
          </w:p>
          <w:p w14:paraId="58C4DBD9">
            <w:pPr>
              <w:pStyle w:val="29"/>
              <w:ind w:firstLine="480"/>
              <w:rPr>
                <w:rFonts w:hint="default" w:ascii="Times New Roman" w:hAnsi="Times New Roman" w:cs="Times New Roman"/>
                <w:lang w:val="en-US" w:eastAsia="zh-CN"/>
              </w:rPr>
            </w:pPr>
            <w:r>
              <w:rPr>
                <w:rFonts w:hint="default" w:ascii="Times New Roman" w:hAnsi="Times New Roman" w:cs="Times New Roman"/>
                <w:lang w:val="en-US" w:eastAsia="zh-CN"/>
              </w:rPr>
              <w:t>表6.</w:t>
            </w:r>
            <w:r>
              <w:rPr>
                <w:rFonts w:hint="eastAsia" w:ascii="Times New Roman" w:hAnsi="Times New Roman" w:cs="Times New Roman"/>
                <w:lang w:val="en-US" w:eastAsia="zh-CN"/>
              </w:rPr>
              <w:t>3</w:t>
            </w:r>
            <w:r>
              <w:rPr>
                <w:rFonts w:hint="default" w:ascii="Times New Roman" w:hAnsi="Times New Roman" w:cs="Times New Roman"/>
                <w:lang w:val="en-US" w:eastAsia="zh-CN"/>
              </w:rPr>
              <w:t xml:space="preserve">-1 </w:t>
            </w:r>
            <w:r>
              <w:rPr>
                <w:rFonts w:hint="eastAsia" w:ascii="Times New Roman" w:hAnsi="Times New Roman" w:cs="Times New Roman"/>
                <w:lang w:val="en-US" w:eastAsia="zh-CN"/>
              </w:rPr>
              <w:t>废水</w:t>
            </w:r>
            <w:r>
              <w:rPr>
                <w:rFonts w:hint="default" w:ascii="Times New Roman" w:hAnsi="Times New Roman" w:cs="Times New Roman"/>
                <w:lang w:val="en-US" w:eastAsia="zh-CN"/>
              </w:rPr>
              <w:t>监测点位</w:t>
            </w:r>
          </w:p>
          <w:tbl>
            <w:tblPr>
              <w:tblStyle w:val="16"/>
              <w:tblW w:w="8220" w:type="dxa"/>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108" w:type="dxa"/>
                <w:bottom w:w="0" w:type="dxa"/>
                <w:right w:w="108" w:type="dxa"/>
              </w:tblCellMar>
            </w:tblPr>
            <w:tblGrid>
              <w:gridCol w:w="2459"/>
              <w:gridCol w:w="3021"/>
              <w:gridCol w:w="2740"/>
            </w:tblGrid>
            <w:tr w14:paraId="4F53D54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2459" w:type="dxa"/>
                  <w:tcBorders>
                    <w:tl2br w:val="nil"/>
                    <w:tr2bl w:val="nil"/>
                  </w:tcBorders>
                  <w:noWrap w:val="0"/>
                  <w:vAlign w:val="center"/>
                </w:tcPr>
                <w:p w14:paraId="0DB0957A">
                  <w:pPr>
                    <w:jc w:val="center"/>
                    <w:rPr>
                      <w:rFonts w:hint="default" w:ascii="Times New Roman" w:hAnsi="Times New Roman" w:cs="Times New Roman"/>
                      <w:b/>
                      <w:bCs/>
                      <w:vertAlign w:val="baseline"/>
                      <w:lang w:val="en-US" w:eastAsia="zh-CN"/>
                    </w:rPr>
                  </w:pPr>
                  <w:r>
                    <w:rPr>
                      <w:rFonts w:hint="default" w:ascii="Times New Roman" w:hAnsi="Times New Roman" w:cs="Times New Roman"/>
                      <w:b/>
                      <w:bCs/>
                      <w:vertAlign w:val="baseline"/>
                      <w:lang w:val="en-US" w:eastAsia="zh-CN"/>
                    </w:rPr>
                    <w:t>监测点位</w:t>
                  </w:r>
                </w:p>
              </w:tc>
              <w:tc>
                <w:tcPr>
                  <w:tcW w:w="3021" w:type="dxa"/>
                  <w:tcBorders>
                    <w:tl2br w:val="nil"/>
                    <w:tr2bl w:val="nil"/>
                  </w:tcBorders>
                  <w:noWrap w:val="0"/>
                  <w:vAlign w:val="center"/>
                </w:tcPr>
                <w:p w14:paraId="48B64F5D">
                  <w:pPr>
                    <w:jc w:val="center"/>
                    <w:rPr>
                      <w:rFonts w:hint="default" w:ascii="Times New Roman" w:hAnsi="Times New Roman" w:cs="Times New Roman"/>
                      <w:b/>
                      <w:bCs/>
                      <w:vertAlign w:val="baseline"/>
                      <w:lang w:val="en-US" w:eastAsia="zh-CN"/>
                    </w:rPr>
                  </w:pPr>
                  <w:r>
                    <w:rPr>
                      <w:rFonts w:hint="default" w:ascii="Times New Roman" w:hAnsi="Times New Roman" w:cs="Times New Roman"/>
                      <w:b/>
                      <w:bCs/>
                      <w:vertAlign w:val="baseline"/>
                      <w:lang w:val="en-US" w:eastAsia="zh-CN"/>
                    </w:rPr>
                    <w:t>监测因子</w:t>
                  </w:r>
                </w:p>
              </w:tc>
              <w:tc>
                <w:tcPr>
                  <w:tcW w:w="2740" w:type="dxa"/>
                  <w:tcBorders>
                    <w:tl2br w:val="nil"/>
                    <w:tr2bl w:val="nil"/>
                  </w:tcBorders>
                  <w:noWrap w:val="0"/>
                  <w:vAlign w:val="center"/>
                </w:tcPr>
                <w:p w14:paraId="2EBC2FD0">
                  <w:pPr>
                    <w:jc w:val="center"/>
                    <w:rPr>
                      <w:rFonts w:hint="default" w:ascii="Times New Roman" w:hAnsi="Times New Roman" w:cs="Times New Roman"/>
                      <w:b/>
                      <w:bCs/>
                      <w:vertAlign w:val="baseline"/>
                      <w:lang w:val="en-US" w:eastAsia="zh-CN"/>
                    </w:rPr>
                  </w:pPr>
                  <w:r>
                    <w:rPr>
                      <w:rFonts w:hint="default" w:ascii="Times New Roman" w:hAnsi="Times New Roman" w:cs="Times New Roman"/>
                      <w:b/>
                      <w:bCs/>
                      <w:vertAlign w:val="baseline"/>
                      <w:lang w:val="en-US" w:eastAsia="zh-CN"/>
                    </w:rPr>
                    <w:t>监测频次</w:t>
                  </w:r>
                </w:p>
              </w:tc>
            </w:tr>
            <w:tr w14:paraId="02C0137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409" w:hRule="atLeast"/>
                <w:jc w:val="center"/>
              </w:trPr>
              <w:tc>
                <w:tcPr>
                  <w:tcW w:w="2459" w:type="dxa"/>
                  <w:vMerge w:val="restart"/>
                  <w:tcBorders>
                    <w:tl2br w:val="nil"/>
                    <w:tr2bl w:val="nil"/>
                  </w:tcBorders>
                  <w:noWrap w:val="0"/>
                  <w:vAlign w:val="center"/>
                </w:tcPr>
                <w:p w14:paraId="08C5C400">
                  <w:pPr>
                    <w:jc w:val="center"/>
                    <w:rPr>
                      <w:rFonts w:hint="default" w:ascii="Times New Roman" w:hAnsi="Times New Roman" w:cs="Times New Roman"/>
                      <w:vertAlign w:val="baseline"/>
                      <w:lang w:val="en-US" w:eastAsia="zh-CN"/>
                    </w:rPr>
                  </w:pPr>
                  <w:r>
                    <w:rPr>
                      <w:rFonts w:hint="eastAsia" w:ascii="Times New Roman" w:hAnsi="Times New Roman" w:cs="Times New Roman"/>
                      <w:szCs w:val="21"/>
                      <w:lang w:val="en-US" w:eastAsia="zh-CN"/>
                    </w:rPr>
                    <w:t>污水处理站</w:t>
                  </w:r>
                  <w:r>
                    <w:rPr>
                      <w:rFonts w:hint="default" w:ascii="Times New Roman" w:hAnsi="Times New Roman" w:cs="Times New Roman"/>
                      <w:szCs w:val="21"/>
                      <w:lang w:val="en-US" w:eastAsia="zh-CN"/>
                    </w:rPr>
                    <w:t>1#</w:t>
                  </w:r>
                  <w:r>
                    <w:rPr>
                      <w:rFonts w:hint="default" w:ascii="Times New Roman" w:hAnsi="Times New Roman" w:cs="Times New Roman"/>
                      <w:szCs w:val="21"/>
                      <w:lang w:eastAsia="zh-CN"/>
                    </w:rPr>
                    <w:t>总排口</w:t>
                  </w:r>
                </w:p>
              </w:tc>
              <w:tc>
                <w:tcPr>
                  <w:tcW w:w="3021" w:type="dxa"/>
                  <w:tcBorders>
                    <w:tl2br w:val="nil"/>
                    <w:tr2bl w:val="nil"/>
                  </w:tcBorders>
                  <w:noWrap w:val="0"/>
                  <w:vAlign w:val="center"/>
                </w:tcPr>
                <w:p w14:paraId="6977CBB0">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szCs w:val="21"/>
                    </w:rPr>
                    <w:t>pH</w:t>
                  </w:r>
                </w:p>
              </w:tc>
              <w:tc>
                <w:tcPr>
                  <w:tcW w:w="2740" w:type="dxa"/>
                  <w:vMerge w:val="restart"/>
                  <w:tcBorders>
                    <w:tl2br w:val="nil"/>
                    <w:tr2bl w:val="nil"/>
                  </w:tcBorders>
                  <w:noWrap w:val="0"/>
                  <w:vAlign w:val="center"/>
                </w:tcPr>
                <w:p w14:paraId="47C6E673">
                  <w:pPr>
                    <w:jc w:val="center"/>
                    <w:rPr>
                      <w:rFonts w:hint="default" w:ascii="Times New Roman" w:hAnsi="Times New Roman" w:cs="Times New Roman"/>
                      <w:vertAlign w:val="baseline"/>
                      <w:lang w:val="en-US" w:eastAsia="zh-CN"/>
                    </w:rPr>
                  </w:pPr>
                  <w:r>
                    <w:rPr>
                      <w:rFonts w:hint="eastAsia" w:ascii="Times New Roman" w:hAnsi="Times New Roman" w:cs="Times New Roman"/>
                      <w:vertAlign w:val="baseline"/>
                      <w:lang w:val="en-US" w:eastAsia="zh-CN"/>
                    </w:rPr>
                    <w:t>4</w:t>
                  </w:r>
                  <w:r>
                    <w:rPr>
                      <w:rFonts w:hint="default" w:ascii="Times New Roman" w:hAnsi="Times New Roman" w:cs="Times New Roman"/>
                      <w:vertAlign w:val="baseline"/>
                      <w:lang w:val="en-US" w:eastAsia="zh-CN"/>
                    </w:rPr>
                    <w:t>次/天，共2天</w:t>
                  </w:r>
                </w:p>
              </w:tc>
            </w:tr>
            <w:tr w14:paraId="5A37FDC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409" w:hRule="atLeast"/>
                <w:jc w:val="center"/>
              </w:trPr>
              <w:tc>
                <w:tcPr>
                  <w:tcW w:w="2459" w:type="dxa"/>
                  <w:vMerge w:val="continue"/>
                  <w:tcBorders>
                    <w:tl2br w:val="nil"/>
                    <w:tr2bl w:val="nil"/>
                  </w:tcBorders>
                  <w:noWrap w:val="0"/>
                  <w:vAlign w:val="center"/>
                </w:tcPr>
                <w:p w14:paraId="537FA6A7">
                  <w:pPr>
                    <w:jc w:val="center"/>
                    <w:rPr>
                      <w:rFonts w:hint="eastAsia" w:ascii="Times New Roman" w:hAnsi="Times New Roman" w:cs="Times New Roman"/>
                      <w:color w:val="000000"/>
                      <w:highlight w:val="none"/>
                      <w:lang w:val="en-US" w:eastAsia="zh-CN"/>
                    </w:rPr>
                  </w:pPr>
                </w:p>
              </w:tc>
              <w:tc>
                <w:tcPr>
                  <w:tcW w:w="3021" w:type="dxa"/>
                  <w:tcBorders>
                    <w:tl2br w:val="nil"/>
                    <w:tr2bl w:val="nil"/>
                  </w:tcBorders>
                  <w:noWrap w:val="0"/>
                  <w:vAlign w:val="center"/>
                </w:tcPr>
                <w:p w14:paraId="7B3181CE">
                  <w:pPr>
                    <w:jc w:val="center"/>
                    <w:rPr>
                      <w:rFonts w:hint="eastAsia" w:ascii="Times New Roman" w:hAnsi="Times New Roman" w:eastAsia="宋体" w:cs="Times New Roman"/>
                      <w:color w:val="auto"/>
                      <w:kern w:val="2"/>
                      <w:sz w:val="21"/>
                      <w:szCs w:val="21"/>
                      <w:highlight w:val="none"/>
                      <w:shd w:val="clear" w:color="auto" w:fill="auto"/>
                      <w:lang w:val="en-US" w:eastAsia="zh-CN" w:bidi="ar-SA"/>
                    </w:rPr>
                  </w:pPr>
                  <w:r>
                    <w:rPr>
                      <w:rFonts w:hint="eastAsia"/>
                      <w:szCs w:val="21"/>
                      <w:lang w:eastAsia="zh-CN"/>
                    </w:rPr>
                    <w:t>五日生化需氧量</w:t>
                  </w:r>
                </w:p>
              </w:tc>
              <w:tc>
                <w:tcPr>
                  <w:tcW w:w="2740" w:type="dxa"/>
                  <w:vMerge w:val="continue"/>
                  <w:tcBorders>
                    <w:tl2br w:val="nil"/>
                    <w:tr2bl w:val="nil"/>
                  </w:tcBorders>
                  <w:noWrap w:val="0"/>
                  <w:vAlign w:val="center"/>
                </w:tcPr>
                <w:p w14:paraId="43D6B473">
                  <w:pPr>
                    <w:jc w:val="center"/>
                    <w:rPr>
                      <w:rFonts w:hint="default" w:ascii="Times New Roman" w:hAnsi="Times New Roman" w:cs="Times New Roman"/>
                      <w:vertAlign w:val="baseline"/>
                      <w:lang w:val="en-US" w:eastAsia="zh-CN"/>
                    </w:rPr>
                  </w:pPr>
                </w:p>
              </w:tc>
            </w:tr>
            <w:tr w14:paraId="31478CC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409" w:hRule="atLeast"/>
                <w:jc w:val="center"/>
              </w:trPr>
              <w:tc>
                <w:tcPr>
                  <w:tcW w:w="2459" w:type="dxa"/>
                  <w:vMerge w:val="continue"/>
                  <w:tcBorders>
                    <w:tl2br w:val="nil"/>
                    <w:tr2bl w:val="nil"/>
                  </w:tcBorders>
                  <w:noWrap w:val="0"/>
                  <w:vAlign w:val="center"/>
                </w:tcPr>
                <w:p w14:paraId="5BD3D21E">
                  <w:pPr>
                    <w:jc w:val="center"/>
                    <w:rPr>
                      <w:rFonts w:hint="eastAsia" w:ascii="Times New Roman" w:hAnsi="Times New Roman" w:cs="Times New Roman"/>
                      <w:color w:val="000000"/>
                      <w:highlight w:val="none"/>
                      <w:lang w:val="en-US" w:eastAsia="zh-CN"/>
                    </w:rPr>
                  </w:pPr>
                </w:p>
              </w:tc>
              <w:tc>
                <w:tcPr>
                  <w:tcW w:w="3021" w:type="dxa"/>
                  <w:tcBorders>
                    <w:tl2br w:val="nil"/>
                    <w:tr2bl w:val="nil"/>
                  </w:tcBorders>
                  <w:noWrap w:val="0"/>
                  <w:vAlign w:val="center"/>
                </w:tcPr>
                <w:p w14:paraId="6E85259E">
                  <w:pPr>
                    <w:jc w:val="center"/>
                    <w:rPr>
                      <w:rFonts w:hint="eastAsia" w:ascii="Times New Roman" w:hAnsi="Times New Roman" w:eastAsia="宋体" w:cs="Times New Roman"/>
                      <w:color w:val="auto"/>
                      <w:kern w:val="2"/>
                      <w:sz w:val="21"/>
                      <w:szCs w:val="21"/>
                      <w:highlight w:val="none"/>
                      <w:shd w:val="clear" w:color="auto" w:fill="auto"/>
                      <w:lang w:val="en-US" w:eastAsia="zh-CN" w:bidi="ar-SA"/>
                    </w:rPr>
                  </w:pPr>
                  <w:r>
                    <w:rPr>
                      <w:szCs w:val="21"/>
                    </w:rPr>
                    <w:t>化学需氧量</w:t>
                  </w:r>
                </w:p>
              </w:tc>
              <w:tc>
                <w:tcPr>
                  <w:tcW w:w="2740" w:type="dxa"/>
                  <w:vMerge w:val="continue"/>
                  <w:tcBorders>
                    <w:tl2br w:val="nil"/>
                    <w:tr2bl w:val="nil"/>
                  </w:tcBorders>
                  <w:noWrap w:val="0"/>
                  <w:vAlign w:val="center"/>
                </w:tcPr>
                <w:p w14:paraId="494107A2">
                  <w:pPr>
                    <w:jc w:val="center"/>
                    <w:rPr>
                      <w:rFonts w:hint="default" w:ascii="Times New Roman" w:hAnsi="Times New Roman" w:cs="Times New Roman"/>
                      <w:vertAlign w:val="baseline"/>
                      <w:lang w:val="en-US" w:eastAsia="zh-CN"/>
                    </w:rPr>
                  </w:pPr>
                </w:p>
              </w:tc>
            </w:tr>
            <w:tr w14:paraId="5BF4585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409" w:hRule="atLeast"/>
                <w:jc w:val="center"/>
              </w:trPr>
              <w:tc>
                <w:tcPr>
                  <w:tcW w:w="2459" w:type="dxa"/>
                  <w:vMerge w:val="continue"/>
                  <w:tcBorders>
                    <w:tl2br w:val="nil"/>
                    <w:tr2bl w:val="nil"/>
                  </w:tcBorders>
                  <w:noWrap w:val="0"/>
                  <w:vAlign w:val="center"/>
                </w:tcPr>
                <w:p w14:paraId="5C72A609">
                  <w:pPr>
                    <w:jc w:val="center"/>
                    <w:rPr>
                      <w:rFonts w:hint="eastAsia" w:ascii="Times New Roman" w:hAnsi="Times New Roman" w:cs="Times New Roman"/>
                      <w:color w:val="000000"/>
                      <w:highlight w:val="none"/>
                      <w:lang w:val="en-US" w:eastAsia="zh-CN"/>
                    </w:rPr>
                  </w:pPr>
                </w:p>
              </w:tc>
              <w:tc>
                <w:tcPr>
                  <w:tcW w:w="3021" w:type="dxa"/>
                  <w:tcBorders>
                    <w:tl2br w:val="nil"/>
                    <w:tr2bl w:val="nil"/>
                  </w:tcBorders>
                  <w:noWrap w:val="0"/>
                  <w:vAlign w:val="center"/>
                </w:tcPr>
                <w:p w14:paraId="24762CBE">
                  <w:pPr>
                    <w:jc w:val="center"/>
                    <w:rPr>
                      <w:rFonts w:hint="eastAsia" w:ascii="Times New Roman" w:hAnsi="Times New Roman" w:eastAsia="宋体" w:cs="Times New Roman"/>
                      <w:color w:val="auto"/>
                      <w:kern w:val="2"/>
                      <w:sz w:val="21"/>
                      <w:szCs w:val="21"/>
                      <w:highlight w:val="none"/>
                      <w:shd w:val="clear" w:color="auto" w:fill="auto"/>
                      <w:lang w:val="en-US" w:eastAsia="zh-CN" w:bidi="ar-SA"/>
                    </w:rPr>
                  </w:pPr>
                  <w:r>
                    <w:rPr>
                      <w:szCs w:val="21"/>
                    </w:rPr>
                    <w:t>氨氮</w:t>
                  </w:r>
                </w:p>
              </w:tc>
              <w:tc>
                <w:tcPr>
                  <w:tcW w:w="2740" w:type="dxa"/>
                  <w:vMerge w:val="continue"/>
                  <w:tcBorders>
                    <w:tl2br w:val="nil"/>
                    <w:tr2bl w:val="nil"/>
                  </w:tcBorders>
                  <w:noWrap w:val="0"/>
                  <w:vAlign w:val="center"/>
                </w:tcPr>
                <w:p w14:paraId="262CF181">
                  <w:pPr>
                    <w:jc w:val="center"/>
                    <w:rPr>
                      <w:rFonts w:hint="default" w:ascii="Times New Roman" w:hAnsi="Times New Roman" w:cs="Times New Roman"/>
                      <w:vertAlign w:val="baseline"/>
                      <w:lang w:val="en-US" w:eastAsia="zh-CN"/>
                    </w:rPr>
                  </w:pPr>
                </w:p>
              </w:tc>
            </w:tr>
            <w:tr w14:paraId="1215528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409" w:hRule="atLeast"/>
                <w:jc w:val="center"/>
              </w:trPr>
              <w:tc>
                <w:tcPr>
                  <w:tcW w:w="2459" w:type="dxa"/>
                  <w:vMerge w:val="continue"/>
                  <w:noWrap w:val="0"/>
                  <w:vAlign w:val="top"/>
                </w:tcPr>
                <w:p w14:paraId="0C79DF36">
                  <w:pPr>
                    <w:jc w:val="center"/>
                    <w:rPr>
                      <w:rFonts w:hint="eastAsia" w:ascii="Times New Roman" w:hAnsi="Times New Roman" w:cs="Times New Roman"/>
                      <w:color w:val="000000"/>
                      <w:highlight w:val="none"/>
                      <w:lang w:val="en-US" w:eastAsia="zh-CN"/>
                    </w:rPr>
                  </w:pPr>
                </w:p>
              </w:tc>
              <w:tc>
                <w:tcPr>
                  <w:tcW w:w="3021" w:type="dxa"/>
                  <w:noWrap w:val="0"/>
                  <w:vAlign w:val="center"/>
                </w:tcPr>
                <w:p w14:paraId="2969A66B">
                  <w:pPr>
                    <w:jc w:val="center"/>
                    <w:rPr>
                      <w:rFonts w:hint="eastAsia" w:ascii="Calibri" w:hAnsi="Calibri" w:eastAsia="宋体" w:cs="Times New Roman"/>
                      <w:color w:val="000000"/>
                      <w:kern w:val="2"/>
                      <w:sz w:val="21"/>
                      <w:szCs w:val="21"/>
                      <w:highlight w:val="none"/>
                      <w:lang w:val="en-US" w:eastAsia="zh-CN" w:bidi="ar-SA"/>
                    </w:rPr>
                  </w:pPr>
                  <w:r>
                    <w:rPr>
                      <w:rFonts w:hint="eastAsia"/>
                      <w:szCs w:val="21"/>
                      <w:lang w:eastAsia="zh-CN"/>
                    </w:rPr>
                    <w:t>悬浮物</w:t>
                  </w:r>
                </w:p>
              </w:tc>
              <w:tc>
                <w:tcPr>
                  <w:tcW w:w="2740" w:type="dxa"/>
                  <w:vMerge w:val="continue"/>
                  <w:noWrap w:val="0"/>
                  <w:vAlign w:val="top"/>
                </w:tcPr>
                <w:p w14:paraId="077071EC">
                  <w:pPr>
                    <w:jc w:val="center"/>
                    <w:rPr>
                      <w:rFonts w:hint="default" w:ascii="Times New Roman" w:hAnsi="Times New Roman" w:cs="Times New Roman"/>
                      <w:vertAlign w:val="baseline"/>
                      <w:lang w:val="en-US" w:eastAsia="zh-CN"/>
                    </w:rPr>
                  </w:pPr>
                </w:p>
              </w:tc>
            </w:tr>
            <w:tr w14:paraId="682FC01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409" w:hRule="atLeast"/>
                <w:jc w:val="center"/>
              </w:trPr>
              <w:tc>
                <w:tcPr>
                  <w:tcW w:w="2459" w:type="dxa"/>
                  <w:vMerge w:val="continue"/>
                  <w:noWrap w:val="0"/>
                  <w:vAlign w:val="top"/>
                </w:tcPr>
                <w:p w14:paraId="2B0D157F">
                  <w:pPr>
                    <w:jc w:val="center"/>
                    <w:rPr>
                      <w:rFonts w:hint="eastAsia" w:ascii="Times New Roman" w:hAnsi="Times New Roman" w:cs="Times New Roman"/>
                      <w:color w:val="000000"/>
                      <w:highlight w:val="none"/>
                      <w:lang w:val="en-US" w:eastAsia="zh-CN"/>
                    </w:rPr>
                  </w:pPr>
                </w:p>
              </w:tc>
              <w:tc>
                <w:tcPr>
                  <w:tcW w:w="3021" w:type="dxa"/>
                  <w:noWrap w:val="0"/>
                  <w:vAlign w:val="center"/>
                </w:tcPr>
                <w:p w14:paraId="1B52E258">
                  <w:pPr>
                    <w:jc w:val="center"/>
                    <w:rPr>
                      <w:rFonts w:hint="eastAsia" w:ascii="Times New Roman" w:hAnsi="Times New Roman" w:eastAsia="宋体" w:cs="Times New Roman"/>
                      <w:color w:val="auto"/>
                      <w:kern w:val="2"/>
                      <w:sz w:val="21"/>
                      <w:szCs w:val="21"/>
                      <w:shd w:val="clear" w:color="auto" w:fill="auto"/>
                      <w:lang w:val="en-US" w:eastAsia="zh-CN" w:bidi="ar-SA"/>
                    </w:rPr>
                  </w:pPr>
                  <w:r>
                    <w:rPr>
                      <w:szCs w:val="21"/>
                      <w:highlight w:val="none"/>
                    </w:rPr>
                    <w:t>粪大肠菌群</w:t>
                  </w:r>
                </w:p>
              </w:tc>
              <w:tc>
                <w:tcPr>
                  <w:tcW w:w="2740" w:type="dxa"/>
                  <w:vMerge w:val="continue"/>
                  <w:noWrap w:val="0"/>
                  <w:vAlign w:val="top"/>
                </w:tcPr>
                <w:p w14:paraId="4E1A847A">
                  <w:pPr>
                    <w:jc w:val="center"/>
                    <w:rPr>
                      <w:rFonts w:hint="default" w:ascii="Times New Roman" w:hAnsi="Times New Roman" w:cs="Times New Roman"/>
                      <w:vertAlign w:val="baseline"/>
                      <w:lang w:val="en-US" w:eastAsia="zh-CN"/>
                    </w:rPr>
                  </w:pPr>
                </w:p>
              </w:tc>
            </w:tr>
            <w:tr w14:paraId="0DFA25C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409" w:hRule="atLeast"/>
                <w:jc w:val="center"/>
              </w:trPr>
              <w:tc>
                <w:tcPr>
                  <w:tcW w:w="2459" w:type="dxa"/>
                  <w:vMerge w:val="continue"/>
                  <w:noWrap w:val="0"/>
                  <w:vAlign w:val="top"/>
                </w:tcPr>
                <w:p w14:paraId="11812891">
                  <w:pPr>
                    <w:jc w:val="center"/>
                    <w:rPr>
                      <w:rFonts w:hint="eastAsia" w:ascii="Times New Roman" w:hAnsi="Times New Roman" w:cs="Times New Roman"/>
                      <w:color w:val="000000"/>
                      <w:highlight w:val="none"/>
                      <w:lang w:val="en-US" w:eastAsia="zh-CN"/>
                    </w:rPr>
                  </w:pPr>
                </w:p>
              </w:tc>
              <w:tc>
                <w:tcPr>
                  <w:tcW w:w="3021" w:type="dxa"/>
                  <w:noWrap w:val="0"/>
                  <w:vAlign w:val="center"/>
                </w:tcPr>
                <w:p w14:paraId="2BD148FD">
                  <w:pPr>
                    <w:jc w:val="center"/>
                    <w:rPr>
                      <w:rFonts w:hint="eastAsia" w:ascii="Times New Roman" w:hAnsi="Times New Roman" w:eastAsia="宋体" w:cs="Times New Roman"/>
                      <w:color w:val="auto"/>
                      <w:kern w:val="2"/>
                      <w:sz w:val="21"/>
                      <w:szCs w:val="21"/>
                      <w:shd w:val="clear" w:color="auto" w:fill="auto"/>
                      <w:lang w:val="en-US" w:eastAsia="zh-CN" w:bidi="ar-SA"/>
                    </w:rPr>
                  </w:pPr>
                  <w:r>
                    <w:rPr>
                      <w:rFonts w:hint="eastAsia"/>
                      <w:color w:val="000000" w:themeColor="text1"/>
                      <w:szCs w:val="21"/>
                      <w:highlight w:val="none"/>
                      <w:lang w:eastAsia="zh-CN"/>
                      <w14:textFill>
                        <w14:solidFill>
                          <w14:schemeClr w14:val="tx1"/>
                        </w14:solidFill>
                      </w14:textFill>
                    </w:rPr>
                    <w:t>动植物油</w:t>
                  </w:r>
                </w:p>
              </w:tc>
              <w:tc>
                <w:tcPr>
                  <w:tcW w:w="2740" w:type="dxa"/>
                  <w:vMerge w:val="continue"/>
                  <w:noWrap w:val="0"/>
                  <w:vAlign w:val="top"/>
                </w:tcPr>
                <w:p w14:paraId="23A43FA9">
                  <w:pPr>
                    <w:jc w:val="center"/>
                    <w:rPr>
                      <w:rFonts w:hint="default" w:ascii="Times New Roman" w:hAnsi="Times New Roman" w:cs="Times New Roman"/>
                      <w:vertAlign w:val="baseline"/>
                      <w:lang w:val="en-US" w:eastAsia="zh-CN"/>
                    </w:rPr>
                  </w:pPr>
                </w:p>
              </w:tc>
            </w:tr>
            <w:tr w14:paraId="1AD0578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409" w:hRule="atLeast"/>
                <w:jc w:val="center"/>
              </w:trPr>
              <w:tc>
                <w:tcPr>
                  <w:tcW w:w="2459" w:type="dxa"/>
                  <w:vMerge w:val="continue"/>
                  <w:noWrap w:val="0"/>
                  <w:vAlign w:val="top"/>
                </w:tcPr>
                <w:p w14:paraId="21CD22CA">
                  <w:pPr>
                    <w:jc w:val="center"/>
                    <w:rPr>
                      <w:rFonts w:hint="eastAsia" w:ascii="Times New Roman" w:hAnsi="Times New Roman" w:cs="Times New Roman"/>
                      <w:color w:val="000000"/>
                      <w:highlight w:val="none"/>
                      <w:lang w:val="en-US" w:eastAsia="zh-CN"/>
                    </w:rPr>
                  </w:pPr>
                </w:p>
              </w:tc>
              <w:tc>
                <w:tcPr>
                  <w:tcW w:w="3021" w:type="dxa"/>
                  <w:noWrap w:val="0"/>
                  <w:vAlign w:val="center"/>
                </w:tcPr>
                <w:p w14:paraId="2B1F2872">
                  <w:pPr>
                    <w:jc w:val="center"/>
                    <w:rPr>
                      <w:rFonts w:hint="eastAsia" w:ascii="Times New Roman" w:hAnsi="Times New Roman" w:eastAsia="宋体" w:cs="Times New Roman"/>
                      <w:color w:val="auto"/>
                      <w:kern w:val="2"/>
                      <w:sz w:val="21"/>
                      <w:szCs w:val="21"/>
                      <w:shd w:val="clear" w:color="auto" w:fill="auto"/>
                      <w:lang w:val="en-US" w:eastAsia="zh-CN" w:bidi="ar-SA"/>
                    </w:rPr>
                  </w:pPr>
                  <w:r>
                    <w:rPr>
                      <w:rFonts w:hint="eastAsia"/>
                      <w:color w:val="000000" w:themeColor="text1"/>
                      <w:szCs w:val="21"/>
                      <w:highlight w:val="none"/>
                      <w:lang w:eastAsia="zh-CN"/>
                      <w14:textFill>
                        <w14:solidFill>
                          <w14:schemeClr w14:val="tx1"/>
                        </w14:solidFill>
                      </w14:textFill>
                    </w:rPr>
                    <w:t>总磷</w:t>
                  </w:r>
                </w:p>
              </w:tc>
              <w:tc>
                <w:tcPr>
                  <w:tcW w:w="2740" w:type="dxa"/>
                  <w:vMerge w:val="continue"/>
                  <w:noWrap w:val="0"/>
                  <w:vAlign w:val="top"/>
                </w:tcPr>
                <w:p w14:paraId="0CA56216">
                  <w:pPr>
                    <w:jc w:val="center"/>
                    <w:rPr>
                      <w:rFonts w:hint="default" w:ascii="Times New Roman" w:hAnsi="Times New Roman" w:cs="Times New Roman"/>
                      <w:vertAlign w:val="baseline"/>
                      <w:lang w:val="en-US" w:eastAsia="zh-CN"/>
                    </w:rPr>
                  </w:pPr>
                </w:p>
              </w:tc>
            </w:tr>
            <w:tr w14:paraId="4AE3CC5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409" w:hRule="atLeast"/>
                <w:jc w:val="center"/>
              </w:trPr>
              <w:tc>
                <w:tcPr>
                  <w:tcW w:w="2459" w:type="dxa"/>
                  <w:vMerge w:val="continue"/>
                  <w:noWrap w:val="0"/>
                  <w:vAlign w:val="top"/>
                </w:tcPr>
                <w:p w14:paraId="19323B19">
                  <w:pPr>
                    <w:jc w:val="center"/>
                    <w:rPr>
                      <w:rFonts w:hint="eastAsia" w:ascii="Times New Roman" w:hAnsi="Times New Roman" w:cs="Times New Roman"/>
                      <w:color w:val="000000"/>
                      <w:highlight w:val="none"/>
                      <w:lang w:val="en-US" w:eastAsia="zh-CN"/>
                    </w:rPr>
                  </w:pPr>
                </w:p>
              </w:tc>
              <w:tc>
                <w:tcPr>
                  <w:tcW w:w="3021" w:type="dxa"/>
                  <w:noWrap w:val="0"/>
                  <w:vAlign w:val="center"/>
                </w:tcPr>
                <w:p w14:paraId="20BDD91B">
                  <w:pPr>
                    <w:jc w:val="center"/>
                    <w:rPr>
                      <w:rFonts w:hint="eastAsia" w:ascii="Times New Roman" w:hAnsi="Times New Roman" w:eastAsia="宋体" w:cs="Times New Roman"/>
                      <w:color w:val="auto"/>
                      <w:kern w:val="2"/>
                      <w:sz w:val="21"/>
                      <w:szCs w:val="21"/>
                      <w:shd w:val="clear" w:color="auto" w:fill="auto"/>
                      <w:lang w:val="en-US" w:eastAsia="zh-CN" w:bidi="ar-SA"/>
                    </w:rPr>
                  </w:pPr>
                  <w:r>
                    <w:rPr>
                      <w:rFonts w:hint="eastAsia"/>
                      <w:color w:val="000000" w:themeColor="text1"/>
                      <w:szCs w:val="21"/>
                      <w:highlight w:val="none"/>
                      <w:lang w:eastAsia="zh-CN"/>
                      <w14:textFill>
                        <w14:solidFill>
                          <w14:schemeClr w14:val="tx1"/>
                        </w14:solidFill>
                      </w14:textFill>
                    </w:rPr>
                    <w:t>总氮</w:t>
                  </w:r>
                </w:p>
              </w:tc>
              <w:tc>
                <w:tcPr>
                  <w:tcW w:w="2740" w:type="dxa"/>
                  <w:vMerge w:val="continue"/>
                  <w:noWrap w:val="0"/>
                  <w:vAlign w:val="top"/>
                </w:tcPr>
                <w:p w14:paraId="6700917B">
                  <w:pPr>
                    <w:jc w:val="center"/>
                    <w:rPr>
                      <w:rFonts w:hint="default" w:ascii="Times New Roman" w:hAnsi="Times New Roman" w:cs="Times New Roman"/>
                      <w:vertAlign w:val="baseline"/>
                      <w:lang w:val="en-US" w:eastAsia="zh-CN"/>
                    </w:rPr>
                  </w:pPr>
                </w:p>
              </w:tc>
            </w:tr>
            <w:tr w14:paraId="1F3654E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409" w:hRule="atLeast"/>
                <w:jc w:val="center"/>
              </w:trPr>
              <w:tc>
                <w:tcPr>
                  <w:tcW w:w="2459" w:type="dxa"/>
                  <w:vMerge w:val="continue"/>
                  <w:noWrap w:val="0"/>
                  <w:vAlign w:val="top"/>
                </w:tcPr>
                <w:p w14:paraId="52FCD620">
                  <w:pPr>
                    <w:jc w:val="center"/>
                    <w:rPr>
                      <w:rFonts w:hint="eastAsia" w:ascii="Times New Roman" w:hAnsi="Times New Roman" w:cs="Times New Roman"/>
                      <w:color w:val="000000"/>
                      <w:highlight w:val="none"/>
                      <w:lang w:val="en-US" w:eastAsia="zh-CN"/>
                    </w:rPr>
                  </w:pPr>
                </w:p>
              </w:tc>
              <w:tc>
                <w:tcPr>
                  <w:tcW w:w="3021" w:type="dxa"/>
                  <w:noWrap w:val="0"/>
                  <w:vAlign w:val="center"/>
                </w:tcPr>
                <w:p w14:paraId="626A2709">
                  <w:pPr>
                    <w:jc w:val="center"/>
                    <w:rPr>
                      <w:rFonts w:hint="eastAsia"/>
                      <w:color w:val="000000" w:themeColor="text1"/>
                      <w:szCs w:val="21"/>
                      <w:highlight w:val="none"/>
                      <w:lang w:eastAsia="zh-CN"/>
                      <w14:textFill>
                        <w14:solidFill>
                          <w14:schemeClr w14:val="tx1"/>
                        </w14:solidFill>
                      </w14:textFill>
                    </w:rPr>
                  </w:pPr>
                  <w:r>
                    <w:rPr>
                      <w:rFonts w:hint="eastAsia" w:ascii="Times New Roman" w:hAnsi="Times New Roman" w:eastAsia="宋体" w:cs="Times New Roman"/>
                      <w:color w:val="auto"/>
                      <w:szCs w:val="21"/>
                      <w:shd w:val="clear"/>
                      <w:lang w:val="en-US" w:eastAsia="zh-CN"/>
                    </w:rPr>
                    <w:t>阴离子表面活性剂</w:t>
                  </w:r>
                </w:p>
              </w:tc>
              <w:tc>
                <w:tcPr>
                  <w:tcW w:w="2740" w:type="dxa"/>
                  <w:vMerge w:val="continue"/>
                  <w:noWrap w:val="0"/>
                  <w:vAlign w:val="top"/>
                </w:tcPr>
                <w:p w14:paraId="7CF7532A">
                  <w:pPr>
                    <w:jc w:val="center"/>
                    <w:rPr>
                      <w:rFonts w:hint="default" w:ascii="Times New Roman" w:hAnsi="Times New Roman" w:cs="Times New Roman"/>
                      <w:vertAlign w:val="baseline"/>
                      <w:lang w:val="en-US" w:eastAsia="zh-CN"/>
                    </w:rPr>
                  </w:pPr>
                </w:p>
              </w:tc>
            </w:tr>
          </w:tbl>
          <w:p w14:paraId="0EEEEBB3">
            <w:pPr>
              <w:pStyle w:val="29"/>
              <w:rPr>
                <w:rFonts w:hint="default" w:ascii="Times New Roman" w:hAnsi="Times New Roman" w:cs="Times New Roman"/>
                <w:lang w:val="en-US" w:eastAsia="zh-CN"/>
              </w:rPr>
            </w:pPr>
            <w:r>
              <w:rPr>
                <w:rFonts w:hint="default" w:ascii="Times New Roman" w:hAnsi="Times New Roman" w:cs="Times New Roman"/>
                <w:lang w:val="en-US" w:eastAsia="zh-CN"/>
              </w:rPr>
              <w:t xml:space="preserve">    表6.</w:t>
            </w:r>
            <w:r>
              <w:rPr>
                <w:rFonts w:hint="eastAsia" w:ascii="Times New Roman" w:hAnsi="Times New Roman" w:cs="Times New Roman"/>
                <w:lang w:val="en-US" w:eastAsia="zh-CN"/>
              </w:rPr>
              <w:t>3</w:t>
            </w:r>
            <w:r>
              <w:rPr>
                <w:rFonts w:hint="default" w:ascii="Times New Roman" w:hAnsi="Times New Roman" w:cs="Times New Roman"/>
                <w:lang w:val="en-US" w:eastAsia="zh-CN"/>
              </w:rPr>
              <w:t>-2 监测方法及仪器</w:t>
            </w:r>
          </w:p>
          <w:tbl>
            <w:tblPr>
              <w:tblStyle w:val="16"/>
              <w:tblW w:w="8220" w:type="dxa"/>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108" w:type="dxa"/>
                <w:bottom w:w="0" w:type="dxa"/>
                <w:right w:w="108" w:type="dxa"/>
              </w:tblCellMar>
            </w:tblPr>
            <w:tblGrid>
              <w:gridCol w:w="1731"/>
              <w:gridCol w:w="3755"/>
              <w:gridCol w:w="2734"/>
            </w:tblGrid>
            <w:tr w14:paraId="5230A8B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PrEx>
              <w:trPr>
                <w:trHeight w:val="0" w:hRule="atLeast"/>
                <w:jc w:val="center"/>
              </w:trPr>
              <w:tc>
                <w:tcPr>
                  <w:tcW w:w="1731" w:type="dxa"/>
                  <w:tcBorders>
                    <w:tl2br w:val="nil"/>
                    <w:tr2bl w:val="nil"/>
                  </w:tcBorders>
                  <w:noWrap w:val="0"/>
                  <w:vAlign w:val="center"/>
                </w:tcPr>
                <w:p w14:paraId="70EFEA5B">
                  <w:pPr>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color w:val="auto"/>
                      <w:sz w:val="21"/>
                      <w:szCs w:val="21"/>
                      <w:vertAlign w:val="baseline"/>
                      <w:lang w:val="en-US" w:eastAsia="zh-CN"/>
                    </w:rPr>
                    <w:t>监测内容</w:t>
                  </w:r>
                </w:p>
              </w:tc>
              <w:tc>
                <w:tcPr>
                  <w:tcW w:w="3755" w:type="dxa"/>
                  <w:tcBorders>
                    <w:tl2br w:val="nil"/>
                    <w:tr2bl w:val="nil"/>
                  </w:tcBorders>
                  <w:noWrap w:val="0"/>
                  <w:vAlign w:val="center"/>
                </w:tcPr>
                <w:p w14:paraId="08A93F46">
                  <w:pPr>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监测方法</w:t>
                  </w:r>
                </w:p>
              </w:tc>
              <w:tc>
                <w:tcPr>
                  <w:tcW w:w="2734" w:type="dxa"/>
                  <w:tcBorders>
                    <w:tl2br w:val="nil"/>
                    <w:tr2bl w:val="nil"/>
                  </w:tcBorders>
                  <w:noWrap w:val="0"/>
                  <w:vAlign w:val="center"/>
                </w:tcPr>
                <w:p w14:paraId="3B8F2AA0">
                  <w:pPr>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使用仪器</w:t>
                  </w:r>
                </w:p>
              </w:tc>
            </w:tr>
            <w:tr w14:paraId="1C9FC64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731" w:type="dxa"/>
                  <w:tcBorders>
                    <w:tl2br w:val="nil"/>
                    <w:tr2bl w:val="nil"/>
                  </w:tcBorders>
                  <w:noWrap w:val="0"/>
                  <w:vAlign w:val="center"/>
                </w:tcPr>
                <w:p w14:paraId="6C7F2A80">
                  <w:pPr>
                    <w:tabs>
                      <w:tab w:val="center" w:pos="4153"/>
                      <w:tab w:val="right" w:pos="8306"/>
                    </w:tabs>
                    <w:snapToGrid w:val="0"/>
                    <w:spacing w:line="24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sz w:val="21"/>
                      <w:szCs w:val="21"/>
                      <w:lang w:val="en-US" w:eastAsia="zh-CN"/>
                    </w:rPr>
                    <w:t>粪大肠菌群</w:t>
                  </w:r>
                </w:p>
              </w:tc>
              <w:tc>
                <w:tcPr>
                  <w:tcW w:w="3755" w:type="dxa"/>
                  <w:tcBorders>
                    <w:tl2br w:val="nil"/>
                    <w:tr2bl w:val="nil"/>
                  </w:tcBorders>
                  <w:noWrap w:val="0"/>
                  <w:vAlign w:val="center"/>
                </w:tcPr>
                <w:p w14:paraId="671CE502">
                  <w:pPr>
                    <w:tabs>
                      <w:tab w:val="center" w:pos="4153"/>
                      <w:tab w:val="right" w:pos="8306"/>
                    </w:tabs>
                    <w:snapToGrid w:val="0"/>
                    <w:spacing w:line="24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sz w:val="21"/>
                      <w:szCs w:val="21"/>
                      <w:lang w:val="en-US" w:eastAsia="zh-CN"/>
                    </w:rPr>
                    <w:t>水质 粪大肠菌群的测定 多管发酵法（HJ 347.2-2018）</w:t>
                  </w:r>
                </w:p>
              </w:tc>
              <w:tc>
                <w:tcPr>
                  <w:tcW w:w="2734" w:type="dxa"/>
                  <w:tcBorders>
                    <w:tl2br w:val="nil"/>
                    <w:tr2bl w:val="nil"/>
                  </w:tcBorders>
                  <w:noWrap w:val="0"/>
                  <w:vAlign w:val="center"/>
                </w:tcPr>
                <w:p w14:paraId="3A30B4FF">
                  <w:pPr>
                    <w:tabs>
                      <w:tab w:val="center" w:pos="4153"/>
                      <w:tab w:val="right" w:pos="8306"/>
                    </w:tabs>
                    <w:snapToGrid w:val="0"/>
                    <w:spacing w:line="24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sz w:val="21"/>
                      <w:szCs w:val="21"/>
                      <w:lang w:val="en-US" w:eastAsia="zh-CN"/>
                    </w:rPr>
                    <w:t>BSP-100型生化培养箱</w:t>
                  </w:r>
                </w:p>
              </w:tc>
            </w:tr>
            <w:tr w14:paraId="65E0EB5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731" w:type="dxa"/>
                  <w:tcBorders>
                    <w:tl2br w:val="nil"/>
                    <w:tr2bl w:val="nil"/>
                  </w:tcBorders>
                  <w:noWrap w:val="0"/>
                  <w:vAlign w:val="center"/>
                </w:tcPr>
                <w:p w14:paraId="02D96963">
                  <w:pPr>
                    <w:tabs>
                      <w:tab w:val="center" w:pos="4153"/>
                      <w:tab w:val="right" w:pos="8306"/>
                    </w:tabs>
                    <w:snapToGrid w:val="0"/>
                    <w:spacing w:line="24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sz w:val="21"/>
                      <w:szCs w:val="21"/>
                      <w:lang w:val="en-US" w:eastAsia="zh-CN"/>
                    </w:rPr>
                    <w:t>pH</w:t>
                  </w:r>
                </w:p>
              </w:tc>
              <w:tc>
                <w:tcPr>
                  <w:tcW w:w="3755" w:type="dxa"/>
                  <w:tcBorders>
                    <w:tl2br w:val="nil"/>
                    <w:tr2bl w:val="nil"/>
                  </w:tcBorders>
                  <w:noWrap w:val="0"/>
                  <w:vAlign w:val="center"/>
                </w:tcPr>
                <w:p w14:paraId="1DD626CD">
                  <w:pPr>
                    <w:tabs>
                      <w:tab w:val="center" w:pos="4153"/>
                      <w:tab w:val="right" w:pos="8306"/>
                    </w:tabs>
                    <w:snapToGrid w:val="0"/>
                    <w:spacing w:line="24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themeColor="text1"/>
                      <w:sz w:val="21"/>
                      <w:szCs w:val="21"/>
                      <w:lang w:val="en-US" w:eastAsia="zh-CN"/>
                      <w14:textFill>
                        <w14:solidFill>
                          <w14:schemeClr w14:val="tx1"/>
                        </w14:solidFill>
                      </w14:textFill>
                    </w:rPr>
                    <w:t>水质pH值的测定 电极法（HJ1147-2020）</w:t>
                  </w:r>
                </w:p>
              </w:tc>
              <w:tc>
                <w:tcPr>
                  <w:tcW w:w="2734" w:type="dxa"/>
                  <w:tcBorders>
                    <w:tl2br w:val="nil"/>
                    <w:tr2bl w:val="nil"/>
                  </w:tcBorders>
                  <w:noWrap w:val="0"/>
                  <w:vAlign w:val="center"/>
                </w:tcPr>
                <w:p w14:paraId="4FEB2F04">
                  <w:pPr>
                    <w:keepNext w:val="0"/>
                    <w:keepLines w:val="0"/>
                    <w:widowControl/>
                    <w:suppressLineNumbers w:val="0"/>
                    <w:jc w:val="center"/>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PH计PHSJ-5</w:t>
                  </w:r>
                </w:p>
              </w:tc>
            </w:tr>
            <w:tr w14:paraId="7C550E9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731" w:type="dxa"/>
                  <w:tcBorders>
                    <w:tl2br w:val="nil"/>
                    <w:tr2bl w:val="nil"/>
                  </w:tcBorders>
                  <w:noWrap w:val="0"/>
                  <w:vAlign w:val="center"/>
                </w:tcPr>
                <w:p w14:paraId="549C307D">
                  <w:pPr>
                    <w:tabs>
                      <w:tab w:val="center" w:pos="4153"/>
                      <w:tab w:val="right" w:pos="8306"/>
                    </w:tabs>
                    <w:snapToGrid w:val="0"/>
                    <w:spacing w:line="24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sz w:val="21"/>
                      <w:szCs w:val="21"/>
                      <w:lang w:val="en-US" w:eastAsia="zh-CN"/>
                    </w:rPr>
                    <w:t>氨氮</w:t>
                  </w:r>
                </w:p>
              </w:tc>
              <w:tc>
                <w:tcPr>
                  <w:tcW w:w="3755" w:type="dxa"/>
                  <w:tcBorders>
                    <w:tl2br w:val="nil"/>
                    <w:tr2bl w:val="nil"/>
                  </w:tcBorders>
                  <w:noWrap w:val="0"/>
                  <w:vAlign w:val="center"/>
                </w:tcPr>
                <w:p w14:paraId="0196FF84">
                  <w:pPr>
                    <w:tabs>
                      <w:tab w:val="center" w:pos="4153"/>
                      <w:tab w:val="right" w:pos="8306"/>
                    </w:tabs>
                    <w:snapToGrid w:val="0"/>
                    <w:spacing w:line="24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水质 氨氮的测定 </w:t>
                  </w:r>
                </w:p>
                <w:p w14:paraId="0C2EA3BC">
                  <w:pPr>
                    <w:tabs>
                      <w:tab w:val="center" w:pos="4153"/>
                      <w:tab w:val="right" w:pos="8306"/>
                    </w:tabs>
                    <w:snapToGrid w:val="0"/>
                    <w:spacing w:line="24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sz w:val="21"/>
                      <w:szCs w:val="21"/>
                      <w:lang w:val="en-US" w:eastAsia="zh-CN"/>
                    </w:rPr>
                    <w:t>纳氏试剂分光光度法（HJ535-2009）</w:t>
                  </w:r>
                </w:p>
              </w:tc>
              <w:tc>
                <w:tcPr>
                  <w:tcW w:w="2734" w:type="dxa"/>
                  <w:tcBorders>
                    <w:tl2br w:val="nil"/>
                    <w:tr2bl w:val="nil"/>
                  </w:tcBorders>
                  <w:noWrap w:val="0"/>
                  <w:vAlign w:val="center"/>
                </w:tcPr>
                <w:p w14:paraId="617A5717">
                  <w:pPr>
                    <w:tabs>
                      <w:tab w:val="center" w:pos="4153"/>
                      <w:tab w:val="right" w:pos="8306"/>
                    </w:tabs>
                    <w:snapToGrid w:val="0"/>
                    <w:spacing w:line="24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sz w:val="21"/>
                      <w:szCs w:val="21"/>
                      <w:lang w:val="en-US" w:eastAsia="zh-CN"/>
                    </w:rPr>
                    <w:t>7230G型可见分光光度计</w:t>
                  </w:r>
                </w:p>
              </w:tc>
            </w:tr>
            <w:tr w14:paraId="61317A9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731" w:type="dxa"/>
                  <w:tcBorders>
                    <w:tl2br w:val="nil"/>
                    <w:tr2bl w:val="nil"/>
                  </w:tcBorders>
                  <w:noWrap w:val="0"/>
                  <w:vAlign w:val="center"/>
                </w:tcPr>
                <w:p w14:paraId="5F4A5004">
                  <w:pPr>
                    <w:tabs>
                      <w:tab w:val="center" w:pos="4153"/>
                      <w:tab w:val="right" w:pos="8306"/>
                    </w:tabs>
                    <w:snapToGrid w:val="0"/>
                    <w:spacing w:line="24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sz w:val="21"/>
                      <w:szCs w:val="21"/>
                      <w:lang w:val="en-US" w:eastAsia="zh-CN"/>
                    </w:rPr>
                    <w:t>五日生化需氧量</w:t>
                  </w:r>
                </w:p>
              </w:tc>
              <w:tc>
                <w:tcPr>
                  <w:tcW w:w="3755" w:type="dxa"/>
                  <w:tcBorders>
                    <w:tl2br w:val="nil"/>
                    <w:tr2bl w:val="nil"/>
                  </w:tcBorders>
                  <w:noWrap w:val="0"/>
                  <w:vAlign w:val="center"/>
                </w:tcPr>
                <w:p w14:paraId="1470DB84">
                  <w:pPr>
                    <w:tabs>
                      <w:tab w:val="center" w:pos="4153"/>
                      <w:tab w:val="right" w:pos="8306"/>
                    </w:tabs>
                    <w:snapToGrid w:val="0"/>
                    <w:spacing w:line="24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sz w:val="21"/>
                      <w:szCs w:val="21"/>
                      <w:lang w:val="en-US" w:eastAsia="zh-CN"/>
                    </w:rPr>
                    <w:t>五日生化需氧量的测定 稀释与接种法（HJ505-2009）</w:t>
                  </w:r>
                </w:p>
              </w:tc>
              <w:tc>
                <w:tcPr>
                  <w:tcW w:w="2734" w:type="dxa"/>
                  <w:tcBorders>
                    <w:tl2br w:val="nil"/>
                    <w:tr2bl w:val="nil"/>
                  </w:tcBorders>
                  <w:noWrap w:val="0"/>
                  <w:vAlign w:val="center"/>
                </w:tcPr>
                <w:p w14:paraId="39DE95AD">
                  <w:pPr>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themeColor="text1"/>
                      <w:sz w:val="21"/>
                      <w:szCs w:val="21"/>
                      <w:lang w:val="en-US" w:eastAsia="zh-CN"/>
                      <w14:textFill>
                        <w14:solidFill>
                          <w14:schemeClr w14:val="tx1"/>
                        </w14:solidFill>
                      </w14:textFill>
                    </w:rPr>
                    <w:t>BSP-100型生化培养箱</w:t>
                  </w:r>
                </w:p>
              </w:tc>
            </w:tr>
            <w:tr w14:paraId="5363313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731" w:type="dxa"/>
                  <w:tcBorders>
                    <w:tl2br w:val="nil"/>
                    <w:tr2bl w:val="nil"/>
                  </w:tcBorders>
                  <w:noWrap w:val="0"/>
                  <w:vAlign w:val="center"/>
                </w:tcPr>
                <w:p w14:paraId="643D779D">
                  <w:pPr>
                    <w:tabs>
                      <w:tab w:val="center" w:pos="4153"/>
                      <w:tab w:val="right" w:pos="8306"/>
                    </w:tabs>
                    <w:snapToGrid w:val="0"/>
                    <w:spacing w:line="24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sz w:val="21"/>
                      <w:szCs w:val="21"/>
                      <w:lang w:val="en-US" w:eastAsia="zh-CN"/>
                    </w:rPr>
                    <w:t>化学需氧量</w:t>
                  </w:r>
                </w:p>
              </w:tc>
              <w:tc>
                <w:tcPr>
                  <w:tcW w:w="3755" w:type="dxa"/>
                  <w:tcBorders>
                    <w:tl2br w:val="nil"/>
                    <w:tr2bl w:val="nil"/>
                  </w:tcBorders>
                  <w:noWrap w:val="0"/>
                  <w:vAlign w:val="center"/>
                </w:tcPr>
                <w:p w14:paraId="3DFEA1A4">
                  <w:pPr>
                    <w:tabs>
                      <w:tab w:val="center" w:pos="4153"/>
                      <w:tab w:val="right" w:pos="8306"/>
                    </w:tabs>
                    <w:snapToGrid w:val="0"/>
                    <w:spacing w:line="24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水质 化学需氧量的测定 </w:t>
                  </w:r>
                </w:p>
                <w:p w14:paraId="73E8E5FA">
                  <w:pPr>
                    <w:tabs>
                      <w:tab w:val="center" w:pos="4153"/>
                      <w:tab w:val="right" w:pos="8306"/>
                    </w:tabs>
                    <w:snapToGrid w:val="0"/>
                    <w:spacing w:line="24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sz w:val="21"/>
                      <w:szCs w:val="21"/>
                      <w:lang w:val="en-US" w:eastAsia="zh-CN"/>
                    </w:rPr>
                    <w:t>重铬酸盐法（HJ828-2017）</w:t>
                  </w:r>
                </w:p>
              </w:tc>
              <w:tc>
                <w:tcPr>
                  <w:tcW w:w="2734" w:type="dxa"/>
                  <w:tcBorders>
                    <w:tl2br w:val="nil"/>
                    <w:tr2bl w:val="nil"/>
                  </w:tcBorders>
                  <w:noWrap w:val="0"/>
                  <w:vAlign w:val="center"/>
                </w:tcPr>
                <w:p w14:paraId="442AD7F8">
                  <w:pPr>
                    <w:pStyle w:val="24"/>
                    <w:ind w:left="-31" w:leftChars="-15" w:right="-31" w:rightChars="-15" w:firstLine="0" w:firstLineChars="0"/>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lang w:val="en-US" w:eastAsia="zh-CN"/>
                    </w:rPr>
                    <w:t>/</w:t>
                  </w:r>
                </w:p>
              </w:tc>
            </w:tr>
            <w:tr w14:paraId="5CC5E77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731" w:type="dxa"/>
                  <w:tcBorders>
                    <w:tl2br w:val="nil"/>
                    <w:tr2bl w:val="nil"/>
                  </w:tcBorders>
                  <w:noWrap w:val="0"/>
                  <w:vAlign w:val="center"/>
                </w:tcPr>
                <w:p w14:paraId="38102D41">
                  <w:pPr>
                    <w:tabs>
                      <w:tab w:val="center" w:pos="4153"/>
                      <w:tab w:val="right" w:pos="8306"/>
                    </w:tabs>
                    <w:snapToGrid w:val="0"/>
                    <w:spacing w:line="240" w:lineRule="exact"/>
                    <w:jc w:val="center"/>
                    <w:rPr>
                      <w:rFonts w:hint="eastAsia" w:ascii="宋体" w:hAnsi="宋体" w:eastAsia="宋体" w:cs="宋体"/>
                      <w:color w:val="000000"/>
                      <w:sz w:val="21"/>
                      <w:szCs w:val="21"/>
                      <w:lang w:val="en-US" w:eastAsia="zh-CN"/>
                    </w:rPr>
                  </w:pPr>
                  <w:r>
                    <w:rPr>
                      <w:rFonts w:hint="eastAsia" w:ascii="宋体" w:hAnsi="宋体" w:eastAsia="宋体" w:cs="宋体"/>
                      <w:sz w:val="21"/>
                      <w:szCs w:val="21"/>
                      <w:lang w:val="en-US" w:eastAsia="zh-CN"/>
                    </w:rPr>
                    <w:t>悬浮物</w:t>
                  </w:r>
                </w:p>
              </w:tc>
              <w:tc>
                <w:tcPr>
                  <w:tcW w:w="3755" w:type="dxa"/>
                  <w:tcBorders>
                    <w:tl2br w:val="nil"/>
                    <w:tr2bl w:val="nil"/>
                  </w:tcBorders>
                  <w:noWrap w:val="0"/>
                  <w:vAlign w:val="center"/>
                </w:tcPr>
                <w:p w14:paraId="775DD768">
                  <w:pPr>
                    <w:tabs>
                      <w:tab w:val="center" w:pos="4153"/>
                      <w:tab w:val="right" w:pos="8306"/>
                    </w:tabs>
                    <w:snapToGrid w:val="0"/>
                    <w:spacing w:line="240" w:lineRule="exact"/>
                    <w:jc w:val="center"/>
                    <w:rPr>
                      <w:rFonts w:hint="eastAsia" w:ascii="宋体" w:hAnsi="宋体" w:eastAsia="宋体" w:cs="宋体"/>
                      <w:color w:val="000000"/>
                      <w:sz w:val="21"/>
                      <w:szCs w:val="21"/>
                      <w:lang w:val="en-US" w:eastAsia="zh-CN"/>
                    </w:rPr>
                  </w:pPr>
                  <w:r>
                    <w:rPr>
                      <w:rFonts w:hint="eastAsia" w:ascii="宋体" w:hAnsi="宋体" w:eastAsia="宋体" w:cs="宋体"/>
                      <w:sz w:val="21"/>
                      <w:szCs w:val="21"/>
                      <w:lang w:val="en-US" w:eastAsia="zh-CN"/>
                    </w:rPr>
                    <w:t>水质 生活饮用水标准检验方法 感官性状和物理指标GB/T5750.4-2006(8.1称量法)</w:t>
                  </w:r>
                </w:p>
              </w:tc>
              <w:tc>
                <w:tcPr>
                  <w:tcW w:w="2734" w:type="dxa"/>
                  <w:tcBorders>
                    <w:tl2br w:val="nil"/>
                    <w:tr2bl w:val="nil"/>
                  </w:tcBorders>
                  <w:noWrap w:val="0"/>
                  <w:vAlign w:val="center"/>
                </w:tcPr>
                <w:p w14:paraId="4631F86B">
                  <w:pPr>
                    <w:tabs>
                      <w:tab w:val="center" w:pos="4153"/>
                      <w:tab w:val="right" w:pos="8306"/>
                    </w:tabs>
                    <w:snapToGrid w:val="0"/>
                    <w:spacing w:line="240" w:lineRule="exact"/>
                    <w:jc w:val="center"/>
                    <w:rPr>
                      <w:rFonts w:hint="eastAsia" w:ascii="宋体" w:hAnsi="宋体" w:eastAsia="宋体" w:cs="宋体"/>
                      <w:color w:val="000000"/>
                      <w:sz w:val="21"/>
                      <w:szCs w:val="21"/>
                      <w:lang w:val="en-US" w:eastAsia="zh-CN"/>
                    </w:rPr>
                  </w:pPr>
                  <w:r>
                    <w:rPr>
                      <w:rFonts w:hint="eastAsia" w:ascii="宋体" w:hAnsi="宋体" w:eastAsia="宋体" w:cs="宋体"/>
                      <w:sz w:val="21"/>
                      <w:szCs w:val="21"/>
                      <w:lang w:val="en-US" w:eastAsia="zh-CN"/>
                    </w:rPr>
                    <w:t>电子天平</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AUW120</w:t>
                  </w:r>
                </w:p>
              </w:tc>
            </w:tr>
            <w:tr w14:paraId="304F215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731" w:type="dxa"/>
                  <w:tcBorders>
                    <w:tl2br w:val="nil"/>
                    <w:tr2bl w:val="nil"/>
                  </w:tcBorders>
                  <w:noWrap w:val="0"/>
                  <w:vAlign w:val="center"/>
                </w:tcPr>
                <w:p w14:paraId="3D36D4C2">
                  <w:pPr>
                    <w:tabs>
                      <w:tab w:val="center" w:pos="4153"/>
                      <w:tab w:val="right" w:pos="8306"/>
                    </w:tabs>
                    <w:snapToGrid w:val="0"/>
                    <w:spacing w:line="240" w:lineRule="exact"/>
                    <w:jc w:val="center"/>
                    <w:rPr>
                      <w:rFonts w:hint="eastAsia" w:ascii="宋体" w:hAnsi="宋体" w:eastAsia="宋体" w:cs="宋体"/>
                      <w:color w:val="000000"/>
                      <w:sz w:val="21"/>
                      <w:szCs w:val="21"/>
                      <w:lang w:val="en-US" w:eastAsia="zh-CN"/>
                    </w:rPr>
                  </w:pPr>
                  <w:r>
                    <w:rPr>
                      <w:rFonts w:hint="eastAsia" w:ascii="宋体" w:hAnsi="宋体" w:eastAsia="宋体" w:cs="宋体"/>
                      <w:sz w:val="21"/>
                      <w:szCs w:val="21"/>
                      <w:lang w:val="en-US" w:eastAsia="zh-CN"/>
                    </w:rPr>
                    <w:t>动植物油</w:t>
                  </w:r>
                </w:p>
              </w:tc>
              <w:tc>
                <w:tcPr>
                  <w:tcW w:w="3755" w:type="dxa"/>
                  <w:tcBorders>
                    <w:tl2br w:val="nil"/>
                    <w:tr2bl w:val="nil"/>
                  </w:tcBorders>
                  <w:noWrap w:val="0"/>
                  <w:vAlign w:val="center"/>
                </w:tcPr>
                <w:p w14:paraId="459EED4A">
                  <w:pPr>
                    <w:tabs>
                      <w:tab w:val="center" w:pos="4153"/>
                      <w:tab w:val="right" w:pos="8306"/>
                    </w:tabs>
                    <w:snapToGrid w:val="0"/>
                    <w:spacing w:line="240" w:lineRule="exact"/>
                    <w:jc w:val="center"/>
                    <w:rPr>
                      <w:rFonts w:hint="eastAsia" w:ascii="宋体" w:hAnsi="宋体" w:eastAsia="宋体" w:cs="宋体"/>
                      <w:color w:val="000000"/>
                      <w:sz w:val="21"/>
                      <w:szCs w:val="21"/>
                      <w:lang w:val="en-US" w:eastAsia="zh-CN"/>
                    </w:rPr>
                  </w:pPr>
                  <w:r>
                    <w:rPr>
                      <w:rFonts w:hint="eastAsia" w:ascii="宋体" w:hAnsi="宋体" w:eastAsia="宋体" w:cs="宋体"/>
                      <w:sz w:val="21"/>
                      <w:szCs w:val="21"/>
                      <w:lang w:val="en-US" w:eastAsia="zh-CN"/>
                    </w:rPr>
                    <w:t>水质 石油类和动植物油类的测定红外分光（HJ637-2018）</w:t>
                  </w:r>
                </w:p>
              </w:tc>
              <w:tc>
                <w:tcPr>
                  <w:tcW w:w="2734" w:type="dxa"/>
                  <w:tcBorders>
                    <w:tl2br w:val="nil"/>
                    <w:tr2bl w:val="nil"/>
                  </w:tcBorders>
                  <w:noWrap w:val="0"/>
                  <w:vAlign w:val="center"/>
                </w:tcPr>
                <w:p w14:paraId="1B39EB00">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themeColor="text1"/>
                      <w:sz w:val="21"/>
                      <w:szCs w:val="21"/>
                      <w:lang w:val="en-US" w:eastAsia="zh-CN"/>
                      <w14:textFill>
                        <w14:solidFill>
                          <w14:schemeClr w14:val="tx1"/>
                        </w14:solidFill>
                      </w14:textFill>
                    </w:rPr>
                    <w:t>LT-21A型红外测油仪</w:t>
                  </w:r>
                </w:p>
              </w:tc>
            </w:tr>
            <w:tr w14:paraId="0A47CD8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731" w:type="dxa"/>
                  <w:tcBorders>
                    <w:tl2br w:val="nil"/>
                    <w:tr2bl w:val="nil"/>
                  </w:tcBorders>
                  <w:noWrap w:val="0"/>
                  <w:vAlign w:val="center"/>
                </w:tcPr>
                <w:p w14:paraId="56E9341C">
                  <w:pPr>
                    <w:tabs>
                      <w:tab w:val="center" w:pos="4153"/>
                      <w:tab w:val="right" w:pos="8306"/>
                    </w:tabs>
                    <w:snapToGrid w:val="0"/>
                    <w:spacing w:line="240" w:lineRule="exact"/>
                    <w:jc w:val="center"/>
                    <w:rPr>
                      <w:rFonts w:hint="eastAsia" w:ascii="宋体" w:hAnsi="宋体" w:eastAsia="宋体" w:cs="宋体"/>
                      <w:color w:val="000000"/>
                      <w:sz w:val="21"/>
                      <w:szCs w:val="21"/>
                      <w:lang w:val="en-US" w:eastAsia="zh-CN"/>
                    </w:rPr>
                  </w:pPr>
                  <w:r>
                    <w:rPr>
                      <w:rFonts w:hint="eastAsia" w:ascii="宋体" w:hAnsi="宋体" w:eastAsia="宋体" w:cs="宋体"/>
                      <w:sz w:val="21"/>
                      <w:szCs w:val="21"/>
                      <w:lang w:eastAsia="zh-CN"/>
                    </w:rPr>
                    <w:t>总磷</w:t>
                  </w:r>
                </w:p>
              </w:tc>
              <w:tc>
                <w:tcPr>
                  <w:tcW w:w="3755" w:type="dxa"/>
                  <w:tcBorders>
                    <w:tl2br w:val="nil"/>
                    <w:tr2bl w:val="nil"/>
                  </w:tcBorders>
                  <w:noWrap w:val="0"/>
                  <w:vAlign w:val="center"/>
                </w:tcPr>
                <w:p w14:paraId="19A37B60">
                  <w:pPr>
                    <w:tabs>
                      <w:tab w:val="center" w:pos="4153"/>
                      <w:tab w:val="right" w:pos="8306"/>
                    </w:tabs>
                    <w:snapToGrid w:val="0"/>
                    <w:spacing w:line="24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水质</w:t>
                  </w:r>
                  <w:r>
                    <w:rPr>
                      <w:rFonts w:hint="eastAsia" w:ascii="宋体" w:hAnsi="宋体" w:eastAsia="宋体" w:cs="宋体"/>
                      <w:sz w:val="21"/>
                      <w:szCs w:val="21"/>
                      <w:lang w:val="en-US" w:eastAsia="zh-CN"/>
                    </w:rPr>
                    <w:t xml:space="preserve"> 总磷的测定 </w:t>
                  </w:r>
                </w:p>
                <w:p w14:paraId="4A05C808">
                  <w:pPr>
                    <w:tabs>
                      <w:tab w:val="center" w:pos="4153"/>
                      <w:tab w:val="right" w:pos="8306"/>
                    </w:tabs>
                    <w:snapToGrid w:val="0"/>
                    <w:spacing w:line="240" w:lineRule="exact"/>
                    <w:jc w:val="center"/>
                    <w:rPr>
                      <w:rFonts w:hint="eastAsia" w:ascii="宋体" w:hAnsi="宋体" w:eastAsia="宋体" w:cs="宋体"/>
                      <w:color w:val="000000"/>
                      <w:sz w:val="21"/>
                      <w:szCs w:val="21"/>
                      <w:lang w:val="en-US" w:eastAsia="zh-CN"/>
                    </w:rPr>
                  </w:pPr>
                  <w:r>
                    <w:rPr>
                      <w:rFonts w:hint="eastAsia" w:ascii="宋体" w:hAnsi="宋体" w:eastAsia="宋体" w:cs="宋体"/>
                      <w:sz w:val="21"/>
                      <w:szCs w:val="21"/>
                      <w:lang w:val="en-US" w:eastAsia="zh-CN"/>
                    </w:rPr>
                    <w:t>钼酸铵分光光度法（GB11893-1989）</w:t>
                  </w:r>
                </w:p>
              </w:tc>
              <w:tc>
                <w:tcPr>
                  <w:tcW w:w="2734" w:type="dxa"/>
                  <w:tcBorders>
                    <w:tl2br w:val="nil"/>
                    <w:tr2bl w:val="nil"/>
                  </w:tcBorders>
                  <w:noWrap w:val="0"/>
                  <w:vAlign w:val="center"/>
                </w:tcPr>
                <w:p w14:paraId="0948C8F8">
                  <w:pPr>
                    <w:tabs>
                      <w:tab w:val="center" w:pos="4153"/>
                      <w:tab w:val="right" w:pos="8306"/>
                    </w:tabs>
                    <w:snapToGrid w:val="0"/>
                    <w:spacing w:line="240" w:lineRule="exact"/>
                    <w:jc w:val="center"/>
                    <w:rPr>
                      <w:rFonts w:hint="eastAsia" w:ascii="宋体" w:hAnsi="宋体" w:eastAsia="宋体" w:cs="宋体"/>
                      <w:color w:val="000000"/>
                      <w:sz w:val="21"/>
                      <w:szCs w:val="21"/>
                      <w:lang w:val="en-US" w:eastAsia="zh-CN"/>
                    </w:rPr>
                  </w:pPr>
                  <w:r>
                    <w:rPr>
                      <w:rFonts w:hint="eastAsia" w:ascii="宋体" w:hAnsi="宋体" w:eastAsia="宋体" w:cs="宋体"/>
                      <w:sz w:val="21"/>
                      <w:szCs w:val="21"/>
                      <w:lang w:val="en-US" w:eastAsia="zh-CN"/>
                    </w:rPr>
                    <w:t>7230G型可见分光光度计</w:t>
                  </w:r>
                </w:p>
              </w:tc>
            </w:tr>
            <w:tr w14:paraId="5AD998D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731" w:type="dxa"/>
                  <w:tcBorders>
                    <w:tl2br w:val="nil"/>
                    <w:tr2bl w:val="nil"/>
                  </w:tcBorders>
                  <w:noWrap w:val="0"/>
                  <w:vAlign w:val="center"/>
                </w:tcPr>
                <w:p w14:paraId="770A10DD">
                  <w:pPr>
                    <w:tabs>
                      <w:tab w:val="center" w:pos="4153"/>
                      <w:tab w:val="right" w:pos="8306"/>
                    </w:tabs>
                    <w:snapToGrid w:val="0"/>
                    <w:spacing w:line="240" w:lineRule="exact"/>
                    <w:jc w:val="center"/>
                    <w:rPr>
                      <w:rFonts w:hint="eastAsia" w:ascii="宋体" w:hAnsi="宋体" w:eastAsia="宋体" w:cs="宋体"/>
                      <w:color w:val="000000"/>
                      <w:sz w:val="21"/>
                      <w:szCs w:val="21"/>
                      <w:lang w:val="en-US" w:eastAsia="zh-CN"/>
                    </w:rPr>
                  </w:pPr>
                  <w:r>
                    <w:rPr>
                      <w:rFonts w:hint="eastAsia" w:ascii="宋体" w:hAnsi="宋体" w:eastAsia="宋体" w:cs="宋体"/>
                      <w:sz w:val="21"/>
                      <w:szCs w:val="21"/>
                      <w:lang w:eastAsia="zh-CN"/>
                    </w:rPr>
                    <w:t>总氮</w:t>
                  </w:r>
                </w:p>
              </w:tc>
              <w:tc>
                <w:tcPr>
                  <w:tcW w:w="3755" w:type="dxa"/>
                  <w:tcBorders>
                    <w:tl2br w:val="nil"/>
                    <w:tr2bl w:val="nil"/>
                  </w:tcBorders>
                  <w:noWrap w:val="0"/>
                  <w:vAlign w:val="center"/>
                </w:tcPr>
                <w:p w14:paraId="4183C31A">
                  <w:pPr>
                    <w:tabs>
                      <w:tab w:val="center" w:pos="4153"/>
                      <w:tab w:val="right" w:pos="8306"/>
                    </w:tabs>
                    <w:snapToGrid w:val="0"/>
                    <w:spacing w:line="240" w:lineRule="exact"/>
                    <w:jc w:val="center"/>
                    <w:rPr>
                      <w:rFonts w:hint="eastAsia" w:ascii="宋体" w:hAnsi="宋体" w:eastAsia="宋体" w:cs="宋体"/>
                      <w:color w:val="000000"/>
                      <w:sz w:val="21"/>
                      <w:szCs w:val="21"/>
                      <w:lang w:val="en-US" w:eastAsia="zh-CN"/>
                    </w:rPr>
                  </w:pPr>
                  <w:r>
                    <w:rPr>
                      <w:rFonts w:hint="eastAsia" w:ascii="宋体" w:hAnsi="宋体" w:eastAsia="宋体" w:cs="宋体"/>
                      <w:sz w:val="21"/>
                      <w:szCs w:val="21"/>
                      <w:lang w:val="en-US" w:eastAsia="zh-CN"/>
                    </w:rPr>
                    <w:t>水质 总氮的测定 碱性过硫酸钾消解紫外分光光度法（HJ636-2012）</w:t>
                  </w:r>
                </w:p>
              </w:tc>
              <w:tc>
                <w:tcPr>
                  <w:tcW w:w="2734" w:type="dxa"/>
                  <w:tcBorders>
                    <w:tl2br w:val="nil"/>
                    <w:tr2bl w:val="nil"/>
                  </w:tcBorders>
                  <w:noWrap w:val="0"/>
                  <w:vAlign w:val="center"/>
                </w:tcPr>
                <w:p w14:paraId="4EE18E5D">
                  <w:pPr>
                    <w:tabs>
                      <w:tab w:val="center" w:pos="4153"/>
                      <w:tab w:val="right" w:pos="8306"/>
                    </w:tabs>
                    <w:snapToGrid w:val="0"/>
                    <w:spacing w:line="240" w:lineRule="exact"/>
                    <w:jc w:val="center"/>
                    <w:rPr>
                      <w:rFonts w:hint="eastAsia" w:ascii="宋体" w:hAnsi="宋体" w:eastAsia="宋体" w:cs="宋体"/>
                      <w:color w:val="000000"/>
                      <w:sz w:val="21"/>
                      <w:szCs w:val="21"/>
                      <w:lang w:val="en-US" w:eastAsia="zh-CN"/>
                    </w:rPr>
                  </w:pPr>
                  <w:r>
                    <w:rPr>
                      <w:rFonts w:hint="eastAsia" w:ascii="宋体" w:hAnsi="宋体" w:eastAsia="宋体" w:cs="宋体"/>
                      <w:sz w:val="21"/>
                      <w:szCs w:val="21"/>
                      <w:lang w:val="en-US" w:eastAsia="zh-CN"/>
                    </w:rPr>
                    <w:t>紫外可见分光光度计 L2600</w:t>
                  </w:r>
                </w:p>
              </w:tc>
            </w:tr>
            <w:tr w14:paraId="125D18C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731" w:type="dxa"/>
                  <w:tcBorders>
                    <w:tl2br w:val="nil"/>
                    <w:tr2bl w:val="nil"/>
                  </w:tcBorders>
                  <w:noWrap w:val="0"/>
                  <w:vAlign w:val="center"/>
                </w:tcPr>
                <w:p w14:paraId="3E8795F4">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themeColor="text1"/>
                      <w:sz w:val="21"/>
                      <w:szCs w:val="21"/>
                      <w:lang w:val="en-US" w:eastAsia="zh-CN"/>
                      <w14:textFill>
                        <w14:solidFill>
                          <w14:schemeClr w14:val="tx1"/>
                        </w14:solidFill>
                      </w14:textFill>
                    </w:rPr>
                    <w:t>阴离子表面活性剂</w:t>
                  </w:r>
                </w:p>
              </w:tc>
              <w:tc>
                <w:tcPr>
                  <w:tcW w:w="3755" w:type="dxa"/>
                  <w:tcBorders>
                    <w:tl2br w:val="nil"/>
                    <w:tr2bl w:val="nil"/>
                  </w:tcBorders>
                  <w:noWrap w:val="0"/>
                  <w:vAlign w:val="center"/>
                </w:tcPr>
                <w:p w14:paraId="6730A184">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themeColor="text1"/>
                      <w:sz w:val="21"/>
                      <w:szCs w:val="21"/>
                      <w:lang w:val="en-US" w:eastAsia="zh-CN"/>
                      <w14:textFill>
                        <w14:solidFill>
                          <w14:schemeClr w14:val="tx1"/>
                        </w14:solidFill>
                      </w14:textFill>
                    </w:rPr>
                    <w:t>水质 阴离子表面活性剂的测定 亚甲蓝分光光度（GB7494-1987）</w:t>
                  </w:r>
                </w:p>
              </w:tc>
              <w:tc>
                <w:tcPr>
                  <w:tcW w:w="2734" w:type="dxa"/>
                  <w:tcBorders>
                    <w:tl2br w:val="nil"/>
                    <w:tr2bl w:val="nil"/>
                  </w:tcBorders>
                  <w:noWrap w:val="0"/>
                  <w:vAlign w:val="center"/>
                </w:tcPr>
                <w:p w14:paraId="6ED72CE6">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themeColor="text1"/>
                      <w:sz w:val="21"/>
                      <w:szCs w:val="21"/>
                      <w:lang w:val="en-US" w:eastAsia="zh-CN"/>
                      <w14:textFill>
                        <w14:solidFill>
                          <w14:schemeClr w14:val="tx1"/>
                        </w14:solidFill>
                      </w14:textFill>
                    </w:rPr>
                    <w:t>7230G型可见分光光度计</w:t>
                  </w:r>
                </w:p>
              </w:tc>
            </w:tr>
          </w:tbl>
          <w:p w14:paraId="780676EA">
            <w:pPr>
              <w:ind w:firstLine="480" w:firstLineChars="200"/>
              <w:jc w:val="both"/>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本项目废水执行</w:t>
            </w:r>
            <w:r>
              <w:rPr>
                <w:rFonts w:hint="eastAsia" w:ascii="宋体" w:hAnsi="宋体" w:eastAsia="宋体" w:cs="宋体"/>
                <w:bCs/>
                <w:color w:val="000000" w:themeColor="text1"/>
                <w:sz w:val="24"/>
                <w:szCs w:val="24"/>
                <w:lang w:val="en-US" w:eastAsia="zh-CN"/>
                <w14:textFill>
                  <w14:solidFill>
                    <w14:schemeClr w14:val="tx1"/>
                  </w14:solidFill>
                </w14:textFill>
              </w:rPr>
              <w:t>《肉类加工工业水污染物排放标准》（GB 13457-92）中表3畜类屠宰加工一级标准限值。</w:t>
            </w:r>
          </w:p>
          <w:p w14:paraId="107C9B95">
            <w:pPr>
              <w:pStyle w:val="2"/>
              <w:rPr>
                <w:rFonts w:hint="eastAsia" w:ascii="宋体" w:hAnsi="宋体" w:eastAsia="宋体" w:cs="宋体"/>
                <w:bCs/>
                <w:color w:val="000000" w:themeColor="text1"/>
                <w:sz w:val="24"/>
                <w:szCs w:val="24"/>
                <w:lang w:val="en-US" w:eastAsia="zh-CN"/>
                <w14:textFill>
                  <w14:solidFill>
                    <w14:schemeClr w14:val="tx1"/>
                  </w14:solidFill>
                </w14:textFill>
              </w:rPr>
            </w:pPr>
          </w:p>
          <w:p w14:paraId="08EF8824">
            <w:pPr>
              <w:rPr>
                <w:rFonts w:hint="default"/>
                <w:lang w:val="en-US" w:eastAsia="zh-CN"/>
              </w:rPr>
            </w:pPr>
          </w:p>
          <w:p w14:paraId="3B807467">
            <w:pPr>
              <w:pStyle w:val="2"/>
              <w:rPr>
                <w:rFonts w:hint="default"/>
                <w:lang w:val="en-US" w:eastAsia="zh-CN"/>
              </w:rPr>
            </w:pPr>
          </w:p>
          <w:p w14:paraId="121748D3">
            <w:pPr>
              <w:rPr>
                <w:rFonts w:hint="default"/>
                <w:lang w:val="en-US" w:eastAsia="zh-CN"/>
              </w:rPr>
            </w:pPr>
          </w:p>
          <w:p w14:paraId="2DB9D776">
            <w:pPr>
              <w:pStyle w:val="2"/>
              <w:rPr>
                <w:rFonts w:hint="default"/>
                <w:lang w:val="en-US" w:eastAsia="zh-CN"/>
              </w:rPr>
            </w:pPr>
          </w:p>
          <w:p w14:paraId="3398E99A">
            <w:pPr>
              <w:rPr>
                <w:rFonts w:hint="default"/>
                <w:lang w:val="en-US" w:eastAsia="zh-CN"/>
              </w:rPr>
            </w:pPr>
          </w:p>
          <w:p w14:paraId="3BD667BB">
            <w:pPr>
              <w:pStyle w:val="2"/>
              <w:rPr>
                <w:rFonts w:hint="default"/>
                <w:lang w:val="en-US" w:eastAsia="zh-CN"/>
              </w:rPr>
            </w:pPr>
          </w:p>
          <w:p w14:paraId="20F34BE8">
            <w:pPr>
              <w:pStyle w:val="2"/>
              <w:ind w:left="0" w:leftChars="0" w:firstLine="0" w:firstLineChars="0"/>
              <w:rPr>
                <w:rFonts w:hint="default"/>
                <w:lang w:val="en-US" w:eastAsia="zh-CN"/>
              </w:rPr>
            </w:pPr>
          </w:p>
        </w:tc>
      </w:tr>
    </w:tbl>
    <w:p w14:paraId="0AB25A1F">
      <w:pPr>
        <w:pStyle w:val="11"/>
        <w:spacing w:after="0"/>
        <w:ind w:left="0" w:leftChars="0" w:right="0" w:rightChars="0" w:firstLine="0" w:firstLineChars="0"/>
        <w:jc w:val="left"/>
        <w:rPr>
          <w:rStyle w:val="18"/>
          <w:rFonts w:hint="default" w:ascii="Times New Roman" w:hAnsi="Times New Roman" w:cs="Times New Roman"/>
          <w:color w:val="auto"/>
          <w:sz w:val="28"/>
          <w:szCs w:val="28"/>
          <w:highlight w:val="none"/>
        </w:rPr>
      </w:pPr>
      <w:bookmarkStart w:id="14" w:name="_Toc9876"/>
      <w:r>
        <w:rPr>
          <w:rStyle w:val="18"/>
          <w:rFonts w:hint="default" w:ascii="Times New Roman" w:hAnsi="Times New Roman" w:cs="Times New Roman"/>
          <w:color w:val="auto"/>
          <w:sz w:val="28"/>
          <w:szCs w:val="28"/>
          <w:highlight w:val="none"/>
        </w:rPr>
        <w:t>表</w:t>
      </w:r>
      <w:r>
        <w:rPr>
          <w:rStyle w:val="18"/>
          <w:rFonts w:hint="default" w:ascii="Times New Roman" w:hAnsi="Times New Roman" w:cs="Times New Roman"/>
          <w:color w:val="auto"/>
          <w:sz w:val="28"/>
          <w:szCs w:val="28"/>
          <w:highlight w:val="none"/>
          <w:lang w:val="en-US" w:eastAsia="zh-CN"/>
        </w:rPr>
        <w:t>七</w:t>
      </w:r>
      <w:r>
        <w:rPr>
          <w:rStyle w:val="18"/>
          <w:rFonts w:hint="default" w:ascii="Times New Roman" w:hAnsi="Times New Roman" w:cs="Times New Roman"/>
          <w:color w:val="auto"/>
          <w:sz w:val="28"/>
          <w:szCs w:val="28"/>
          <w:highlight w:val="none"/>
        </w:rPr>
        <w:t xml:space="preserve">  </w:t>
      </w:r>
      <w:bookmarkStart w:id="15" w:name="_Toc5731"/>
      <w:r>
        <w:rPr>
          <w:rStyle w:val="18"/>
          <w:rFonts w:hint="default" w:ascii="Times New Roman" w:hAnsi="Times New Roman" w:cs="Times New Roman"/>
          <w:color w:val="auto"/>
          <w:sz w:val="28"/>
          <w:szCs w:val="28"/>
          <w:highlight w:val="none"/>
        </w:rPr>
        <w:t>监测结果评价</w:t>
      </w:r>
      <w:bookmarkEnd w:id="15"/>
    </w:p>
    <w:bookmarkEnd w:id="14"/>
    <w:tbl>
      <w:tblPr>
        <w:tblStyle w:val="16"/>
        <w:tblW w:w="901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6"/>
      </w:tblGrid>
      <w:tr w14:paraId="5B853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9" w:hRule="atLeast"/>
        </w:trPr>
        <w:tc>
          <w:tcPr>
            <w:tcW w:w="9016" w:type="dxa"/>
          </w:tcPr>
          <w:p w14:paraId="01274AFF">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default" w:ascii="Times New Roman" w:hAnsi="Times New Roman" w:cs="Times New Roman"/>
                <w:b/>
                <w:bCs/>
                <w:color w:val="auto"/>
                <w:sz w:val="28"/>
                <w:szCs w:val="36"/>
                <w:highlight w:val="none"/>
              </w:rPr>
            </w:pPr>
            <w:r>
              <w:rPr>
                <w:rFonts w:hint="default" w:ascii="Times New Roman" w:hAnsi="Times New Roman" w:cs="Times New Roman"/>
                <w:b/>
                <w:bCs/>
                <w:color w:val="auto"/>
                <w:sz w:val="28"/>
                <w:szCs w:val="36"/>
                <w:highlight w:val="none"/>
                <w:lang w:val="en-US" w:eastAsia="zh-CN"/>
              </w:rPr>
              <w:t>7</w:t>
            </w:r>
            <w:r>
              <w:rPr>
                <w:rFonts w:hint="default" w:ascii="Times New Roman" w:hAnsi="Times New Roman" w:cs="Times New Roman"/>
                <w:b/>
                <w:bCs/>
                <w:color w:val="auto"/>
                <w:sz w:val="28"/>
                <w:szCs w:val="36"/>
                <w:highlight w:val="none"/>
              </w:rPr>
              <w:t>.1监测</w:t>
            </w:r>
            <w:r>
              <w:rPr>
                <w:rFonts w:hint="default" w:ascii="Times New Roman" w:hAnsi="Times New Roman" w:cs="Times New Roman"/>
                <w:b/>
                <w:bCs/>
                <w:color w:val="auto"/>
                <w:sz w:val="28"/>
                <w:szCs w:val="28"/>
                <w:highlight w:val="none"/>
              </w:rPr>
              <w:t>期间</w:t>
            </w:r>
            <w:r>
              <w:rPr>
                <w:rFonts w:hint="default" w:ascii="Times New Roman" w:hAnsi="Times New Roman" w:cs="Times New Roman"/>
                <w:b/>
                <w:bCs/>
                <w:color w:val="auto"/>
                <w:sz w:val="28"/>
                <w:szCs w:val="36"/>
                <w:highlight w:val="none"/>
              </w:rPr>
              <w:t>运行工况</w:t>
            </w:r>
          </w:p>
          <w:p w14:paraId="585E05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snapToGrid w:val="0"/>
                <w:color w:val="auto"/>
                <w:sz w:val="24"/>
                <w:szCs w:val="24"/>
                <w:highlight w:val="none"/>
                <w:lang w:eastAsia="zh-CN"/>
              </w:rPr>
              <w:t>202</w:t>
            </w:r>
            <w:r>
              <w:rPr>
                <w:rFonts w:hint="eastAsia" w:ascii="宋体" w:hAnsi="宋体" w:eastAsia="宋体" w:cs="宋体"/>
                <w:bCs/>
                <w:snapToGrid w:val="0"/>
                <w:color w:val="auto"/>
                <w:sz w:val="24"/>
                <w:szCs w:val="24"/>
                <w:highlight w:val="none"/>
                <w:lang w:val="en-US" w:eastAsia="zh-CN"/>
              </w:rPr>
              <w:t>5</w:t>
            </w:r>
            <w:r>
              <w:rPr>
                <w:rFonts w:hint="eastAsia" w:ascii="宋体" w:hAnsi="宋体" w:eastAsia="宋体" w:cs="宋体"/>
                <w:bCs/>
                <w:snapToGrid w:val="0"/>
                <w:color w:val="auto"/>
                <w:sz w:val="24"/>
                <w:szCs w:val="24"/>
                <w:highlight w:val="none"/>
                <w:lang w:eastAsia="zh-CN"/>
              </w:rPr>
              <w:t>年</w:t>
            </w:r>
            <w:r>
              <w:rPr>
                <w:rFonts w:hint="eastAsia" w:ascii="宋体" w:hAnsi="宋体" w:eastAsia="宋体" w:cs="宋体"/>
                <w:bCs/>
                <w:snapToGrid w:val="0"/>
                <w:color w:val="auto"/>
                <w:sz w:val="24"/>
                <w:szCs w:val="24"/>
                <w:highlight w:val="none"/>
                <w:lang w:val="en-US" w:eastAsia="zh-CN"/>
              </w:rPr>
              <w:t>6</w:t>
            </w:r>
            <w:r>
              <w:rPr>
                <w:rFonts w:hint="eastAsia" w:ascii="宋体" w:hAnsi="宋体" w:eastAsia="宋体" w:cs="宋体"/>
                <w:bCs/>
                <w:snapToGrid w:val="0"/>
                <w:color w:val="auto"/>
                <w:sz w:val="24"/>
                <w:szCs w:val="24"/>
                <w:highlight w:val="none"/>
                <w:lang w:eastAsia="zh-CN"/>
              </w:rPr>
              <w:t>月</w:t>
            </w:r>
            <w:r>
              <w:rPr>
                <w:rFonts w:hint="eastAsia" w:ascii="宋体" w:hAnsi="宋体" w:eastAsia="宋体" w:cs="宋体"/>
                <w:bCs/>
                <w:snapToGrid w:val="0"/>
                <w:color w:val="auto"/>
                <w:sz w:val="24"/>
                <w:szCs w:val="24"/>
                <w:highlight w:val="none"/>
                <w:lang w:val="en-US" w:eastAsia="zh-CN"/>
              </w:rPr>
              <w:t>27</w:t>
            </w:r>
            <w:r>
              <w:rPr>
                <w:rFonts w:hint="eastAsia" w:ascii="宋体" w:hAnsi="宋体" w:eastAsia="宋体" w:cs="宋体"/>
                <w:bCs/>
                <w:snapToGrid w:val="0"/>
                <w:color w:val="auto"/>
                <w:sz w:val="24"/>
                <w:szCs w:val="24"/>
                <w:highlight w:val="none"/>
                <w:lang w:eastAsia="zh-CN"/>
              </w:rPr>
              <w:t>日—</w:t>
            </w:r>
            <w:r>
              <w:rPr>
                <w:rFonts w:hint="eastAsia" w:ascii="宋体" w:hAnsi="宋体" w:eastAsia="宋体" w:cs="宋体"/>
                <w:bCs/>
                <w:snapToGrid w:val="0"/>
                <w:color w:val="auto"/>
                <w:sz w:val="24"/>
                <w:szCs w:val="24"/>
                <w:highlight w:val="none"/>
                <w:lang w:val="en-US" w:eastAsia="zh-CN"/>
              </w:rPr>
              <w:t>28</w:t>
            </w:r>
            <w:r>
              <w:rPr>
                <w:rFonts w:hint="eastAsia" w:ascii="宋体" w:hAnsi="宋体" w:eastAsia="宋体" w:cs="宋体"/>
                <w:bCs/>
                <w:snapToGrid w:val="0"/>
                <w:color w:val="auto"/>
                <w:sz w:val="24"/>
                <w:szCs w:val="24"/>
                <w:highlight w:val="none"/>
              </w:rPr>
              <w:t>日</w:t>
            </w:r>
            <w:r>
              <w:rPr>
                <w:rFonts w:hint="eastAsia" w:ascii="宋体" w:hAnsi="宋体" w:eastAsia="宋体" w:cs="宋体"/>
                <w:bCs/>
                <w:snapToGrid w:val="0"/>
                <w:color w:val="auto"/>
                <w:sz w:val="24"/>
                <w:szCs w:val="24"/>
                <w:highlight w:val="none"/>
                <w:lang w:eastAsia="zh-CN"/>
              </w:rPr>
              <w:t>，</w:t>
            </w:r>
            <w:r>
              <w:rPr>
                <w:rFonts w:hint="eastAsia" w:ascii="宋体" w:hAnsi="宋体" w:eastAsia="宋体" w:cs="宋体"/>
                <w:bCs/>
                <w:snapToGrid w:val="0"/>
                <w:color w:val="auto"/>
                <w:sz w:val="24"/>
                <w:szCs w:val="24"/>
                <w:lang w:eastAsia="zh-CN"/>
              </w:rPr>
              <w:t>建设单位委托</w:t>
            </w:r>
            <w:r>
              <w:rPr>
                <w:rFonts w:hint="eastAsia" w:ascii="宋体" w:hAnsi="宋体" w:eastAsia="宋体" w:cs="宋体"/>
                <w:bCs/>
                <w:snapToGrid w:val="0"/>
                <w:color w:val="auto"/>
                <w:sz w:val="24"/>
                <w:szCs w:val="24"/>
                <w:lang w:val="en-US" w:eastAsia="zh-CN"/>
              </w:rPr>
              <w:t>新疆博洋科技检测有限公司</w:t>
            </w:r>
            <w:r>
              <w:rPr>
                <w:rFonts w:hint="eastAsia" w:ascii="宋体" w:hAnsi="宋体" w:eastAsia="宋体" w:cs="宋体"/>
                <w:bCs/>
                <w:snapToGrid w:val="0"/>
                <w:color w:val="auto"/>
                <w:sz w:val="24"/>
                <w:szCs w:val="24"/>
                <w:highlight w:val="none"/>
                <w:lang w:eastAsia="zh-CN"/>
              </w:rPr>
              <w:t>对本项目工程废气、</w:t>
            </w:r>
            <w:r>
              <w:rPr>
                <w:rFonts w:hint="eastAsia" w:ascii="宋体" w:hAnsi="宋体" w:eastAsia="宋体" w:cs="宋体"/>
                <w:bCs/>
                <w:snapToGrid w:val="0"/>
                <w:color w:val="auto"/>
                <w:sz w:val="24"/>
                <w:szCs w:val="24"/>
                <w:highlight w:val="none"/>
                <w:lang w:val="en-US" w:eastAsia="zh-CN"/>
              </w:rPr>
              <w:t>废水、</w:t>
            </w:r>
            <w:r>
              <w:rPr>
                <w:rFonts w:hint="eastAsia" w:ascii="宋体" w:hAnsi="宋体" w:eastAsia="宋体" w:cs="宋体"/>
                <w:bCs/>
                <w:snapToGrid w:val="0"/>
                <w:color w:val="auto"/>
                <w:sz w:val="24"/>
                <w:szCs w:val="24"/>
                <w:highlight w:val="none"/>
                <w:lang w:eastAsia="zh-CN"/>
              </w:rPr>
              <w:t>噪声进行了监测，</w:t>
            </w:r>
            <w:r>
              <w:rPr>
                <w:rFonts w:hint="eastAsia" w:ascii="宋体" w:hAnsi="宋体" w:eastAsia="宋体" w:cs="宋体"/>
                <w:color w:val="auto"/>
                <w:sz w:val="24"/>
                <w:szCs w:val="24"/>
              </w:rPr>
              <w:t>根据现场</w:t>
            </w:r>
            <w:r>
              <w:rPr>
                <w:rFonts w:hint="eastAsia" w:ascii="宋体" w:hAnsi="宋体" w:eastAsia="宋体" w:cs="宋体"/>
                <w:color w:val="auto"/>
                <w:sz w:val="24"/>
                <w:szCs w:val="24"/>
                <w:lang w:eastAsia="zh-CN"/>
              </w:rPr>
              <w:t>监测情况，</w:t>
            </w:r>
            <w:r>
              <w:rPr>
                <w:rFonts w:hint="eastAsia" w:ascii="宋体" w:hAnsi="宋体" w:eastAsia="宋体" w:cs="宋体"/>
                <w:color w:val="auto"/>
                <w:sz w:val="24"/>
                <w:szCs w:val="24"/>
              </w:rPr>
              <w:t>验收监测期间项目主体工程和环保设施运行正常。验收期间工作负荷如下：</w:t>
            </w:r>
          </w:p>
          <w:p w14:paraId="74AB53DB">
            <w:pPr>
              <w:spacing w:line="24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表</w:t>
            </w:r>
            <w:r>
              <w:rPr>
                <w:rFonts w:hint="eastAsia" w:ascii="宋体" w:hAnsi="宋体" w:eastAsia="宋体" w:cs="宋体"/>
                <w:b/>
                <w:bCs/>
                <w:color w:val="auto"/>
                <w:sz w:val="24"/>
                <w:szCs w:val="24"/>
                <w:highlight w:val="none"/>
                <w:lang w:val="en-US" w:eastAsia="zh-CN"/>
              </w:rPr>
              <w:t>7</w:t>
            </w:r>
            <w:r>
              <w:rPr>
                <w:rFonts w:hint="eastAsia" w:ascii="宋体" w:hAnsi="宋体" w:eastAsia="宋体" w:cs="宋体"/>
                <w:b/>
                <w:bCs/>
                <w:color w:val="auto"/>
                <w:sz w:val="24"/>
                <w:szCs w:val="24"/>
                <w:highlight w:val="none"/>
              </w:rPr>
              <w:t>-1                       验收期间工作</w:t>
            </w:r>
            <w:r>
              <w:rPr>
                <w:rFonts w:hint="eastAsia" w:ascii="宋体" w:hAnsi="宋体" w:eastAsia="宋体" w:cs="宋体"/>
                <w:b/>
                <w:bCs/>
                <w:color w:val="auto"/>
                <w:sz w:val="24"/>
                <w:szCs w:val="24"/>
                <w:highlight w:val="none"/>
                <w:lang w:eastAsia="zh-CN"/>
              </w:rPr>
              <w:t>情况</w:t>
            </w:r>
          </w:p>
          <w:tbl>
            <w:tblPr>
              <w:tblStyle w:val="15"/>
              <w:tblW w:w="747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491"/>
              <w:gridCol w:w="2987"/>
            </w:tblGrid>
            <w:tr w14:paraId="3F91F57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4491" w:type="dxa"/>
                  <w:tcBorders>
                    <w:tl2br w:val="nil"/>
                    <w:tr2bl w:val="nil"/>
                  </w:tcBorders>
                  <w:noWrap w:val="0"/>
                  <w:vAlign w:val="center"/>
                </w:tcPr>
                <w:p w14:paraId="018263C1">
                  <w:pPr>
                    <w:pStyle w:val="11"/>
                    <w:spacing w:after="0"/>
                    <w:ind w:left="0" w:leftChars="0" w:right="0" w:rightChars="0"/>
                    <w:jc w:val="center"/>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cs="Times New Roman"/>
                      <w:b/>
                      <w:bCs/>
                      <w:color w:val="auto"/>
                      <w:szCs w:val="21"/>
                    </w:rPr>
                    <w:t>时间</w:t>
                  </w:r>
                </w:p>
              </w:tc>
              <w:tc>
                <w:tcPr>
                  <w:tcW w:w="2987" w:type="dxa"/>
                  <w:tcBorders>
                    <w:tl2br w:val="nil"/>
                    <w:tr2bl w:val="nil"/>
                  </w:tcBorders>
                  <w:noWrap w:val="0"/>
                  <w:vAlign w:val="center"/>
                </w:tcPr>
                <w:p w14:paraId="6A2A724A">
                  <w:pPr>
                    <w:pStyle w:val="11"/>
                    <w:spacing w:after="0"/>
                    <w:ind w:left="0" w:leftChars="0" w:right="0" w:rightChars="0"/>
                    <w:jc w:val="center"/>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cs="Times New Roman"/>
                      <w:b/>
                      <w:bCs/>
                      <w:color w:val="auto"/>
                      <w:szCs w:val="21"/>
                    </w:rPr>
                    <w:t>负荷</w:t>
                  </w:r>
                </w:p>
              </w:tc>
            </w:tr>
            <w:tr w14:paraId="4BD0FEA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49" w:hRule="atLeast"/>
                <w:jc w:val="center"/>
              </w:trPr>
              <w:tc>
                <w:tcPr>
                  <w:tcW w:w="4491" w:type="dxa"/>
                  <w:tcBorders>
                    <w:tl2br w:val="nil"/>
                    <w:tr2bl w:val="nil"/>
                  </w:tcBorders>
                  <w:noWrap w:val="0"/>
                  <w:vAlign w:val="center"/>
                </w:tcPr>
                <w:p w14:paraId="1D3FCC02">
                  <w:pPr>
                    <w:pStyle w:val="11"/>
                    <w:spacing w:after="0"/>
                    <w:ind w:left="0" w:leftChars="0" w:right="0" w:rightChars="0"/>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Cs w:val="21"/>
                      <w:lang w:eastAsia="zh-CN"/>
                    </w:rPr>
                    <w:t>202</w:t>
                  </w:r>
                  <w:r>
                    <w:rPr>
                      <w:rFonts w:hint="default" w:ascii="Times New Roman" w:hAnsi="Times New Roman" w:cs="Times New Roman"/>
                      <w:color w:val="auto"/>
                      <w:szCs w:val="21"/>
                      <w:lang w:val="en-US" w:eastAsia="zh-CN"/>
                    </w:rPr>
                    <w:t>5</w:t>
                  </w:r>
                  <w:r>
                    <w:rPr>
                      <w:rFonts w:hint="default" w:ascii="Times New Roman" w:hAnsi="Times New Roman" w:cs="Times New Roman"/>
                      <w:color w:val="auto"/>
                      <w:szCs w:val="21"/>
                      <w:lang w:eastAsia="zh-CN"/>
                    </w:rPr>
                    <w:t>年</w:t>
                  </w:r>
                  <w:r>
                    <w:rPr>
                      <w:rFonts w:hint="eastAsia" w:ascii="Times New Roman" w:hAnsi="Times New Roman" w:cs="Times New Roman"/>
                      <w:color w:val="auto"/>
                      <w:szCs w:val="21"/>
                      <w:lang w:val="en-US" w:eastAsia="zh-CN"/>
                    </w:rPr>
                    <w:t>6</w:t>
                  </w:r>
                  <w:r>
                    <w:rPr>
                      <w:rFonts w:hint="default" w:ascii="Times New Roman" w:hAnsi="Times New Roman" w:cs="Times New Roman"/>
                      <w:color w:val="auto"/>
                      <w:szCs w:val="21"/>
                      <w:lang w:eastAsia="zh-CN"/>
                    </w:rPr>
                    <w:t>月</w:t>
                  </w:r>
                  <w:r>
                    <w:rPr>
                      <w:rFonts w:hint="eastAsia" w:ascii="Times New Roman" w:hAnsi="Times New Roman" w:cs="Times New Roman"/>
                      <w:color w:val="auto"/>
                      <w:szCs w:val="21"/>
                      <w:lang w:val="en-US" w:eastAsia="zh-CN"/>
                    </w:rPr>
                    <w:t>27</w:t>
                  </w:r>
                  <w:r>
                    <w:rPr>
                      <w:rFonts w:hint="default" w:ascii="Times New Roman" w:hAnsi="Times New Roman" w:cs="Times New Roman"/>
                      <w:color w:val="auto"/>
                      <w:szCs w:val="21"/>
                      <w:lang w:eastAsia="zh-CN"/>
                    </w:rPr>
                    <w:t>日</w:t>
                  </w:r>
                </w:p>
              </w:tc>
              <w:tc>
                <w:tcPr>
                  <w:tcW w:w="2987" w:type="dxa"/>
                  <w:tcBorders>
                    <w:tl2br w:val="nil"/>
                    <w:tr2bl w:val="nil"/>
                  </w:tcBorders>
                  <w:noWrap w:val="0"/>
                  <w:vAlign w:val="center"/>
                </w:tcPr>
                <w:p w14:paraId="624E3767">
                  <w:pPr>
                    <w:pStyle w:val="11"/>
                    <w:spacing w:after="0"/>
                    <w:ind w:left="0" w:leftChars="0" w:right="0" w:right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78%</w:t>
                  </w:r>
                </w:p>
              </w:tc>
            </w:tr>
            <w:tr w14:paraId="2603D6C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64" w:hRule="atLeast"/>
                <w:jc w:val="center"/>
              </w:trPr>
              <w:tc>
                <w:tcPr>
                  <w:tcW w:w="4491" w:type="dxa"/>
                  <w:tcBorders>
                    <w:tl2br w:val="nil"/>
                    <w:tr2bl w:val="nil"/>
                  </w:tcBorders>
                  <w:noWrap w:val="0"/>
                  <w:vAlign w:val="center"/>
                </w:tcPr>
                <w:p w14:paraId="44974B9B">
                  <w:pPr>
                    <w:pStyle w:val="11"/>
                    <w:spacing w:after="0"/>
                    <w:ind w:left="0" w:leftChars="0" w:right="0" w:rightChars="0"/>
                    <w:jc w:val="center"/>
                    <w:rPr>
                      <w:rFonts w:hint="default" w:ascii="Times New Roman" w:hAnsi="Times New Roman" w:eastAsia="宋体" w:cs="Times New Roman"/>
                      <w:color w:val="auto"/>
                      <w:szCs w:val="21"/>
                      <w:lang w:eastAsia="zh-CN"/>
                    </w:rPr>
                  </w:pPr>
                  <w:r>
                    <w:rPr>
                      <w:rFonts w:hint="default" w:ascii="Times New Roman" w:hAnsi="Times New Roman" w:cs="Times New Roman"/>
                      <w:color w:val="auto"/>
                      <w:szCs w:val="21"/>
                      <w:lang w:eastAsia="zh-CN"/>
                    </w:rPr>
                    <w:t>202</w:t>
                  </w:r>
                  <w:r>
                    <w:rPr>
                      <w:rFonts w:hint="default" w:ascii="Times New Roman" w:hAnsi="Times New Roman" w:cs="Times New Roman"/>
                      <w:color w:val="auto"/>
                      <w:szCs w:val="21"/>
                      <w:lang w:val="en-US" w:eastAsia="zh-CN"/>
                    </w:rPr>
                    <w:t>5</w:t>
                  </w:r>
                  <w:r>
                    <w:rPr>
                      <w:rFonts w:hint="default" w:ascii="Times New Roman" w:hAnsi="Times New Roman" w:cs="Times New Roman"/>
                      <w:color w:val="auto"/>
                      <w:szCs w:val="21"/>
                      <w:lang w:eastAsia="zh-CN"/>
                    </w:rPr>
                    <w:t>年</w:t>
                  </w:r>
                  <w:r>
                    <w:rPr>
                      <w:rFonts w:hint="eastAsia" w:ascii="Times New Roman" w:hAnsi="Times New Roman" w:cs="Times New Roman"/>
                      <w:color w:val="auto"/>
                      <w:szCs w:val="21"/>
                      <w:lang w:val="en-US" w:eastAsia="zh-CN"/>
                    </w:rPr>
                    <w:t>6</w:t>
                  </w:r>
                  <w:r>
                    <w:rPr>
                      <w:rFonts w:hint="default" w:ascii="Times New Roman" w:hAnsi="Times New Roman" w:cs="Times New Roman"/>
                      <w:color w:val="auto"/>
                      <w:szCs w:val="21"/>
                      <w:lang w:eastAsia="zh-CN"/>
                    </w:rPr>
                    <w:t>月</w:t>
                  </w:r>
                  <w:r>
                    <w:rPr>
                      <w:rFonts w:hint="eastAsia" w:ascii="Times New Roman" w:hAnsi="Times New Roman" w:cs="Times New Roman"/>
                      <w:color w:val="auto"/>
                      <w:szCs w:val="21"/>
                      <w:lang w:val="en-US" w:eastAsia="zh-CN"/>
                    </w:rPr>
                    <w:t>28</w:t>
                  </w:r>
                  <w:r>
                    <w:rPr>
                      <w:rFonts w:hint="default" w:ascii="Times New Roman" w:hAnsi="Times New Roman" w:cs="Times New Roman"/>
                      <w:color w:val="auto"/>
                      <w:szCs w:val="21"/>
                      <w:lang w:eastAsia="zh-CN"/>
                    </w:rPr>
                    <w:t>日</w:t>
                  </w:r>
                </w:p>
              </w:tc>
              <w:tc>
                <w:tcPr>
                  <w:tcW w:w="2987" w:type="dxa"/>
                  <w:tcBorders>
                    <w:tl2br w:val="nil"/>
                    <w:tr2bl w:val="nil"/>
                  </w:tcBorders>
                  <w:shd w:val="clear" w:color="auto" w:fill="auto"/>
                  <w:noWrap w:val="0"/>
                  <w:vAlign w:val="center"/>
                </w:tcPr>
                <w:p w14:paraId="117A9B11">
                  <w:pPr>
                    <w:spacing w:after="0"/>
                    <w:ind w:left="0" w:leftChars="0" w:right="0" w:rightChars="0"/>
                    <w:jc w:val="center"/>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eastAsia" w:ascii="Times New Roman" w:hAnsi="Times New Roman" w:cs="Times New Roman"/>
                      <w:b w:val="0"/>
                      <w:bCs w:val="0"/>
                      <w:color w:val="auto"/>
                      <w:sz w:val="21"/>
                      <w:szCs w:val="21"/>
                      <w:highlight w:val="none"/>
                      <w:vertAlign w:val="baseline"/>
                      <w:lang w:val="en-US" w:eastAsia="zh-CN"/>
                    </w:rPr>
                    <w:t>83%</w:t>
                  </w:r>
                </w:p>
              </w:tc>
            </w:tr>
          </w:tbl>
          <w:p w14:paraId="3DD0F6E3">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7.2废气</w:t>
            </w:r>
          </w:p>
          <w:p w14:paraId="1EE02254">
            <w:pPr>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7.2.1无组织废气</w:t>
            </w:r>
          </w:p>
          <w:p w14:paraId="20C568E4">
            <w:pPr>
              <w:pStyle w:val="29"/>
              <w:ind w:left="0" w:leftChars="0" w:right="-105" w:firstLine="480" w:firstLineChars="200"/>
              <w:jc w:val="left"/>
              <w:rPr>
                <w:rFonts w:hint="eastAsia" w:ascii="宋体" w:hAnsi="宋体" w:eastAsia="宋体" w:cs="宋体"/>
                <w:b/>
                <w:bCs/>
                <w:color w:val="auto"/>
                <w:sz w:val="24"/>
                <w:szCs w:val="24"/>
              </w:rPr>
            </w:pPr>
            <w:r>
              <w:rPr>
                <w:rFonts w:hint="eastAsia" w:ascii="宋体" w:hAnsi="宋体" w:eastAsia="宋体" w:cs="宋体"/>
                <w:b w:val="0"/>
                <w:color w:val="auto"/>
                <w:sz w:val="24"/>
                <w:szCs w:val="24"/>
                <w:highlight w:val="none"/>
                <w:lang w:eastAsia="zh-CN"/>
              </w:rPr>
              <w:t>验收监测期间，</w:t>
            </w:r>
            <w:r>
              <w:rPr>
                <w:rFonts w:hint="eastAsia" w:ascii="宋体" w:hAnsi="宋体" w:eastAsia="宋体" w:cs="宋体"/>
                <w:b w:val="0"/>
                <w:color w:val="auto"/>
                <w:sz w:val="24"/>
                <w:szCs w:val="24"/>
                <w:highlight w:val="none"/>
              </w:rPr>
              <w:t>该项目</w:t>
            </w:r>
            <w:r>
              <w:rPr>
                <w:rFonts w:hint="eastAsia" w:ascii="宋体" w:hAnsi="宋体" w:eastAsia="宋体" w:cs="宋体"/>
                <w:b w:val="0"/>
                <w:color w:val="auto"/>
                <w:sz w:val="24"/>
                <w:szCs w:val="24"/>
                <w:highlight w:val="none"/>
                <w:lang w:val="en-US" w:eastAsia="zh-CN"/>
              </w:rPr>
              <w:t>气象参数见表7-2，</w:t>
            </w:r>
            <w:r>
              <w:rPr>
                <w:rFonts w:hint="eastAsia" w:ascii="宋体" w:hAnsi="宋体" w:eastAsia="宋体" w:cs="宋体"/>
                <w:b w:val="0"/>
                <w:color w:val="auto"/>
                <w:sz w:val="24"/>
                <w:szCs w:val="24"/>
                <w:highlight w:val="none"/>
              </w:rPr>
              <w:t>无组织废气监测结果如下表</w:t>
            </w:r>
            <w:r>
              <w:rPr>
                <w:rFonts w:hint="eastAsia" w:ascii="宋体" w:hAnsi="宋体" w:eastAsia="宋体" w:cs="宋体"/>
                <w:b w:val="0"/>
                <w:color w:val="auto"/>
                <w:sz w:val="24"/>
                <w:szCs w:val="24"/>
                <w:highlight w:val="none"/>
                <w:lang w:val="en-US" w:eastAsia="zh-CN"/>
              </w:rPr>
              <w:t>7</w:t>
            </w:r>
            <w:r>
              <w:rPr>
                <w:rFonts w:hint="eastAsia" w:ascii="宋体" w:hAnsi="宋体" w:eastAsia="宋体" w:cs="宋体"/>
                <w:b w:val="0"/>
                <w:color w:val="auto"/>
                <w:sz w:val="24"/>
                <w:szCs w:val="24"/>
                <w:highlight w:val="none"/>
              </w:rPr>
              <w:t>-</w:t>
            </w:r>
            <w:r>
              <w:rPr>
                <w:rFonts w:hint="eastAsia" w:ascii="宋体" w:hAnsi="宋体" w:eastAsia="宋体" w:cs="宋体"/>
                <w:b w:val="0"/>
                <w:color w:val="auto"/>
                <w:sz w:val="24"/>
                <w:szCs w:val="24"/>
                <w:highlight w:val="none"/>
                <w:lang w:val="en-US" w:eastAsia="zh-CN"/>
              </w:rPr>
              <w:t>3、7-4。</w:t>
            </w:r>
          </w:p>
          <w:p w14:paraId="57213259">
            <w:pP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表</w:t>
            </w:r>
            <w:r>
              <w:rPr>
                <w:rFonts w:hint="eastAsia" w:ascii="宋体" w:hAnsi="宋体" w:eastAsia="宋体" w:cs="宋体"/>
                <w:b/>
                <w:bCs/>
                <w:color w:val="auto"/>
                <w:sz w:val="24"/>
                <w:szCs w:val="24"/>
                <w:lang w:val="en-US" w:eastAsia="zh-CN"/>
              </w:rPr>
              <w:t>7-2</w:t>
            </w:r>
            <w:r>
              <w:rPr>
                <w:rFonts w:hint="eastAsia" w:ascii="宋体" w:hAnsi="宋体" w:eastAsia="宋体" w:cs="宋体"/>
                <w:b/>
                <w:bCs/>
                <w:color w:val="auto"/>
                <w:sz w:val="24"/>
                <w:szCs w:val="24"/>
              </w:rPr>
              <w:t xml:space="preserve">                    无组织</w:t>
            </w:r>
            <w:r>
              <w:rPr>
                <w:rFonts w:hint="eastAsia" w:ascii="宋体" w:hAnsi="宋体" w:eastAsia="宋体" w:cs="宋体"/>
                <w:b/>
                <w:bCs/>
                <w:color w:val="auto"/>
                <w:sz w:val="24"/>
                <w:szCs w:val="24"/>
                <w:lang w:eastAsia="zh-CN"/>
              </w:rPr>
              <w:t>废气监测气象参数一览表</w:t>
            </w:r>
          </w:p>
          <w:tbl>
            <w:tblPr>
              <w:tblStyle w:val="15"/>
              <w:tblW w:w="8867"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989"/>
              <w:gridCol w:w="1733"/>
              <w:gridCol w:w="1665"/>
              <w:gridCol w:w="1530"/>
              <w:gridCol w:w="1950"/>
            </w:tblGrid>
            <w:tr w14:paraId="339BE09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86" w:hRule="atLeast"/>
              </w:trPr>
              <w:tc>
                <w:tcPr>
                  <w:tcW w:w="1989" w:type="dxa"/>
                  <w:tcBorders>
                    <w:tl2br w:val="nil"/>
                    <w:tr2bl w:val="nil"/>
                  </w:tcBorders>
                  <w:noWrap w:val="0"/>
                  <w:vAlign w:val="center"/>
                </w:tcPr>
                <w:p w14:paraId="2FC6E209">
                  <w:pPr>
                    <w:pStyle w:val="11"/>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采样日期</w:t>
                  </w:r>
                </w:p>
              </w:tc>
              <w:tc>
                <w:tcPr>
                  <w:tcW w:w="1733" w:type="dxa"/>
                  <w:tcBorders>
                    <w:tl2br w:val="nil"/>
                    <w:tr2bl w:val="nil"/>
                  </w:tcBorders>
                  <w:noWrap w:val="0"/>
                  <w:vAlign w:val="center"/>
                </w:tcPr>
                <w:p w14:paraId="4F5D845F">
                  <w:pPr>
                    <w:pStyle w:val="11"/>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cs="Times New Roman"/>
                      <w:b/>
                      <w:bCs/>
                      <w:color w:val="auto"/>
                      <w:sz w:val="21"/>
                      <w:szCs w:val="21"/>
                      <w:highlight w:val="none"/>
                      <w:vertAlign w:val="baseline"/>
                      <w:lang w:val="en-US" w:eastAsia="zh-CN"/>
                    </w:rPr>
                  </w:pPr>
                  <w:r>
                    <w:rPr>
                      <w:rFonts w:hint="default" w:ascii="Times New Roman" w:hAnsi="Times New Roman" w:cs="Times New Roman"/>
                      <w:b/>
                      <w:bCs/>
                      <w:color w:val="auto"/>
                      <w:sz w:val="21"/>
                      <w:szCs w:val="21"/>
                      <w:highlight w:val="none"/>
                      <w:vertAlign w:val="baseline"/>
                      <w:lang w:val="en-US" w:eastAsia="zh-CN"/>
                    </w:rPr>
                    <w:t>气温（℃）</w:t>
                  </w:r>
                </w:p>
              </w:tc>
              <w:tc>
                <w:tcPr>
                  <w:tcW w:w="1665" w:type="dxa"/>
                  <w:tcBorders>
                    <w:tl2br w:val="nil"/>
                    <w:tr2bl w:val="nil"/>
                  </w:tcBorders>
                  <w:noWrap w:val="0"/>
                  <w:vAlign w:val="center"/>
                </w:tcPr>
                <w:p w14:paraId="23901CBA">
                  <w:pPr>
                    <w:pStyle w:val="11"/>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bCs/>
                      <w:color w:val="auto"/>
                      <w:kern w:val="2"/>
                      <w:sz w:val="21"/>
                      <w:szCs w:val="21"/>
                      <w:highlight w:val="none"/>
                      <w:vertAlign w:val="baseline"/>
                      <w:lang w:val="en-US" w:eastAsia="zh-CN" w:bidi="ar-SA"/>
                    </w:rPr>
                  </w:pPr>
                  <w:r>
                    <w:rPr>
                      <w:rFonts w:hint="default" w:ascii="Times New Roman" w:hAnsi="Times New Roman" w:cs="Times New Roman"/>
                      <w:b/>
                      <w:bCs/>
                      <w:color w:val="auto"/>
                      <w:kern w:val="2"/>
                      <w:sz w:val="21"/>
                      <w:szCs w:val="21"/>
                      <w:highlight w:val="none"/>
                      <w:vertAlign w:val="baseline"/>
                      <w:lang w:val="en-US" w:eastAsia="zh-CN" w:bidi="ar-SA"/>
                    </w:rPr>
                    <w:t>气压（</w:t>
                  </w: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kPa</w:t>
                  </w:r>
                  <w:r>
                    <w:rPr>
                      <w:rFonts w:hint="default" w:ascii="Times New Roman" w:hAnsi="Times New Roman" w:cs="Times New Roman"/>
                      <w:b/>
                      <w:bCs/>
                      <w:color w:val="auto"/>
                      <w:kern w:val="2"/>
                      <w:sz w:val="21"/>
                      <w:szCs w:val="21"/>
                      <w:highlight w:val="none"/>
                      <w:vertAlign w:val="baseline"/>
                      <w:lang w:val="en-US" w:eastAsia="zh-CN" w:bidi="ar-SA"/>
                    </w:rPr>
                    <w:t>）</w:t>
                  </w:r>
                </w:p>
              </w:tc>
              <w:tc>
                <w:tcPr>
                  <w:tcW w:w="1530" w:type="dxa"/>
                  <w:tcBorders>
                    <w:tl2br w:val="nil"/>
                    <w:tr2bl w:val="nil"/>
                  </w:tcBorders>
                  <w:shd w:val="clear" w:color="auto" w:fill="auto"/>
                  <w:noWrap w:val="0"/>
                  <w:vAlign w:val="center"/>
                </w:tcPr>
                <w:p w14:paraId="03CCA0AA">
                  <w:pPr>
                    <w:pStyle w:val="11"/>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bCs/>
                      <w:color w:val="auto"/>
                      <w:kern w:val="2"/>
                      <w:sz w:val="21"/>
                      <w:szCs w:val="21"/>
                      <w:highlight w:val="none"/>
                      <w:vertAlign w:val="baseline"/>
                      <w:lang w:val="en-US" w:eastAsia="zh-CN" w:bidi="ar-SA"/>
                    </w:rPr>
                  </w:pPr>
                  <w:r>
                    <w:rPr>
                      <w:rFonts w:hint="default" w:ascii="Times New Roman" w:hAnsi="Times New Roman" w:cs="Times New Roman"/>
                      <w:b/>
                      <w:bCs/>
                      <w:color w:val="auto"/>
                      <w:sz w:val="21"/>
                      <w:szCs w:val="21"/>
                      <w:highlight w:val="none"/>
                      <w:vertAlign w:val="baseline"/>
                      <w:lang w:val="en-US" w:eastAsia="zh-CN"/>
                    </w:rPr>
                    <w:t>风向</w:t>
                  </w:r>
                </w:p>
              </w:tc>
              <w:tc>
                <w:tcPr>
                  <w:tcW w:w="1950" w:type="dxa"/>
                  <w:tcBorders>
                    <w:tl2br w:val="nil"/>
                    <w:tr2bl w:val="nil"/>
                  </w:tcBorders>
                  <w:shd w:val="clear" w:color="auto" w:fill="auto"/>
                  <w:noWrap w:val="0"/>
                  <w:vAlign w:val="center"/>
                </w:tcPr>
                <w:p w14:paraId="7A3542A7">
                  <w:pPr>
                    <w:pStyle w:val="11"/>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bCs/>
                      <w:color w:val="auto"/>
                      <w:kern w:val="2"/>
                      <w:sz w:val="21"/>
                      <w:szCs w:val="21"/>
                      <w:highlight w:val="none"/>
                      <w:vertAlign w:val="baseline"/>
                      <w:lang w:val="en-US" w:eastAsia="zh-CN" w:bidi="ar-SA"/>
                    </w:rPr>
                  </w:pPr>
                  <w:r>
                    <w:rPr>
                      <w:rFonts w:hint="default" w:ascii="Times New Roman" w:hAnsi="Times New Roman" w:eastAsia="宋体" w:cs="Times New Roman"/>
                      <w:b/>
                      <w:bCs/>
                      <w:color w:val="auto"/>
                      <w:sz w:val="21"/>
                      <w:szCs w:val="21"/>
                      <w:highlight w:val="none"/>
                      <w:vertAlign w:val="baseline"/>
                      <w:lang w:val="en-US" w:eastAsia="zh-CN"/>
                    </w:rPr>
                    <w:t>风速（m/s）</w:t>
                  </w:r>
                </w:p>
              </w:tc>
            </w:tr>
            <w:tr w14:paraId="390235F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1989" w:type="dxa"/>
                  <w:tcBorders>
                    <w:tl2br w:val="nil"/>
                    <w:tr2bl w:val="nil"/>
                  </w:tcBorders>
                  <w:noWrap w:val="0"/>
                  <w:vAlign w:val="center"/>
                </w:tcPr>
                <w:p w14:paraId="32D35913">
                  <w:pPr>
                    <w:pStyle w:val="11"/>
                    <w:spacing w:after="0"/>
                    <w:ind w:left="0" w:leftChars="0" w:right="0" w:right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cs="Times New Roman"/>
                      <w:color w:val="auto"/>
                      <w:szCs w:val="21"/>
                      <w:lang w:eastAsia="zh-CN"/>
                    </w:rPr>
                    <w:t>202</w:t>
                  </w:r>
                  <w:r>
                    <w:rPr>
                      <w:rFonts w:hint="default" w:ascii="Times New Roman" w:hAnsi="Times New Roman" w:cs="Times New Roman"/>
                      <w:color w:val="auto"/>
                      <w:szCs w:val="21"/>
                      <w:lang w:val="en-US" w:eastAsia="zh-CN"/>
                    </w:rPr>
                    <w:t>5</w:t>
                  </w:r>
                  <w:r>
                    <w:rPr>
                      <w:rFonts w:hint="default" w:ascii="Times New Roman" w:hAnsi="Times New Roman" w:cs="Times New Roman"/>
                      <w:color w:val="auto"/>
                      <w:szCs w:val="21"/>
                      <w:lang w:eastAsia="zh-CN"/>
                    </w:rPr>
                    <w:t>年</w:t>
                  </w:r>
                  <w:r>
                    <w:rPr>
                      <w:rFonts w:hint="eastAsia" w:ascii="Times New Roman" w:hAnsi="Times New Roman" w:cs="Times New Roman"/>
                      <w:color w:val="auto"/>
                      <w:szCs w:val="21"/>
                      <w:lang w:val="en-US" w:eastAsia="zh-CN"/>
                    </w:rPr>
                    <w:t>6</w:t>
                  </w:r>
                  <w:r>
                    <w:rPr>
                      <w:rFonts w:hint="default" w:ascii="Times New Roman" w:hAnsi="Times New Roman" w:cs="Times New Roman"/>
                      <w:color w:val="auto"/>
                      <w:szCs w:val="21"/>
                      <w:lang w:eastAsia="zh-CN"/>
                    </w:rPr>
                    <w:t>月</w:t>
                  </w:r>
                  <w:r>
                    <w:rPr>
                      <w:rFonts w:hint="eastAsia" w:ascii="Times New Roman" w:hAnsi="Times New Roman" w:cs="Times New Roman"/>
                      <w:color w:val="auto"/>
                      <w:szCs w:val="21"/>
                      <w:lang w:val="en-US" w:eastAsia="zh-CN"/>
                    </w:rPr>
                    <w:t>27</w:t>
                  </w:r>
                  <w:r>
                    <w:rPr>
                      <w:rFonts w:hint="default" w:ascii="Times New Roman" w:hAnsi="Times New Roman" w:cs="Times New Roman"/>
                      <w:color w:val="auto"/>
                      <w:szCs w:val="21"/>
                      <w:lang w:eastAsia="zh-CN"/>
                    </w:rPr>
                    <w:t>日</w:t>
                  </w:r>
                </w:p>
              </w:tc>
              <w:tc>
                <w:tcPr>
                  <w:tcW w:w="1733" w:type="dxa"/>
                  <w:tcBorders>
                    <w:tl2br w:val="nil"/>
                    <w:tr2bl w:val="nil"/>
                  </w:tcBorders>
                  <w:noWrap w:val="0"/>
                  <w:vAlign w:val="center"/>
                </w:tcPr>
                <w:p w14:paraId="32847E8B">
                  <w:pPr>
                    <w:tabs>
                      <w:tab w:val="center" w:pos="4153"/>
                      <w:tab w:val="right" w:pos="8306"/>
                    </w:tabs>
                    <w:snapToGrid w:val="0"/>
                    <w:spacing w:line="240" w:lineRule="exact"/>
                    <w:jc w:val="center"/>
                    <w:rPr>
                      <w:rFonts w:hint="default" w:ascii="Times New Roman" w:hAnsi="Times New Roman" w:cs="Times New Roman"/>
                      <w:b w:val="0"/>
                      <w:bCs w:val="0"/>
                      <w:color w:val="auto"/>
                      <w:kern w:val="2"/>
                      <w:sz w:val="21"/>
                      <w:szCs w:val="21"/>
                      <w:highlight w:val="none"/>
                      <w:vertAlign w:val="baseline"/>
                      <w:lang w:val="en-US" w:eastAsia="zh-CN" w:bidi="ar-SA"/>
                    </w:rPr>
                  </w:pPr>
                  <w:r>
                    <w:rPr>
                      <w:rFonts w:hint="eastAsia" w:cs="Times New Roman"/>
                      <w:b w:val="0"/>
                      <w:bCs w:val="0"/>
                      <w:color w:val="000000" w:themeColor="text1"/>
                      <w:sz w:val="21"/>
                      <w:szCs w:val="21"/>
                      <w:highlight w:val="none"/>
                      <w:lang w:val="en-US" w:eastAsia="zh-CN"/>
                      <w14:textFill>
                        <w14:solidFill>
                          <w14:schemeClr w14:val="tx1"/>
                        </w14:solidFill>
                      </w14:textFill>
                    </w:rPr>
                    <w:t>35</w:t>
                  </w:r>
                </w:p>
              </w:tc>
              <w:tc>
                <w:tcPr>
                  <w:tcW w:w="1665" w:type="dxa"/>
                  <w:tcBorders>
                    <w:tl2br w:val="nil"/>
                    <w:tr2bl w:val="nil"/>
                  </w:tcBorders>
                  <w:noWrap w:val="0"/>
                  <w:vAlign w:val="center"/>
                </w:tcPr>
                <w:p w14:paraId="14046433">
                  <w:pPr>
                    <w:tabs>
                      <w:tab w:val="center" w:pos="4153"/>
                      <w:tab w:val="right" w:pos="8306"/>
                    </w:tabs>
                    <w:snapToGrid w:val="0"/>
                    <w:spacing w:line="240" w:lineRule="exact"/>
                    <w:jc w:val="center"/>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eastAsia" w:cs="Times New Roman"/>
                      <w:b w:val="0"/>
                      <w:bCs w:val="0"/>
                      <w:color w:val="000000" w:themeColor="text1"/>
                      <w:sz w:val="21"/>
                      <w:szCs w:val="21"/>
                      <w:highlight w:val="none"/>
                      <w:lang w:val="en-US" w:eastAsia="zh-CN"/>
                      <w14:textFill>
                        <w14:solidFill>
                          <w14:schemeClr w14:val="tx1"/>
                        </w14:solidFill>
                      </w14:textFill>
                    </w:rPr>
                    <w:t>87.6</w:t>
                  </w:r>
                </w:p>
              </w:tc>
              <w:tc>
                <w:tcPr>
                  <w:tcW w:w="1530" w:type="dxa"/>
                  <w:tcBorders>
                    <w:tl2br w:val="nil"/>
                    <w:tr2bl w:val="nil"/>
                  </w:tcBorders>
                  <w:shd w:val="clear" w:color="auto" w:fill="auto"/>
                  <w:noWrap w:val="0"/>
                  <w:vAlign w:val="center"/>
                </w:tcPr>
                <w:p w14:paraId="327F4261">
                  <w:pPr>
                    <w:jc w:val="center"/>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default" w:ascii="Times New Roman" w:hAnsi="Times New Roman" w:eastAsia="宋体" w:cs="Times New Roman"/>
                      <w:b w:val="0"/>
                      <w:bCs w:val="0"/>
                      <w:color w:val="auto"/>
                      <w:kern w:val="2"/>
                      <w:sz w:val="21"/>
                      <w:szCs w:val="21"/>
                      <w:highlight w:val="none"/>
                      <w:vertAlign w:val="baseline"/>
                      <w:lang w:val="en-US" w:eastAsia="zh-CN" w:bidi="ar-SA"/>
                    </w:rPr>
                    <w:t>西北</w:t>
                  </w:r>
                </w:p>
              </w:tc>
              <w:tc>
                <w:tcPr>
                  <w:tcW w:w="1950" w:type="dxa"/>
                  <w:tcBorders>
                    <w:tl2br w:val="nil"/>
                    <w:tr2bl w:val="nil"/>
                  </w:tcBorders>
                  <w:shd w:val="clear" w:color="auto" w:fill="auto"/>
                  <w:noWrap w:val="0"/>
                  <w:vAlign w:val="center"/>
                </w:tcPr>
                <w:p w14:paraId="42DB800C">
                  <w:pPr>
                    <w:tabs>
                      <w:tab w:val="center" w:pos="4153"/>
                      <w:tab w:val="right" w:pos="8306"/>
                    </w:tabs>
                    <w:snapToGrid w:val="0"/>
                    <w:spacing w:line="240" w:lineRule="exact"/>
                    <w:jc w:val="center"/>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eastAsia" w:cs="Times New Roman"/>
                      <w:b w:val="0"/>
                      <w:bCs w:val="0"/>
                      <w:color w:val="000000" w:themeColor="text1"/>
                      <w:sz w:val="21"/>
                      <w:szCs w:val="21"/>
                      <w:highlight w:val="none"/>
                      <w:lang w:val="en-US" w:eastAsia="zh-CN"/>
                      <w14:textFill>
                        <w14:solidFill>
                          <w14:schemeClr w14:val="tx1"/>
                        </w14:solidFill>
                      </w14:textFill>
                    </w:rPr>
                    <w:t>1.0</w:t>
                  </w:r>
                </w:p>
              </w:tc>
            </w:tr>
            <w:tr w14:paraId="7690CAF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1989" w:type="dxa"/>
                  <w:tcBorders>
                    <w:tl2br w:val="nil"/>
                    <w:tr2bl w:val="nil"/>
                  </w:tcBorders>
                  <w:noWrap w:val="0"/>
                  <w:vAlign w:val="center"/>
                </w:tcPr>
                <w:p w14:paraId="5CF5B1C6">
                  <w:pPr>
                    <w:pStyle w:val="11"/>
                    <w:spacing w:after="0"/>
                    <w:ind w:left="0" w:leftChars="0" w:right="0" w:rightChars="0"/>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cs="Times New Roman"/>
                      <w:color w:val="auto"/>
                      <w:szCs w:val="21"/>
                      <w:lang w:eastAsia="zh-CN"/>
                    </w:rPr>
                    <w:t>202</w:t>
                  </w:r>
                  <w:r>
                    <w:rPr>
                      <w:rFonts w:hint="default" w:ascii="Times New Roman" w:hAnsi="Times New Roman" w:cs="Times New Roman"/>
                      <w:color w:val="auto"/>
                      <w:szCs w:val="21"/>
                      <w:lang w:val="en-US" w:eastAsia="zh-CN"/>
                    </w:rPr>
                    <w:t>5</w:t>
                  </w:r>
                  <w:r>
                    <w:rPr>
                      <w:rFonts w:hint="default" w:ascii="Times New Roman" w:hAnsi="Times New Roman" w:cs="Times New Roman"/>
                      <w:color w:val="auto"/>
                      <w:szCs w:val="21"/>
                      <w:lang w:eastAsia="zh-CN"/>
                    </w:rPr>
                    <w:t>年</w:t>
                  </w:r>
                  <w:r>
                    <w:rPr>
                      <w:rFonts w:hint="eastAsia" w:ascii="Times New Roman" w:hAnsi="Times New Roman" w:cs="Times New Roman"/>
                      <w:color w:val="auto"/>
                      <w:szCs w:val="21"/>
                      <w:lang w:val="en-US" w:eastAsia="zh-CN"/>
                    </w:rPr>
                    <w:t>6</w:t>
                  </w:r>
                  <w:r>
                    <w:rPr>
                      <w:rFonts w:hint="default" w:ascii="Times New Roman" w:hAnsi="Times New Roman" w:cs="Times New Roman"/>
                      <w:color w:val="auto"/>
                      <w:szCs w:val="21"/>
                      <w:lang w:eastAsia="zh-CN"/>
                    </w:rPr>
                    <w:t>月</w:t>
                  </w:r>
                  <w:r>
                    <w:rPr>
                      <w:rFonts w:hint="eastAsia" w:ascii="Times New Roman" w:hAnsi="Times New Roman" w:cs="Times New Roman"/>
                      <w:color w:val="auto"/>
                      <w:szCs w:val="21"/>
                      <w:lang w:val="en-US" w:eastAsia="zh-CN"/>
                    </w:rPr>
                    <w:t>28</w:t>
                  </w:r>
                  <w:r>
                    <w:rPr>
                      <w:rFonts w:hint="default" w:ascii="Times New Roman" w:hAnsi="Times New Roman" w:cs="Times New Roman"/>
                      <w:color w:val="auto"/>
                      <w:szCs w:val="21"/>
                      <w:lang w:eastAsia="zh-CN"/>
                    </w:rPr>
                    <w:t>日</w:t>
                  </w:r>
                </w:p>
              </w:tc>
              <w:tc>
                <w:tcPr>
                  <w:tcW w:w="1733" w:type="dxa"/>
                  <w:tcBorders>
                    <w:tl2br w:val="nil"/>
                    <w:tr2bl w:val="nil"/>
                  </w:tcBorders>
                  <w:noWrap w:val="0"/>
                  <w:vAlign w:val="center"/>
                </w:tcPr>
                <w:p w14:paraId="55C71F21">
                  <w:pPr>
                    <w:tabs>
                      <w:tab w:val="center" w:pos="4153"/>
                      <w:tab w:val="right" w:pos="8306"/>
                    </w:tabs>
                    <w:snapToGrid w:val="0"/>
                    <w:spacing w:line="240" w:lineRule="exact"/>
                    <w:jc w:val="center"/>
                    <w:rPr>
                      <w:rFonts w:hint="default" w:ascii="Times New Roman" w:hAnsi="Times New Roman" w:cs="Times New Roman"/>
                      <w:b w:val="0"/>
                      <w:bCs w:val="0"/>
                      <w:color w:val="auto"/>
                      <w:kern w:val="2"/>
                      <w:sz w:val="21"/>
                      <w:szCs w:val="21"/>
                      <w:highlight w:val="none"/>
                      <w:vertAlign w:val="baseline"/>
                      <w:lang w:val="en-US" w:eastAsia="zh-CN" w:bidi="ar-SA"/>
                    </w:rPr>
                  </w:pPr>
                  <w:r>
                    <w:rPr>
                      <w:rFonts w:hint="eastAsia" w:cs="Times New Roman"/>
                      <w:b w:val="0"/>
                      <w:bCs w:val="0"/>
                      <w:color w:val="000000" w:themeColor="text1"/>
                      <w:sz w:val="21"/>
                      <w:szCs w:val="21"/>
                      <w:highlight w:val="none"/>
                      <w:lang w:val="en-US" w:eastAsia="zh-CN"/>
                      <w14:textFill>
                        <w14:solidFill>
                          <w14:schemeClr w14:val="tx1"/>
                        </w14:solidFill>
                      </w14:textFill>
                    </w:rPr>
                    <w:t>34</w:t>
                  </w:r>
                </w:p>
              </w:tc>
              <w:tc>
                <w:tcPr>
                  <w:tcW w:w="1665" w:type="dxa"/>
                  <w:tcBorders>
                    <w:tl2br w:val="nil"/>
                    <w:tr2bl w:val="nil"/>
                  </w:tcBorders>
                  <w:noWrap w:val="0"/>
                  <w:vAlign w:val="center"/>
                </w:tcPr>
                <w:p w14:paraId="0824B470">
                  <w:pPr>
                    <w:tabs>
                      <w:tab w:val="center" w:pos="4153"/>
                      <w:tab w:val="right" w:pos="8306"/>
                    </w:tabs>
                    <w:snapToGrid w:val="0"/>
                    <w:spacing w:line="240" w:lineRule="exact"/>
                    <w:jc w:val="center"/>
                    <w:rPr>
                      <w:rFonts w:hint="default" w:ascii="Times New Roman" w:hAnsi="Times New Roman" w:cs="Times New Roman"/>
                      <w:b w:val="0"/>
                      <w:bCs w:val="0"/>
                      <w:color w:val="auto"/>
                      <w:sz w:val="21"/>
                      <w:szCs w:val="21"/>
                      <w:highlight w:val="none"/>
                      <w:vertAlign w:val="baseline"/>
                      <w:lang w:val="en-US" w:eastAsia="zh-CN"/>
                    </w:rPr>
                  </w:pPr>
                  <w:r>
                    <w:rPr>
                      <w:rFonts w:hint="eastAsia" w:cs="Times New Roman"/>
                      <w:b w:val="0"/>
                      <w:bCs w:val="0"/>
                      <w:color w:val="000000" w:themeColor="text1"/>
                      <w:sz w:val="21"/>
                      <w:szCs w:val="21"/>
                      <w:highlight w:val="none"/>
                      <w:lang w:val="en-US" w:eastAsia="zh-CN"/>
                      <w14:textFill>
                        <w14:solidFill>
                          <w14:schemeClr w14:val="tx1"/>
                        </w14:solidFill>
                      </w14:textFill>
                    </w:rPr>
                    <w:t>87.5</w:t>
                  </w:r>
                </w:p>
              </w:tc>
              <w:tc>
                <w:tcPr>
                  <w:tcW w:w="1530" w:type="dxa"/>
                  <w:tcBorders>
                    <w:tl2br w:val="nil"/>
                    <w:tr2bl w:val="nil"/>
                  </w:tcBorders>
                  <w:noWrap w:val="0"/>
                  <w:vAlign w:val="center"/>
                </w:tcPr>
                <w:p w14:paraId="7D60CCA7">
                  <w:pPr>
                    <w:jc w:val="center"/>
                    <w:rPr>
                      <w:rFonts w:hint="default" w:ascii="Times New Roman" w:hAnsi="Times New Roman"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kern w:val="2"/>
                      <w:sz w:val="21"/>
                      <w:szCs w:val="21"/>
                      <w:highlight w:val="none"/>
                      <w:vertAlign w:val="baseline"/>
                      <w:lang w:val="en-US" w:eastAsia="zh-CN" w:bidi="ar-SA"/>
                    </w:rPr>
                    <w:t>西北</w:t>
                  </w:r>
                </w:p>
              </w:tc>
              <w:tc>
                <w:tcPr>
                  <w:tcW w:w="1950" w:type="dxa"/>
                  <w:tcBorders>
                    <w:tl2br w:val="nil"/>
                    <w:tr2bl w:val="nil"/>
                  </w:tcBorders>
                  <w:noWrap w:val="0"/>
                  <w:vAlign w:val="center"/>
                </w:tcPr>
                <w:p w14:paraId="10C6E4D0">
                  <w:pPr>
                    <w:tabs>
                      <w:tab w:val="center" w:pos="4153"/>
                      <w:tab w:val="right" w:pos="8306"/>
                    </w:tabs>
                    <w:snapToGrid w:val="0"/>
                    <w:spacing w:line="240" w:lineRule="exact"/>
                    <w:jc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000000" w:themeColor="text1"/>
                      <w:sz w:val="21"/>
                      <w:szCs w:val="21"/>
                      <w:highlight w:val="none"/>
                      <w:lang w:val="en-US" w:eastAsia="zh-CN"/>
                      <w14:textFill>
                        <w14:solidFill>
                          <w14:schemeClr w14:val="tx1"/>
                        </w14:solidFill>
                      </w14:textFill>
                    </w:rPr>
                    <w:t>1.2</w:t>
                  </w:r>
                </w:p>
              </w:tc>
            </w:tr>
          </w:tbl>
          <w:p w14:paraId="51AF4D5E">
            <w:pPr>
              <w:rPr>
                <w:rFonts w:hint="default" w:ascii="Times New Roman" w:hAnsi="Times New Roman" w:cs="Times New Roman"/>
                <w:b/>
                <w:color w:val="auto"/>
                <w:sz w:val="24"/>
                <w:highlight w:val="none"/>
              </w:rPr>
            </w:pPr>
          </w:p>
          <w:p w14:paraId="3D36E797">
            <w:pPr>
              <w:rPr>
                <w:rFonts w:hint="default" w:ascii="Times New Roman" w:hAnsi="Times New Roman" w:eastAsia="宋体" w:cs="Times New Roman"/>
                <w:b/>
                <w:color w:val="auto"/>
                <w:sz w:val="24"/>
                <w:highlight w:val="none"/>
                <w:lang w:eastAsia="zh-CN"/>
              </w:rPr>
            </w:pPr>
            <w:r>
              <w:rPr>
                <w:rFonts w:hint="default" w:ascii="Times New Roman" w:hAnsi="Times New Roman" w:cs="Times New Roman"/>
                <w:b/>
                <w:color w:val="auto"/>
                <w:sz w:val="24"/>
                <w:highlight w:val="none"/>
              </w:rPr>
              <w:t>表</w:t>
            </w:r>
            <w:r>
              <w:rPr>
                <w:rFonts w:hint="default" w:ascii="Times New Roman" w:hAnsi="Times New Roman" w:cs="Times New Roman"/>
                <w:b/>
                <w:color w:val="auto"/>
                <w:sz w:val="24"/>
                <w:highlight w:val="none"/>
                <w:lang w:val="en-US" w:eastAsia="zh-CN"/>
              </w:rPr>
              <w:t>7</w:t>
            </w:r>
            <w:r>
              <w:rPr>
                <w:rFonts w:hint="default" w:ascii="Times New Roman" w:hAnsi="Times New Roman" w:cs="Times New Roman"/>
                <w:b/>
                <w:color w:val="auto"/>
                <w:sz w:val="24"/>
                <w:highlight w:val="none"/>
              </w:rPr>
              <w:t>-</w:t>
            </w:r>
            <w:r>
              <w:rPr>
                <w:rFonts w:hint="default" w:ascii="Times New Roman" w:hAnsi="Times New Roman" w:cs="Times New Roman"/>
                <w:b/>
                <w:color w:val="auto"/>
                <w:sz w:val="24"/>
                <w:highlight w:val="none"/>
                <w:lang w:val="en-US" w:eastAsia="zh-CN"/>
              </w:rPr>
              <w:t>3</w:t>
            </w:r>
            <w:r>
              <w:rPr>
                <w:rFonts w:hint="default" w:ascii="Times New Roman" w:hAnsi="Times New Roman" w:cs="Times New Roman"/>
                <w:b/>
                <w:color w:val="auto"/>
                <w:sz w:val="24"/>
                <w:highlight w:val="none"/>
              </w:rPr>
              <w:t xml:space="preserve">               </w:t>
            </w:r>
            <w:r>
              <w:rPr>
                <w:rFonts w:hint="default" w:ascii="Times New Roman" w:hAnsi="Times New Roman" w:cs="Times New Roman"/>
                <w:b/>
                <w:color w:val="auto"/>
                <w:sz w:val="24"/>
                <w:highlight w:val="none"/>
                <w:lang w:val="en-US" w:eastAsia="zh-CN"/>
              </w:rPr>
              <w:t xml:space="preserve">      </w:t>
            </w:r>
            <w:r>
              <w:rPr>
                <w:rFonts w:hint="default" w:ascii="Times New Roman" w:hAnsi="Times New Roman" w:cs="Times New Roman"/>
                <w:b/>
                <w:color w:val="auto"/>
                <w:sz w:val="24"/>
                <w:highlight w:val="none"/>
              </w:rPr>
              <w:t xml:space="preserve"> </w:t>
            </w:r>
            <w:r>
              <w:rPr>
                <w:rFonts w:hint="default" w:ascii="Times New Roman" w:hAnsi="Times New Roman" w:cs="Times New Roman"/>
                <w:b/>
                <w:color w:val="auto"/>
                <w:sz w:val="24"/>
                <w:highlight w:val="none"/>
                <w:lang w:val="en-US" w:eastAsia="zh-CN"/>
              </w:rPr>
              <w:t>厂界无组织废气</w:t>
            </w:r>
            <w:r>
              <w:rPr>
                <w:rFonts w:hint="default" w:ascii="Times New Roman" w:hAnsi="Times New Roman" w:cs="Times New Roman"/>
                <w:b/>
                <w:color w:val="auto"/>
                <w:sz w:val="24"/>
                <w:highlight w:val="none"/>
              </w:rPr>
              <w:t>监测结果</w:t>
            </w:r>
          </w:p>
          <w:tbl>
            <w:tblPr>
              <w:tblStyle w:val="15"/>
              <w:tblW w:w="8647" w:type="dxa"/>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1339"/>
              <w:gridCol w:w="1375"/>
              <w:gridCol w:w="1475"/>
              <w:gridCol w:w="1433"/>
              <w:gridCol w:w="1705"/>
              <w:gridCol w:w="1320"/>
            </w:tblGrid>
            <w:tr w14:paraId="1C6FE8A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1339" w:type="dxa"/>
                  <w:vMerge w:val="restart"/>
                  <w:tcBorders>
                    <w:tl2br w:val="nil"/>
                    <w:tr2bl w:val="nil"/>
                  </w:tcBorders>
                  <w:noWrap w:val="0"/>
                  <w:vAlign w:val="center"/>
                </w:tcPr>
                <w:p w14:paraId="15B53A40">
                  <w:pPr>
                    <w:spacing w:line="260" w:lineRule="exact"/>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采样</w:t>
                  </w:r>
                </w:p>
                <w:p w14:paraId="5E8F22A3">
                  <w:pPr>
                    <w:spacing w:line="260" w:lineRule="exact"/>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日期</w:t>
                  </w:r>
                </w:p>
              </w:tc>
              <w:tc>
                <w:tcPr>
                  <w:tcW w:w="1375" w:type="dxa"/>
                  <w:vMerge w:val="restart"/>
                  <w:tcBorders>
                    <w:tl2br w:val="nil"/>
                    <w:tr2bl w:val="nil"/>
                  </w:tcBorders>
                  <w:noWrap w:val="0"/>
                  <w:vAlign w:val="center"/>
                </w:tcPr>
                <w:p w14:paraId="044462FF">
                  <w:pPr>
                    <w:spacing w:line="260" w:lineRule="exact"/>
                    <w:jc w:val="center"/>
                    <w:rPr>
                      <w:rFonts w:hint="default" w:ascii="Times New Roman" w:hAnsi="Times New Roman" w:eastAsia="宋体" w:cs="Times New Roman"/>
                      <w:b/>
                      <w:bCs/>
                      <w:color w:val="auto"/>
                      <w:szCs w:val="21"/>
                      <w:lang w:eastAsia="zh-CN"/>
                    </w:rPr>
                  </w:pPr>
                  <w:r>
                    <w:rPr>
                      <w:rFonts w:hint="default" w:ascii="Times New Roman" w:hAnsi="Times New Roman" w:eastAsia="宋体" w:cs="Times New Roman"/>
                      <w:b/>
                      <w:bCs/>
                      <w:color w:val="auto"/>
                      <w:szCs w:val="21"/>
                    </w:rPr>
                    <w:t>采样</w:t>
                  </w:r>
                  <w:r>
                    <w:rPr>
                      <w:rFonts w:hint="default" w:ascii="Times New Roman" w:hAnsi="Times New Roman" w:cs="Times New Roman"/>
                      <w:b/>
                      <w:bCs/>
                      <w:color w:val="auto"/>
                      <w:szCs w:val="21"/>
                      <w:lang w:eastAsia="zh-CN"/>
                    </w:rPr>
                    <w:t>点位</w:t>
                  </w:r>
                </w:p>
              </w:tc>
              <w:tc>
                <w:tcPr>
                  <w:tcW w:w="1475" w:type="dxa"/>
                  <w:vMerge w:val="restart"/>
                  <w:tcBorders>
                    <w:tl2br w:val="nil"/>
                    <w:tr2bl w:val="nil"/>
                  </w:tcBorders>
                  <w:noWrap w:val="0"/>
                  <w:vAlign w:val="center"/>
                </w:tcPr>
                <w:p w14:paraId="5A574219">
                  <w:pPr>
                    <w:spacing w:line="260" w:lineRule="exact"/>
                    <w:jc w:val="center"/>
                    <w:rPr>
                      <w:rFonts w:hint="default" w:ascii="Times New Roman" w:hAnsi="Times New Roman" w:eastAsia="宋体" w:cs="Times New Roman"/>
                      <w:b/>
                      <w:bCs/>
                      <w:color w:val="auto"/>
                      <w:szCs w:val="21"/>
                      <w:lang w:eastAsia="zh-CN"/>
                    </w:rPr>
                  </w:pPr>
                  <w:r>
                    <w:rPr>
                      <w:rFonts w:hint="default" w:ascii="Times New Roman" w:hAnsi="Times New Roman" w:cs="Times New Roman"/>
                      <w:b/>
                      <w:bCs/>
                      <w:color w:val="auto"/>
                      <w:szCs w:val="21"/>
                      <w:lang w:eastAsia="zh-CN"/>
                    </w:rPr>
                    <w:t>样品编号</w:t>
                  </w:r>
                </w:p>
              </w:tc>
              <w:tc>
                <w:tcPr>
                  <w:tcW w:w="4458" w:type="dxa"/>
                  <w:gridSpan w:val="3"/>
                  <w:tcBorders>
                    <w:left w:val="single" w:color="auto" w:sz="4" w:space="0"/>
                    <w:tl2br w:val="nil"/>
                    <w:tr2bl w:val="nil"/>
                  </w:tcBorders>
                  <w:noWrap w:val="0"/>
                  <w:vAlign w:val="center"/>
                </w:tcPr>
                <w:p w14:paraId="6F5C335E">
                  <w:pPr>
                    <w:widowControl/>
                    <w:spacing w:line="260" w:lineRule="exact"/>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分析结果</w:t>
                  </w:r>
                </w:p>
              </w:tc>
            </w:tr>
            <w:tr w14:paraId="4DBE728A">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339" w:type="dxa"/>
                  <w:vMerge w:val="continue"/>
                  <w:tcBorders>
                    <w:tl2br w:val="nil"/>
                    <w:tr2bl w:val="nil"/>
                  </w:tcBorders>
                  <w:noWrap w:val="0"/>
                  <w:vAlign w:val="center"/>
                </w:tcPr>
                <w:p w14:paraId="64BB2D1B">
                  <w:pPr>
                    <w:spacing w:line="260" w:lineRule="exact"/>
                    <w:jc w:val="center"/>
                    <w:rPr>
                      <w:rFonts w:hint="default" w:ascii="Times New Roman" w:hAnsi="Times New Roman" w:eastAsia="宋体" w:cs="Times New Roman"/>
                      <w:b/>
                      <w:bCs/>
                      <w:color w:val="auto"/>
                      <w:szCs w:val="21"/>
                      <w:lang w:eastAsia="zh-CN"/>
                    </w:rPr>
                  </w:pPr>
                  <w:r>
                    <w:rPr>
                      <w:rFonts w:hint="default" w:ascii="Times New Roman" w:hAnsi="Times New Roman" w:cs="Times New Roman"/>
                      <w:b/>
                      <w:bCs/>
                      <w:color w:val="auto"/>
                      <w:szCs w:val="21"/>
                      <w:lang w:eastAsia="zh-CN"/>
                    </w:rPr>
                    <w:t>r</w:t>
                  </w:r>
                </w:p>
              </w:tc>
              <w:tc>
                <w:tcPr>
                  <w:tcW w:w="1375" w:type="dxa"/>
                  <w:vMerge w:val="continue"/>
                  <w:tcBorders>
                    <w:tl2br w:val="nil"/>
                    <w:tr2bl w:val="nil"/>
                  </w:tcBorders>
                  <w:noWrap w:val="0"/>
                  <w:vAlign w:val="center"/>
                </w:tcPr>
                <w:p w14:paraId="1F196FFC">
                  <w:pPr>
                    <w:spacing w:line="260" w:lineRule="exact"/>
                    <w:jc w:val="center"/>
                    <w:rPr>
                      <w:rFonts w:hint="default" w:ascii="Times New Roman" w:hAnsi="Times New Roman" w:eastAsia="宋体" w:cs="Times New Roman"/>
                      <w:b/>
                      <w:bCs/>
                      <w:color w:val="auto"/>
                      <w:szCs w:val="21"/>
                    </w:rPr>
                  </w:pPr>
                </w:p>
              </w:tc>
              <w:tc>
                <w:tcPr>
                  <w:tcW w:w="1475" w:type="dxa"/>
                  <w:vMerge w:val="continue"/>
                  <w:tcBorders>
                    <w:tl2br w:val="nil"/>
                    <w:tr2bl w:val="nil"/>
                  </w:tcBorders>
                  <w:noWrap w:val="0"/>
                  <w:vAlign w:val="center"/>
                </w:tcPr>
                <w:p w14:paraId="7AC57960">
                  <w:pPr>
                    <w:spacing w:line="260" w:lineRule="exact"/>
                    <w:jc w:val="center"/>
                    <w:rPr>
                      <w:rFonts w:hint="default" w:ascii="Times New Roman" w:hAnsi="Times New Roman" w:eastAsia="宋体" w:cs="Times New Roman"/>
                      <w:b/>
                      <w:bCs/>
                      <w:color w:val="auto"/>
                      <w:szCs w:val="21"/>
                    </w:rPr>
                  </w:pPr>
                </w:p>
              </w:tc>
              <w:tc>
                <w:tcPr>
                  <w:tcW w:w="1433" w:type="dxa"/>
                  <w:tcBorders>
                    <w:left w:val="single" w:color="auto" w:sz="4" w:space="0"/>
                    <w:tl2br w:val="nil"/>
                    <w:tr2bl w:val="nil"/>
                  </w:tcBorders>
                  <w:shd w:val="clear" w:color="auto" w:fill="auto"/>
                  <w:noWrap w:val="0"/>
                  <w:vAlign w:val="center"/>
                </w:tcPr>
                <w:p w14:paraId="25F01499">
                  <w:pPr>
                    <w:keepNext w:val="0"/>
                    <w:keepLines w:val="0"/>
                    <w:suppressLineNumbers w:val="0"/>
                    <w:spacing w:before="0" w:beforeAutospacing="0" w:after="0" w:afterAutospacing="0" w:line="240" w:lineRule="auto"/>
                    <w:ind w:left="0" w:leftChars="0" w:right="0" w:rightChars="0"/>
                    <w:jc w:val="center"/>
                    <w:rPr>
                      <w:rFonts w:hint="default" w:ascii="Times New Roman" w:hAnsi="Times New Roman" w:eastAsia="宋体" w:cs="Times New Roman"/>
                      <w:b/>
                      <w:bCs/>
                      <w:kern w:val="2"/>
                      <w:sz w:val="21"/>
                      <w:szCs w:val="21"/>
                      <w:lang w:val="en-US" w:eastAsia="zh-CN" w:bidi="ar-SA"/>
                    </w:rPr>
                  </w:pPr>
                  <w:r>
                    <w:rPr>
                      <w:rFonts w:hint="eastAsia" w:ascii="Times New Roman" w:hAnsi="Times New Roman" w:cs="Times New Roman"/>
                      <w:b/>
                      <w:bCs/>
                      <w:kern w:val="2"/>
                      <w:sz w:val="21"/>
                      <w:szCs w:val="21"/>
                      <w:lang w:val="en-US" w:eastAsia="zh-CN" w:bidi="ar-SA"/>
                    </w:rPr>
                    <w:t>硫化氢</w:t>
                  </w:r>
                  <w:r>
                    <w:rPr>
                      <w:rFonts w:hint="default" w:ascii="Times New Roman" w:hAnsi="Times New Roman" w:eastAsia="宋体" w:cs="Times New Roman"/>
                      <w:b/>
                      <w:bCs/>
                      <w:color w:val="auto"/>
                      <w:szCs w:val="21"/>
                    </w:rPr>
                    <w:t>（mg/m</w:t>
                  </w:r>
                  <w:r>
                    <w:rPr>
                      <w:rFonts w:hint="default" w:ascii="Times New Roman" w:hAnsi="Times New Roman" w:eastAsia="宋体" w:cs="Times New Roman"/>
                      <w:b/>
                      <w:bCs/>
                      <w:color w:val="auto"/>
                      <w:szCs w:val="21"/>
                      <w:vertAlign w:val="superscript"/>
                    </w:rPr>
                    <w:t>3</w:t>
                  </w:r>
                  <w:r>
                    <w:rPr>
                      <w:rFonts w:hint="default" w:ascii="Times New Roman" w:hAnsi="Times New Roman" w:eastAsia="宋体" w:cs="Times New Roman"/>
                      <w:b/>
                      <w:bCs/>
                      <w:color w:val="auto"/>
                      <w:szCs w:val="21"/>
                    </w:rPr>
                    <w:t>）</w:t>
                  </w:r>
                </w:p>
              </w:tc>
              <w:tc>
                <w:tcPr>
                  <w:tcW w:w="1705" w:type="dxa"/>
                  <w:tcBorders>
                    <w:tl2br w:val="nil"/>
                    <w:tr2bl w:val="nil"/>
                  </w:tcBorders>
                  <w:shd w:val="clear" w:color="auto" w:fill="auto"/>
                  <w:noWrap w:val="0"/>
                  <w:vAlign w:val="center"/>
                </w:tcPr>
                <w:p w14:paraId="56B9B633">
                  <w:pPr>
                    <w:keepNext w:val="0"/>
                    <w:keepLines w:val="0"/>
                    <w:suppressLineNumbers w:val="0"/>
                    <w:spacing w:before="0" w:beforeAutospacing="0" w:after="0" w:afterAutospacing="0" w:line="240" w:lineRule="auto"/>
                    <w:ind w:left="0" w:leftChars="0" w:right="0" w:rightChars="0"/>
                    <w:jc w:val="center"/>
                    <w:rPr>
                      <w:rFonts w:hint="eastAsia" w:ascii="Times New Roman" w:hAnsi="Times New Roman" w:cs="Times New Roman"/>
                      <w:b/>
                      <w:bCs/>
                      <w:kern w:val="2"/>
                      <w:sz w:val="21"/>
                      <w:szCs w:val="21"/>
                      <w:lang w:val="en-US" w:eastAsia="zh-CN" w:bidi="ar-SA"/>
                    </w:rPr>
                  </w:pPr>
                  <w:r>
                    <w:rPr>
                      <w:rFonts w:hint="eastAsia" w:ascii="Times New Roman" w:hAnsi="Times New Roman" w:cs="Times New Roman"/>
                      <w:b/>
                      <w:bCs/>
                      <w:kern w:val="2"/>
                      <w:sz w:val="21"/>
                      <w:szCs w:val="21"/>
                      <w:lang w:val="en-US" w:eastAsia="zh-CN" w:bidi="ar-SA"/>
                    </w:rPr>
                    <w:t>氨</w:t>
                  </w:r>
                </w:p>
                <w:p w14:paraId="4472F591">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b/>
                      <w:bCs/>
                      <w:kern w:val="2"/>
                      <w:sz w:val="21"/>
                      <w:szCs w:val="21"/>
                      <w:lang w:val="en-US" w:eastAsia="zh-CN" w:bidi="ar-SA"/>
                    </w:rPr>
                  </w:pPr>
                  <w:r>
                    <w:rPr>
                      <w:rFonts w:hint="default" w:ascii="Times New Roman" w:hAnsi="Times New Roman" w:eastAsia="宋体" w:cs="Times New Roman"/>
                      <w:b/>
                      <w:bCs/>
                      <w:color w:val="auto"/>
                      <w:szCs w:val="21"/>
                    </w:rPr>
                    <w:t>（mg/m</w:t>
                  </w:r>
                  <w:r>
                    <w:rPr>
                      <w:rFonts w:hint="default" w:ascii="Times New Roman" w:hAnsi="Times New Roman" w:eastAsia="宋体" w:cs="Times New Roman"/>
                      <w:b/>
                      <w:bCs/>
                      <w:color w:val="auto"/>
                      <w:szCs w:val="21"/>
                      <w:vertAlign w:val="superscript"/>
                    </w:rPr>
                    <w:t>3</w:t>
                  </w:r>
                  <w:r>
                    <w:rPr>
                      <w:rFonts w:hint="default" w:ascii="Times New Roman" w:hAnsi="Times New Roman" w:eastAsia="宋体" w:cs="Times New Roman"/>
                      <w:b/>
                      <w:bCs/>
                      <w:color w:val="auto"/>
                      <w:szCs w:val="21"/>
                    </w:rPr>
                    <w:t>）</w:t>
                  </w:r>
                </w:p>
              </w:tc>
              <w:tc>
                <w:tcPr>
                  <w:tcW w:w="1320" w:type="dxa"/>
                  <w:tcBorders>
                    <w:tl2br w:val="nil"/>
                    <w:tr2bl w:val="nil"/>
                  </w:tcBorders>
                  <w:shd w:val="clear" w:color="auto" w:fill="auto"/>
                  <w:noWrap w:val="0"/>
                  <w:vAlign w:val="center"/>
                </w:tcPr>
                <w:p w14:paraId="1059E074">
                  <w:pPr>
                    <w:keepNext w:val="0"/>
                    <w:keepLines w:val="0"/>
                    <w:suppressLineNumbers w:val="0"/>
                    <w:spacing w:before="0" w:beforeAutospacing="0" w:after="0" w:afterAutospacing="0" w:line="240" w:lineRule="auto"/>
                    <w:ind w:left="0" w:leftChars="0" w:right="0" w:rightChars="0"/>
                    <w:jc w:val="center"/>
                    <w:rPr>
                      <w:rFonts w:hint="default" w:ascii="Times New Roman" w:hAnsi="Times New Roman" w:eastAsia="宋体" w:cs="Times New Roman"/>
                      <w:b/>
                      <w:bCs/>
                      <w:kern w:val="2"/>
                      <w:sz w:val="21"/>
                      <w:szCs w:val="21"/>
                      <w:lang w:val="en-US" w:eastAsia="zh-CN" w:bidi="ar-SA"/>
                    </w:rPr>
                  </w:pPr>
                  <w:r>
                    <w:rPr>
                      <w:rFonts w:hint="eastAsia" w:ascii="Times New Roman" w:hAnsi="Times New Roman" w:cs="Times New Roman"/>
                      <w:b/>
                      <w:bCs/>
                      <w:kern w:val="2"/>
                      <w:sz w:val="21"/>
                      <w:szCs w:val="21"/>
                      <w:lang w:val="en-US" w:eastAsia="zh-CN" w:bidi="ar-SA"/>
                    </w:rPr>
                    <w:t>臭气浓度</w:t>
                  </w:r>
                  <w:r>
                    <w:rPr>
                      <w:rFonts w:hint="default" w:ascii="Times New Roman" w:hAnsi="Times New Roman" w:eastAsia="宋体" w:cs="Times New Roman"/>
                      <w:b/>
                      <w:bCs/>
                      <w:color w:val="auto"/>
                      <w:szCs w:val="21"/>
                    </w:rPr>
                    <w:t>（</w:t>
                  </w:r>
                  <w:r>
                    <w:rPr>
                      <w:rFonts w:hint="eastAsia" w:ascii="Times New Roman" w:hAnsi="Times New Roman" w:eastAsia="宋体" w:cs="Times New Roman"/>
                      <w:b/>
                      <w:bCs/>
                      <w:color w:val="auto"/>
                      <w:szCs w:val="21"/>
                      <w:lang w:eastAsia="zh-CN"/>
                    </w:rPr>
                    <w:t>无量纲</w:t>
                  </w:r>
                  <w:r>
                    <w:rPr>
                      <w:rFonts w:hint="default" w:ascii="Times New Roman" w:hAnsi="Times New Roman" w:eastAsia="宋体" w:cs="Times New Roman"/>
                      <w:b/>
                      <w:bCs/>
                      <w:color w:val="auto"/>
                      <w:szCs w:val="21"/>
                    </w:rPr>
                    <w:t>）</w:t>
                  </w:r>
                </w:p>
              </w:tc>
            </w:tr>
            <w:tr w14:paraId="44E8697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1339" w:type="dxa"/>
                  <w:vMerge w:val="restart"/>
                  <w:tcBorders>
                    <w:tl2br w:val="nil"/>
                    <w:tr2bl w:val="nil"/>
                  </w:tcBorders>
                  <w:noWrap w:val="0"/>
                  <w:vAlign w:val="center"/>
                </w:tcPr>
                <w:p w14:paraId="6C451CB8">
                  <w:pPr>
                    <w:pStyle w:val="11"/>
                    <w:spacing w:after="0"/>
                    <w:ind w:left="0" w:leftChars="0" w:right="0" w:rightChars="0"/>
                    <w:jc w:val="center"/>
                    <w:rPr>
                      <w:rFonts w:hint="default" w:ascii="Times New Roman" w:hAnsi="Times New Roman" w:eastAsia="宋体" w:cs="Times New Roman"/>
                      <w:color w:val="auto"/>
                      <w:lang w:eastAsia="zh-CN"/>
                    </w:rPr>
                  </w:pPr>
                  <w:r>
                    <w:rPr>
                      <w:rFonts w:hint="default" w:ascii="Times New Roman" w:hAnsi="Times New Roman" w:cs="Times New Roman"/>
                      <w:color w:val="auto"/>
                      <w:szCs w:val="21"/>
                      <w:lang w:eastAsia="zh-CN"/>
                    </w:rPr>
                    <w:t>202</w:t>
                  </w:r>
                  <w:r>
                    <w:rPr>
                      <w:rFonts w:hint="default" w:ascii="Times New Roman" w:hAnsi="Times New Roman" w:cs="Times New Roman"/>
                      <w:color w:val="auto"/>
                      <w:szCs w:val="21"/>
                      <w:lang w:val="en-US" w:eastAsia="zh-CN"/>
                    </w:rPr>
                    <w:t>5</w:t>
                  </w:r>
                  <w:r>
                    <w:rPr>
                      <w:rFonts w:hint="default" w:ascii="Times New Roman" w:hAnsi="Times New Roman" w:cs="Times New Roman"/>
                      <w:color w:val="auto"/>
                      <w:szCs w:val="21"/>
                      <w:lang w:eastAsia="zh-CN"/>
                    </w:rPr>
                    <w:t>年</w:t>
                  </w:r>
                  <w:r>
                    <w:rPr>
                      <w:rFonts w:hint="eastAsia" w:ascii="Times New Roman" w:hAnsi="Times New Roman" w:cs="Times New Roman"/>
                      <w:color w:val="auto"/>
                      <w:szCs w:val="21"/>
                      <w:lang w:val="en-US" w:eastAsia="zh-CN"/>
                    </w:rPr>
                    <w:t>6</w:t>
                  </w:r>
                  <w:r>
                    <w:rPr>
                      <w:rFonts w:hint="default" w:ascii="Times New Roman" w:hAnsi="Times New Roman" w:cs="Times New Roman"/>
                      <w:color w:val="auto"/>
                      <w:szCs w:val="21"/>
                      <w:lang w:eastAsia="zh-CN"/>
                    </w:rPr>
                    <w:t>月</w:t>
                  </w:r>
                  <w:r>
                    <w:rPr>
                      <w:rFonts w:hint="eastAsia" w:ascii="Times New Roman" w:hAnsi="Times New Roman" w:cs="Times New Roman"/>
                      <w:color w:val="auto"/>
                      <w:szCs w:val="21"/>
                      <w:lang w:val="en-US" w:eastAsia="zh-CN"/>
                    </w:rPr>
                    <w:t>27</w:t>
                  </w:r>
                  <w:r>
                    <w:rPr>
                      <w:rFonts w:hint="default" w:ascii="Times New Roman" w:hAnsi="Times New Roman" w:cs="Times New Roman"/>
                      <w:color w:val="auto"/>
                      <w:szCs w:val="21"/>
                      <w:lang w:eastAsia="zh-CN"/>
                    </w:rPr>
                    <w:t>日</w:t>
                  </w:r>
                </w:p>
              </w:tc>
              <w:tc>
                <w:tcPr>
                  <w:tcW w:w="1375" w:type="dxa"/>
                  <w:vMerge w:val="restart"/>
                  <w:tcBorders>
                    <w:tl2br w:val="nil"/>
                    <w:tr2bl w:val="nil"/>
                  </w:tcBorders>
                  <w:noWrap w:val="0"/>
                  <w:vAlign w:val="center"/>
                </w:tcPr>
                <w:p w14:paraId="79CA2870">
                  <w:pPr>
                    <w:keepNext w:val="0"/>
                    <w:keepLines w:val="0"/>
                    <w:widowControl/>
                    <w:suppressLineNumbers w:val="0"/>
                    <w:spacing w:before="0" w:beforeAutospacing="0" w:after="0" w:afterAutospacing="0" w:line="240" w:lineRule="auto"/>
                    <w:ind w:left="0" w:leftChars="0" w:right="0" w:rightChars="0"/>
                    <w:jc w:val="center"/>
                    <w:textAlignment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b w:val="0"/>
                      <w:bCs w:val="0"/>
                      <w:color w:val="auto"/>
                      <w:sz w:val="21"/>
                      <w:szCs w:val="21"/>
                      <w:highlight w:val="none"/>
                      <w:lang w:val="en-US" w:eastAsia="zh-CN"/>
                    </w:rPr>
                    <w:t>厂界</w:t>
                  </w:r>
                  <w:r>
                    <w:rPr>
                      <w:rFonts w:hint="default" w:ascii="Times New Roman" w:hAnsi="Times New Roman" w:cs="Times New Roman"/>
                      <w:b w:val="0"/>
                      <w:bCs w:val="0"/>
                      <w:color w:val="auto"/>
                      <w:sz w:val="21"/>
                      <w:szCs w:val="21"/>
                      <w:highlight w:val="none"/>
                      <w:lang w:val="en-US" w:eastAsia="zh-CN"/>
                    </w:rPr>
                    <w:t>外</w:t>
                  </w:r>
                  <w:r>
                    <w:rPr>
                      <w:rFonts w:hint="default" w:ascii="Times New Roman" w:hAnsi="Times New Roman" w:eastAsia="宋体" w:cs="Times New Roman"/>
                      <w:b w:val="0"/>
                      <w:bCs w:val="0"/>
                      <w:color w:val="auto"/>
                      <w:sz w:val="21"/>
                      <w:szCs w:val="21"/>
                      <w:highlight w:val="none"/>
                      <w:lang w:val="en-US" w:eastAsia="zh-CN"/>
                    </w:rPr>
                    <w:t>上风向5</w:t>
                  </w:r>
                  <w:r>
                    <w:rPr>
                      <w:rFonts w:hint="default" w:ascii="Times New Roman" w:hAnsi="Times New Roman" w:cs="Times New Roman"/>
                      <w:b w:val="0"/>
                      <w:bCs w:val="0"/>
                      <w:color w:val="auto"/>
                      <w:sz w:val="21"/>
                      <w:szCs w:val="21"/>
                      <w:highlight w:val="none"/>
                      <w:lang w:val="en-US" w:eastAsia="zh-CN"/>
                    </w:rPr>
                    <w:t>m</w:t>
                  </w:r>
                  <w:r>
                    <w:rPr>
                      <w:rFonts w:hint="default" w:ascii="Times New Roman" w:hAnsi="Times New Roman" w:eastAsia="宋体" w:cs="Times New Roman"/>
                      <w:b w:val="0"/>
                      <w:bCs w:val="0"/>
                      <w:color w:val="auto"/>
                      <w:sz w:val="21"/>
                      <w:szCs w:val="21"/>
                      <w:highlight w:val="none"/>
                      <w:lang w:val="en-US" w:eastAsia="zh-CN"/>
                    </w:rPr>
                    <w:t>处1#</w:t>
                  </w:r>
                </w:p>
              </w:tc>
              <w:tc>
                <w:tcPr>
                  <w:tcW w:w="1475" w:type="dxa"/>
                  <w:tcBorders>
                    <w:tl2br w:val="nil"/>
                    <w:tr2bl w:val="nil"/>
                  </w:tcBorders>
                  <w:noWrap w:val="0"/>
                  <w:vAlign w:val="center"/>
                </w:tcPr>
                <w:p w14:paraId="25A141DF">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szCs w:val="21"/>
                      <w:lang w:val="en-US" w:eastAsia="zh-CN"/>
                    </w:rPr>
                    <w:t>1-1-1</w:t>
                  </w:r>
                </w:p>
              </w:tc>
              <w:tc>
                <w:tcPr>
                  <w:tcW w:w="1433" w:type="dxa"/>
                  <w:tcBorders>
                    <w:tl2br w:val="nil"/>
                    <w:tr2bl w:val="nil"/>
                  </w:tcBorders>
                  <w:shd w:val="clear" w:color="auto" w:fill="auto"/>
                  <w:noWrap w:val="0"/>
                  <w:vAlign w:val="center"/>
                </w:tcPr>
                <w:p w14:paraId="3592B75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olor w:val="000000"/>
                      <w:kern w:val="0"/>
                      <w:sz w:val="20"/>
                      <w:szCs w:val="20"/>
                      <w:lang w:val="en-US" w:eastAsia="zh-CN"/>
                    </w:rPr>
                    <w:t>＜</w:t>
                  </w:r>
                  <w:r>
                    <w:rPr>
                      <w:rFonts w:hint="eastAsia" w:cs="Times New Roman"/>
                      <w:color w:val="000000" w:themeColor="text1"/>
                      <w:kern w:val="0"/>
                      <w:sz w:val="20"/>
                      <w:szCs w:val="20"/>
                      <w:lang w:val="en-US" w:eastAsia="zh-CN" w:bidi="ar-SA"/>
                      <w14:textFill>
                        <w14:solidFill>
                          <w14:schemeClr w14:val="tx1"/>
                        </w14:solidFill>
                      </w14:textFill>
                    </w:rPr>
                    <w:t>0.2</w:t>
                  </w:r>
                  <w:r>
                    <w:rPr>
                      <w:rFonts w:hint="default" w:ascii="Arial" w:hAnsi="Arial" w:cs="Arial"/>
                      <w:color w:val="000000" w:themeColor="text1"/>
                      <w:kern w:val="0"/>
                      <w:sz w:val="20"/>
                      <w:szCs w:val="20"/>
                      <w:lang w:val="en-US" w:eastAsia="zh-CN" w:bidi="ar-SA"/>
                      <w14:textFill>
                        <w14:solidFill>
                          <w14:schemeClr w14:val="tx1"/>
                        </w14:solidFill>
                      </w14:textFill>
                    </w:rPr>
                    <w:t>×</w:t>
                  </w:r>
                  <w:r>
                    <w:rPr>
                      <w:rFonts w:hint="eastAsia" w:cs="Times New Roman"/>
                      <w:color w:val="000000" w:themeColor="text1"/>
                      <w:kern w:val="0"/>
                      <w:sz w:val="20"/>
                      <w:szCs w:val="20"/>
                      <w:lang w:val="en-US" w:eastAsia="zh-CN" w:bidi="ar-SA"/>
                      <w14:textFill>
                        <w14:solidFill>
                          <w14:schemeClr w14:val="tx1"/>
                        </w14:solidFill>
                      </w14:textFill>
                    </w:rPr>
                    <w:t>10</w:t>
                  </w:r>
                  <w:r>
                    <w:rPr>
                      <w:rFonts w:hint="eastAsia" w:cs="Times New Roman"/>
                      <w:color w:val="000000" w:themeColor="text1"/>
                      <w:kern w:val="0"/>
                      <w:sz w:val="20"/>
                      <w:szCs w:val="20"/>
                      <w:vertAlign w:val="superscript"/>
                      <w:lang w:val="en-US" w:eastAsia="zh-CN" w:bidi="ar-SA"/>
                      <w14:textFill>
                        <w14:solidFill>
                          <w14:schemeClr w14:val="tx1"/>
                        </w14:solidFill>
                      </w14:textFill>
                    </w:rPr>
                    <w:t>-3</w:t>
                  </w:r>
                </w:p>
              </w:tc>
              <w:tc>
                <w:tcPr>
                  <w:tcW w:w="1705" w:type="dxa"/>
                  <w:tcBorders>
                    <w:tl2br w:val="nil"/>
                    <w:tr2bl w:val="nil"/>
                  </w:tcBorders>
                  <w:shd w:val="clear" w:color="auto" w:fill="auto"/>
                  <w:noWrap w:val="0"/>
                  <w:vAlign w:val="center"/>
                </w:tcPr>
                <w:p w14:paraId="67EBD603">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zCs w:val="21"/>
                      <w:lang w:val="en-US" w:eastAsia="zh-CN"/>
                    </w:rPr>
                    <w:t>0.044</w:t>
                  </w:r>
                </w:p>
              </w:tc>
              <w:tc>
                <w:tcPr>
                  <w:tcW w:w="1320" w:type="dxa"/>
                  <w:tcBorders>
                    <w:tl2br w:val="nil"/>
                    <w:tr2bl w:val="nil"/>
                  </w:tcBorders>
                  <w:shd w:val="clear" w:color="auto" w:fill="auto"/>
                  <w:noWrap w:val="0"/>
                  <w:vAlign w:val="center"/>
                </w:tcPr>
                <w:p w14:paraId="21CBFCC5">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＜10</w:t>
                  </w:r>
                </w:p>
              </w:tc>
            </w:tr>
            <w:tr w14:paraId="7A3E580D">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1339" w:type="dxa"/>
                  <w:vMerge w:val="continue"/>
                  <w:tcBorders>
                    <w:tl2br w:val="nil"/>
                    <w:tr2bl w:val="nil"/>
                  </w:tcBorders>
                  <w:noWrap w:val="0"/>
                  <w:vAlign w:val="center"/>
                </w:tcPr>
                <w:p w14:paraId="2D577AEB">
                  <w:pPr>
                    <w:spacing w:line="260" w:lineRule="exact"/>
                    <w:jc w:val="center"/>
                    <w:rPr>
                      <w:rFonts w:hint="default" w:ascii="Times New Roman" w:hAnsi="Times New Roman" w:eastAsia="宋体" w:cs="Times New Roman"/>
                      <w:color w:val="auto"/>
                      <w:szCs w:val="21"/>
                      <w:highlight w:val="none"/>
                    </w:rPr>
                  </w:pPr>
                </w:p>
              </w:tc>
              <w:tc>
                <w:tcPr>
                  <w:tcW w:w="1375" w:type="dxa"/>
                  <w:vMerge w:val="continue"/>
                  <w:tcBorders>
                    <w:tl2br w:val="nil"/>
                    <w:tr2bl w:val="nil"/>
                  </w:tcBorders>
                  <w:noWrap w:val="0"/>
                  <w:vAlign w:val="center"/>
                </w:tcPr>
                <w:p w14:paraId="362009FB">
                  <w:pPr>
                    <w:spacing w:line="260" w:lineRule="exact"/>
                    <w:jc w:val="center"/>
                    <w:rPr>
                      <w:rFonts w:hint="default" w:ascii="Times New Roman" w:hAnsi="Times New Roman" w:eastAsia="宋体" w:cs="Times New Roman"/>
                      <w:color w:val="auto"/>
                      <w:szCs w:val="21"/>
                    </w:rPr>
                  </w:pPr>
                </w:p>
              </w:tc>
              <w:tc>
                <w:tcPr>
                  <w:tcW w:w="1475" w:type="dxa"/>
                  <w:tcBorders>
                    <w:tl2br w:val="nil"/>
                    <w:tr2bl w:val="nil"/>
                  </w:tcBorders>
                  <w:noWrap w:val="0"/>
                  <w:vAlign w:val="center"/>
                </w:tcPr>
                <w:p w14:paraId="6862A9C4">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szCs w:val="21"/>
                      <w:lang w:val="en-US" w:eastAsia="zh-CN"/>
                    </w:rPr>
                    <w:t>1-1-2</w:t>
                  </w:r>
                </w:p>
              </w:tc>
              <w:tc>
                <w:tcPr>
                  <w:tcW w:w="1433" w:type="dxa"/>
                  <w:tcBorders>
                    <w:tl2br w:val="nil"/>
                    <w:tr2bl w:val="nil"/>
                  </w:tcBorders>
                  <w:shd w:val="clear" w:color="auto" w:fill="auto"/>
                  <w:noWrap w:val="0"/>
                  <w:vAlign w:val="center"/>
                </w:tcPr>
                <w:p w14:paraId="704C1162">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olor w:val="000000"/>
                      <w:kern w:val="0"/>
                      <w:sz w:val="20"/>
                      <w:szCs w:val="20"/>
                      <w:lang w:val="en-US" w:eastAsia="zh-CN"/>
                    </w:rPr>
                    <w:t>＜</w:t>
                  </w:r>
                  <w:r>
                    <w:rPr>
                      <w:rFonts w:hint="eastAsia" w:cs="Times New Roman"/>
                      <w:color w:val="000000" w:themeColor="text1"/>
                      <w:kern w:val="0"/>
                      <w:sz w:val="20"/>
                      <w:szCs w:val="20"/>
                      <w:lang w:val="en-US" w:eastAsia="zh-CN" w:bidi="ar-SA"/>
                      <w14:textFill>
                        <w14:solidFill>
                          <w14:schemeClr w14:val="tx1"/>
                        </w14:solidFill>
                      </w14:textFill>
                    </w:rPr>
                    <w:t>0.2</w:t>
                  </w:r>
                  <w:r>
                    <w:rPr>
                      <w:rFonts w:hint="default" w:ascii="Arial" w:hAnsi="Arial" w:cs="Arial"/>
                      <w:color w:val="000000" w:themeColor="text1"/>
                      <w:kern w:val="0"/>
                      <w:sz w:val="20"/>
                      <w:szCs w:val="20"/>
                      <w:lang w:val="en-US" w:eastAsia="zh-CN" w:bidi="ar-SA"/>
                      <w14:textFill>
                        <w14:solidFill>
                          <w14:schemeClr w14:val="tx1"/>
                        </w14:solidFill>
                      </w14:textFill>
                    </w:rPr>
                    <w:t>×</w:t>
                  </w:r>
                  <w:r>
                    <w:rPr>
                      <w:rFonts w:hint="eastAsia" w:cs="Times New Roman"/>
                      <w:color w:val="000000" w:themeColor="text1"/>
                      <w:kern w:val="0"/>
                      <w:sz w:val="20"/>
                      <w:szCs w:val="20"/>
                      <w:lang w:val="en-US" w:eastAsia="zh-CN" w:bidi="ar-SA"/>
                      <w14:textFill>
                        <w14:solidFill>
                          <w14:schemeClr w14:val="tx1"/>
                        </w14:solidFill>
                      </w14:textFill>
                    </w:rPr>
                    <w:t>10</w:t>
                  </w:r>
                  <w:r>
                    <w:rPr>
                      <w:rFonts w:hint="eastAsia" w:cs="Times New Roman"/>
                      <w:color w:val="000000" w:themeColor="text1"/>
                      <w:kern w:val="0"/>
                      <w:sz w:val="20"/>
                      <w:szCs w:val="20"/>
                      <w:vertAlign w:val="superscript"/>
                      <w:lang w:val="en-US" w:eastAsia="zh-CN" w:bidi="ar-SA"/>
                      <w14:textFill>
                        <w14:solidFill>
                          <w14:schemeClr w14:val="tx1"/>
                        </w14:solidFill>
                      </w14:textFill>
                    </w:rPr>
                    <w:t>-3</w:t>
                  </w:r>
                </w:p>
              </w:tc>
              <w:tc>
                <w:tcPr>
                  <w:tcW w:w="1705" w:type="dxa"/>
                  <w:tcBorders>
                    <w:tl2br w:val="nil"/>
                    <w:tr2bl w:val="nil"/>
                  </w:tcBorders>
                  <w:shd w:val="clear" w:color="auto" w:fill="auto"/>
                  <w:noWrap w:val="0"/>
                  <w:vAlign w:val="center"/>
                </w:tcPr>
                <w:p w14:paraId="293B2BE2">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zCs w:val="21"/>
                      <w:lang w:val="en-US" w:eastAsia="zh-CN"/>
                    </w:rPr>
                    <w:t>0.100</w:t>
                  </w:r>
                </w:p>
              </w:tc>
              <w:tc>
                <w:tcPr>
                  <w:tcW w:w="1320" w:type="dxa"/>
                  <w:tcBorders>
                    <w:tl2br w:val="nil"/>
                    <w:tr2bl w:val="nil"/>
                  </w:tcBorders>
                  <w:shd w:val="clear" w:color="auto" w:fill="auto"/>
                  <w:noWrap w:val="0"/>
                  <w:vAlign w:val="center"/>
                </w:tcPr>
                <w:p w14:paraId="66643709">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＜10</w:t>
                  </w:r>
                </w:p>
              </w:tc>
            </w:tr>
            <w:tr w14:paraId="43E2CB2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1339" w:type="dxa"/>
                  <w:vMerge w:val="continue"/>
                  <w:tcBorders>
                    <w:tl2br w:val="nil"/>
                    <w:tr2bl w:val="nil"/>
                  </w:tcBorders>
                  <w:noWrap w:val="0"/>
                  <w:vAlign w:val="center"/>
                </w:tcPr>
                <w:p w14:paraId="6093C595">
                  <w:pPr>
                    <w:spacing w:line="260" w:lineRule="exact"/>
                    <w:jc w:val="center"/>
                    <w:rPr>
                      <w:rFonts w:hint="default" w:ascii="Times New Roman" w:hAnsi="Times New Roman" w:eastAsia="宋体" w:cs="Times New Roman"/>
                      <w:color w:val="auto"/>
                      <w:szCs w:val="21"/>
                      <w:highlight w:val="none"/>
                    </w:rPr>
                  </w:pPr>
                </w:p>
              </w:tc>
              <w:tc>
                <w:tcPr>
                  <w:tcW w:w="1375" w:type="dxa"/>
                  <w:vMerge w:val="continue"/>
                  <w:tcBorders>
                    <w:tl2br w:val="nil"/>
                    <w:tr2bl w:val="nil"/>
                  </w:tcBorders>
                  <w:noWrap w:val="0"/>
                  <w:vAlign w:val="center"/>
                </w:tcPr>
                <w:p w14:paraId="0D3305D0">
                  <w:pPr>
                    <w:spacing w:line="260" w:lineRule="exact"/>
                    <w:jc w:val="center"/>
                    <w:rPr>
                      <w:rFonts w:hint="default" w:ascii="Times New Roman" w:hAnsi="Times New Roman" w:eastAsia="宋体" w:cs="Times New Roman"/>
                      <w:color w:val="auto"/>
                      <w:szCs w:val="21"/>
                    </w:rPr>
                  </w:pPr>
                </w:p>
              </w:tc>
              <w:tc>
                <w:tcPr>
                  <w:tcW w:w="1475" w:type="dxa"/>
                  <w:tcBorders>
                    <w:tl2br w:val="nil"/>
                    <w:tr2bl w:val="nil"/>
                  </w:tcBorders>
                  <w:noWrap w:val="0"/>
                  <w:vAlign w:val="center"/>
                </w:tcPr>
                <w:p w14:paraId="645F59F0">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szCs w:val="21"/>
                      <w:lang w:val="en-US" w:eastAsia="zh-CN"/>
                    </w:rPr>
                    <w:t>1-1-3</w:t>
                  </w:r>
                </w:p>
              </w:tc>
              <w:tc>
                <w:tcPr>
                  <w:tcW w:w="1433" w:type="dxa"/>
                  <w:tcBorders>
                    <w:tl2br w:val="nil"/>
                    <w:tr2bl w:val="nil"/>
                  </w:tcBorders>
                  <w:shd w:val="clear" w:color="auto" w:fill="auto"/>
                  <w:noWrap w:val="0"/>
                  <w:vAlign w:val="center"/>
                </w:tcPr>
                <w:p w14:paraId="39C21119">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olor w:val="000000"/>
                      <w:kern w:val="0"/>
                      <w:sz w:val="20"/>
                      <w:szCs w:val="20"/>
                      <w:lang w:val="en-US" w:eastAsia="zh-CN"/>
                    </w:rPr>
                    <w:t>＜</w:t>
                  </w:r>
                  <w:r>
                    <w:rPr>
                      <w:rFonts w:hint="eastAsia" w:cs="Times New Roman"/>
                      <w:color w:val="000000" w:themeColor="text1"/>
                      <w:kern w:val="0"/>
                      <w:sz w:val="20"/>
                      <w:szCs w:val="20"/>
                      <w:lang w:val="en-US" w:eastAsia="zh-CN" w:bidi="ar-SA"/>
                      <w14:textFill>
                        <w14:solidFill>
                          <w14:schemeClr w14:val="tx1"/>
                        </w14:solidFill>
                      </w14:textFill>
                    </w:rPr>
                    <w:t>0.2</w:t>
                  </w:r>
                  <w:r>
                    <w:rPr>
                      <w:rFonts w:hint="default" w:ascii="Arial" w:hAnsi="Arial" w:cs="Arial"/>
                      <w:color w:val="000000" w:themeColor="text1"/>
                      <w:kern w:val="0"/>
                      <w:sz w:val="20"/>
                      <w:szCs w:val="20"/>
                      <w:lang w:val="en-US" w:eastAsia="zh-CN" w:bidi="ar-SA"/>
                      <w14:textFill>
                        <w14:solidFill>
                          <w14:schemeClr w14:val="tx1"/>
                        </w14:solidFill>
                      </w14:textFill>
                    </w:rPr>
                    <w:t>×</w:t>
                  </w:r>
                  <w:r>
                    <w:rPr>
                      <w:rFonts w:hint="eastAsia" w:cs="Times New Roman"/>
                      <w:color w:val="000000" w:themeColor="text1"/>
                      <w:kern w:val="0"/>
                      <w:sz w:val="20"/>
                      <w:szCs w:val="20"/>
                      <w:lang w:val="en-US" w:eastAsia="zh-CN" w:bidi="ar-SA"/>
                      <w14:textFill>
                        <w14:solidFill>
                          <w14:schemeClr w14:val="tx1"/>
                        </w14:solidFill>
                      </w14:textFill>
                    </w:rPr>
                    <w:t>10</w:t>
                  </w:r>
                  <w:r>
                    <w:rPr>
                      <w:rFonts w:hint="eastAsia" w:cs="Times New Roman"/>
                      <w:color w:val="000000" w:themeColor="text1"/>
                      <w:kern w:val="0"/>
                      <w:sz w:val="20"/>
                      <w:szCs w:val="20"/>
                      <w:vertAlign w:val="superscript"/>
                      <w:lang w:val="en-US" w:eastAsia="zh-CN" w:bidi="ar-SA"/>
                      <w14:textFill>
                        <w14:solidFill>
                          <w14:schemeClr w14:val="tx1"/>
                        </w14:solidFill>
                      </w14:textFill>
                    </w:rPr>
                    <w:t>-3</w:t>
                  </w:r>
                </w:p>
              </w:tc>
              <w:tc>
                <w:tcPr>
                  <w:tcW w:w="1705" w:type="dxa"/>
                  <w:tcBorders>
                    <w:tl2br w:val="nil"/>
                    <w:tr2bl w:val="nil"/>
                  </w:tcBorders>
                  <w:shd w:val="clear" w:color="auto" w:fill="auto"/>
                  <w:noWrap w:val="0"/>
                  <w:vAlign w:val="center"/>
                </w:tcPr>
                <w:p w14:paraId="3CB7072A">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zCs w:val="21"/>
                      <w:lang w:val="en-US" w:eastAsia="zh-CN"/>
                    </w:rPr>
                    <w:t>0.096</w:t>
                  </w:r>
                </w:p>
              </w:tc>
              <w:tc>
                <w:tcPr>
                  <w:tcW w:w="1320" w:type="dxa"/>
                  <w:tcBorders>
                    <w:tl2br w:val="nil"/>
                    <w:tr2bl w:val="nil"/>
                  </w:tcBorders>
                  <w:shd w:val="clear" w:color="auto" w:fill="auto"/>
                  <w:noWrap w:val="0"/>
                  <w:vAlign w:val="center"/>
                </w:tcPr>
                <w:p w14:paraId="0A1B2EAA">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＜10</w:t>
                  </w:r>
                </w:p>
              </w:tc>
            </w:tr>
            <w:tr w14:paraId="10A12B2F">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1339" w:type="dxa"/>
                  <w:vMerge w:val="continue"/>
                  <w:tcBorders>
                    <w:tl2br w:val="nil"/>
                    <w:tr2bl w:val="nil"/>
                  </w:tcBorders>
                  <w:noWrap w:val="0"/>
                  <w:vAlign w:val="center"/>
                </w:tcPr>
                <w:p w14:paraId="5D02E8C4">
                  <w:pPr>
                    <w:spacing w:line="260" w:lineRule="exact"/>
                    <w:jc w:val="center"/>
                    <w:rPr>
                      <w:rFonts w:hint="default" w:ascii="Times New Roman" w:hAnsi="Times New Roman" w:eastAsia="宋体" w:cs="Times New Roman"/>
                      <w:color w:val="auto"/>
                      <w:szCs w:val="21"/>
                      <w:highlight w:val="none"/>
                    </w:rPr>
                  </w:pPr>
                </w:p>
              </w:tc>
              <w:tc>
                <w:tcPr>
                  <w:tcW w:w="1375" w:type="dxa"/>
                  <w:vMerge w:val="continue"/>
                  <w:tcBorders>
                    <w:tl2br w:val="nil"/>
                    <w:tr2bl w:val="nil"/>
                  </w:tcBorders>
                  <w:noWrap w:val="0"/>
                  <w:vAlign w:val="center"/>
                </w:tcPr>
                <w:p w14:paraId="4350A11C">
                  <w:pPr>
                    <w:spacing w:line="260" w:lineRule="exact"/>
                    <w:jc w:val="center"/>
                    <w:rPr>
                      <w:rFonts w:hint="default" w:ascii="Times New Roman" w:hAnsi="Times New Roman" w:eastAsia="宋体" w:cs="Times New Roman"/>
                      <w:color w:val="auto"/>
                      <w:szCs w:val="21"/>
                    </w:rPr>
                  </w:pPr>
                </w:p>
              </w:tc>
              <w:tc>
                <w:tcPr>
                  <w:tcW w:w="1475" w:type="dxa"/>
                  <w:tcBorders>
                    <w:tl2br w:val="nil"/>
                    <w:tr2bl w:val="nil"/>
                  </w:tcBorders>
                  <w:noWrap w:val="0"/>
                  <w:vAlign w:val="center"/>
                </w:tcPr>
                <w:p w14:paraId="4BCC4BB2">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szCs w:val="21"/>
                      <w:lang w:val="en-US" w:eastAsia="zh-CN"/>
                    </w:rPr>
                    <w:t>1-1-4</w:t>
                  </w:r>
                </w:p>
              </w:tc>
              <w:tc>
                <w:tcPr>
                  <w:tcW w:w="1433" w:type="dxa"/>
                  <w:tcBorders>
                    <w:tl2br w:val="nil"/>
                    <w:tr2bl w:val="nil"/>
                  </w:tcBorders>
                  <w:shd w:val="clear" w:color="auto" w:fill="auto"/>
                  <w:noWrap w:val="0"/>
                  <w:vAlign w:val="center"/>
                </w:tcPr>
                <w:p w14:paraId="5ACD5949">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olor w:val="000000"/>
                      <w:kern w:val="0"/>
                      <w:sz w:val="20"/>
                      <w:szCs w:val="20"/>
                      <w:lang w:val="en-US" w:eastAsia="zh-CN"/>
                    </w:rPr>
                    <w:t>＜</w:t>
                  </w:r>
                  <w:r>
                    <w:rPr>
                      <w:rFonts w:hint="eastAsia" w:cs="Times New Roman"/>
                      <w:color w:val="000000" w:themeColor="text1"/>
                      <w:kern w:val="0"/>
                      <w:sz w:val="20"/>
                      <w:szCs w:val="20"/>
                      <w:lang w:val="en-US" w:eastAsia="zh-CN" w:bidi="ar-SA"/>
                      <w14:textFill>
                        <w14:solidFill>
                          <w14:schemeClr w14:val="tx1"/>
                        </w14:solidFill>
                      </w14:textFill>
                    </w:rPr>
                    <w:t>0.2</w:t>
                  </w:r>
                  <w:r>
                    <w:rPr>
                      <w:rFonts w:hint="default" w:ascii="Arial" w:hAnsi="Arial" w:cs="Arial"/>
                      <w:color w:val="000000" w:themeColor="text1"/>
                      <w:kern w:val="0"/>
                      <w:sz w:val="20"/>
                      <w:szCs w:val="20"/>
                      <w:lang w:val="en-US" w:eastAsia="zh-CN" w:bidi="ar-SA"/>
                      <w14:textFill>
                        <w14:solidFill>
                          <w14:schemeClr w14:val="tx1"/>
                        </w14:solidFill>
                      </w14:textFill>
                    </w:rPr>
                    <w:t>×</w:t>
                  </w:r>
                  <w:r>
                    <w:rPr>
                      <w:rFonts w:hint="eastAsia" w:cs="Times New Roman"/>
                      <w:color w:val="000000" w:themeColor="text1"/>
                      <w:kern w:val="0"/>
                      <w:sz w:val="20"/>
                      <w:szCs w:val="20"/>
                      <w:lang w:val="en-US" w:eastAsia="zh-CN" w:bidi="ar-SA"/>
                      <w14:textFill>
                        <w14:solidFill>
                          <w14:schemeClr w14:val="tx1"/>
                        </w14:solidFill>
                      </w14:textFill>
                    </w:rPr>
                    <w:t>10</w:t>
                  </w:r>
                  <w:r>
                    <w:rPr>
                      <w:rFonts w:hint="eastAsia" w:cs="Times New Roman"/>
                      <w:color w:val="000000" w:themeColor="text1"/>
                      <w:kern w:val="0"/>
                      <w:sz w:val="20"/>
                      <w:szCs w:val="20"/>
                      <w:vertAlign w:val="superscript"/>
                      <w:lang w:val="en-US" w:eastAsia="zh-CN" w:bidi="ar-SA"/>
                      <w14:textFill>
                        <w14:solidFill>
                          <w14:schemeClr w14:val="tx1"/>
                        </w14:solidFill>
                      </w14:textFill>
                    </w:rPr>
                    <w:t>-3</w:t>
                  </w:r>
                </w:p>
              </w:tc>
              <w:tc>
                <w:tcPr>
                  <w:tcW w:w="1705" w:type="dxa"/>
                  <w:tcBorders>
                    <w:tl2br w:val="nil"/>
                    <w:tr2bl w:val="nil"/>
                  </w:tcBorders>
                  <w:shd w:val="clear" w:color="auto" w:fill="auto"/>
                  <w:noWrap w:val="0"/>
                  <w:vAlign w:val="center"/>
                </w:tcPr>
                <w:p w14:paraId="2F7C5A37">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zCs w:val="21"/>
                      <w:lang w:val="en-US" w:eastAsia="zh-CN"/>
                    </w:rPr>
                    <w:t>0.088</w:t>
                  </w:r>
                </w:p>
              </w:tc>
              <w:tc>
                <w:tcPr>
                  <w:tcW w:w="1320" w:type="dxa"/>
                  <w:tcBorders>
                    <w:tl2br w:val="nil"/>
                    <w:tr2bl w:val="nil"/>
                  </w:tcBorders>
                  <w:shd w:val="clear" w:color="auto" w:fill="auto"/>
                  <w:noWrap w:val="0"/>
                  <w:vAlign w:val="center"/>
                </w:tcPr>
                <w:p w14:paraId="5F9B8CCF">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＜10</w:t>
                  </w:r>
                </w:p>
              </w:tc>
            </w:tr>
            <w:tr w14:paraId="4877D024">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1339" w:type="dxa"/>
                  <w:vMerge w:val="continue"/>
                  <w:tcBorders>
                    <w:tl2br w:val="nil"/>
                    <w:tr2bl w:val="nil"/>
                  </w:tcBorders>
                  <w:noWrap w:val="0"/>
                  <w:vAlign w:val="center"/>
                </w:tcPr>
                <w:p w14:paraId="4FB2EF6D">
                  <w:pPr>
                    <w:spacing w:line="260" w:lineRule="exact"/>
                    <w:jc w:val="center"/>
                    <w:rPr>
                      <w:rFonts w:hint="default" w:ascii="Times New Roman" w:hAnsi="Times New Roman" w:eastAsia="宋体" w:cs="Times New Roman"/>
                      <w:color w:val="auto"/>
                      <w:szCs w:val="21"/>
                      <w:highlight w:val="none"/>
                    </w:rPr>
                  </w:pPr>
                </w:p>
              </w:tc>
              <w:tc>
                <w:tcPr>
                  <w:tcW w:w="1375" w:type="dxa"/>
                  <w:vMerge w:val="restart"/>
                  <w:tcBorders>
                    <w:tl2br w:val="nil"/>
                    <w:tr2bl w:val="nil"/>
                  </w:tcBorders>
                  <w:noWrap w:val="0"/>
                  <w:vAlign w:val="center"/>
                </w:tcPr>
                <w:p w14:paraId="6E2D42BD">
                  <w:pPr>
                    <w:keepNext w:val="0"/>
                    <w:keepLines w:val="0"/>
                    <w:widowControl/>
                    <w:suppressLineNumbers w:val="0"/>
                    <w:spacing w:before="0" w:beforeAutospacing="0" w:after="0" w:afterAutospacing="0" w:line="240" w:lineRule="auto"/>
                    <w:ind w:left="0" w:leftChars="0" w:right="0" w:rightChars="0"/>
                    <w:jc w:val="center"/>
                    <w:textAlignment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b w:val="0"/>
                      <w:bCs w:val="0"/>
                      <w:color w:val="auto"/>
                      <w:sz w:val="21"/>
                      <w:szCs w:val="21"/>
                      <w:highlight w:val="none"/>
                      <w:lang w:val="en-US" w:eastAsia="zh-CN"/>
                    </w:rPr>
                    <w:t>厂界</w:t>
                  </w:r>
                  <w:r>
                    <w:rPr>
                      <w:rFonts w:hint="default" w:ascii="Times New Roman" w:hAnsi="Times New Roman" w:cs="Times New Roman"/>
                      <w:b w:val="0"/>
                      <w:bCs w:val="0"/>
                      <w:color w:val="auto"/>
                      <w:sz w:val="21"/>
                      <w:szCs w:val="21"/>
                      <w:highlight w:val="none"/>
                      <w:lang w:val="en-US" w:eastAsia="zh-CN"/>
                    </w:rPr>
                    <w:t>外</w:t>
                  </w:r>
                  <w:r>
                    <w:rPr>
                      <w:rFonts w:hint="default" w:ascii="Times New Roman" w:hAnsi="Times New Roman" w:eastAsia="宋体" w:cs="Times New Roman"/>
                      <w:b w:val="0"/>
                      <w:bCs w:val="0"/>
                      <w:color w:val="auto"/>
                      <w:sz w:val="21"/>
                      <w:szCs w:val="21"/>
                      <w:highlight w:val="none"/>
                      <w:lang w:val="en-US" w:eastAsia="zh-CN"/>
                    </w:rPr>
                    <w:t>下风向5</w:t>
                  </w:r>
                  <w:r>
                    <w:rPr>
                      <w:rFonts w:hint="default" w:ascii="Times New Roman" w:hAnsi="Times New Roman" w:cs="Times New Roman"/>
                      <w:b w:val="0"/>
                      <w:bCs w:val="0"/>
                      <w:color w:val="auto"/>
                      <w:sz w:val="21"/>
                      <w:szCs w:val="21"/>
                      <w:highlight w:val="none"/>
                      <w:lang w:val="en-US" w:eastAsia="zh-CN"/>
                    </w:rPr>
                    <w:t>m</w:t>
                  </w:r>
                  <w:r>
                    <w:rPr>
                      <w:rFonts w:hint="default" w:ascii="Times New Roman" w:hAnsi="Times New Roman" w:eastAsia="宋体" w:cs="Times New Roman"/>
                      <w:b w:val="0"/>
                      <w:bCs w:val="0"/>
                      <w:color w:val="auto"/>
                      <w:sz w:val="21"/>
                      <w:szCs w:val="21"/>
                      <w:highlight w:val="none"/>
                      <w:lang w:val="en-US" w:eastAsia="zh-CN"/>
                    </w:rPr>
                    <w:t>处2#</w:t>
                  </w:r>
                </w:p>
              </w:tc>
              <w:tc>
                <w:tcPr>
                  <w:tcW w:w="1475" w:type="dxa"/>
                  <w:tcBorders>
                    <w:tl2br w:val="nil"/>
                    <w:tr2bl w:val="nil"/>
                  </w:tcBorders>
                  <w:noWrap w:val="0"/>
                  <w:vAlign w:val="center"/>
                </w:tcPr>
                <w:p w14:paraId="1A663AFF">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szCs w:val="21"/>
                      <w:lang w:val="en-US" w:eastAsia="zh-CN"/>
                    </w:rPr>
                    <w:t>2-1-1</w:t>
                  </w:r>
                </w:p>
              </w:tc>
              <w:tc>
                <w:tcPr>
                  <w:tcW w:w="1433" w:type="dxa"/>
                  <w:tcBorders>
                    <w:tl2br w:val="nil"/>
                    <w:tr2bl w:val="nil"/>
                  </w:tcBorders>
                  <w:shd w:val="clear" w:color="auto" w:fill="auto"/>
                  <w:noWrap w:val="0"/>
                  <w:vAlign w:val="center"/>
                </w:tcPr>
                <w:p w14:paraId="741C674A">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olor w:val="000000"/>
                      <w:kern w:val="0"/>
                      <w:sz w:val="20"/>
                      <w:szCs w:val="20"/>
                      <w:lang w:val="en-US" w:eastAsia="zh-CN"/>
                    </w:rPr>
                    <w:t>＜</w:t>
                  </w:r>
                  <w:r>
                    <w:rPr>
                      <w:rFonts w:hint="eastAsia" w:cs="Times New Roman"/>
                      <w:color w:val="000000" w:themeColor="text1"/>
                      <w:kern w:val="0"/>
                      <w:sz w:val="20"/>
                      <w:szCs w:val="20"/>
                      <w:lang w:val="en-US" w:eastAsia="zh-CN" w:bidi="ar-SA"/>
                      <w14:textFill>
                        <w14:solidFill>
                          <w14:schemeClr w14:val="tx1"/>
                        </w14:solidFill>
                      </w14:textFill>
                    </w:rPr>
                    <w:t>0.2</w:t>
                  </w:r>
                  <w:r>
                    <w:rPr>
                      <w:rFonts w:hint="default" w:ascii="Arial" w:hAnsi="Arial" w:cs="Arial"/>
                      <w:color w:val="000000" w:themeColor="text1"/>
                      <w:kern w:val="0"/>
                      <w:sz w:val="20"/>
                      <w:szCs w:val="20"/>
                      <w:lang w:val="en-US" w:eastAsia="zh-CN" w:bidi="ar-SA"/>
                      <w14:textFill>
                        <w14:solidFill>
                          <w14:schemeClr w14:val="tx1"/>
                        </w14:solidFill>
                      </w14:textFill>
                    </w:rPr>
                    <w:t>×</w:t>
                  </w:r>
                  <w:r>
                    <w:rPr>
                      <w:rFonts w:hint="eastAsia" w:cs="Times New Roman"/>
                      <w:color w:val="000000" w:themeColor="text1"/>
                      <w:kern w:val="0"/>
                      <w:sz w:val="20"/>
                      <w:szCs w:val="20"/>
                      <w:lang w:val="en-US" w:eastAsia="zh-CN" w:bidi="ar-SA"/>
                      <w14:textFill>
                        <w14:solidFill>
                          <w14:schemeClr w14:val="tx1"/>
                        </w14:solidFill>
                      </w14:textFill>
                    </w:rPr>
                    <w:t>10</w:t>
                  </w:r>
                  <w:r>
                    <w:rPr>
                      <w:rFonts w:hint="eastAsia" w:cs="Times New Roman"/>
                      <w:color w:val="000000" w:themeColor="text1"/>
                      <w:kern w:val="0"/>
                      <w:sz w:val="20"/>
                      <w:szCs w:val="20"/>
                      <w:vertAlign w:val="superscript"/>
                      <w:lang w:val="en-US" w:eastAsia="zh-CN" w:bidi="ar-SA"/>
                      <w14:textFill>
                        <w14:solidFill>
                          <w14:schemeClr w14:val="tx1"/>
                        </w14:solidFill>
                      </w14:textFill>
                    </w:rPr>
                    <w:t>-3</w:t>
                  </w:r>
                </w:p>
              </w:tc>
              <w:tc>
                <w:tcPr>
                  <w:tcW w:w="1705" w:type="dxa"/>
                  <w:tcBorders>
                    <w:tl2br w:val="nil"/>
                    <w:tr2bl w:val="nil"/>
                  </w:tcBorders>
                  <w:shd w:val="clear" w:color="auto" w:fill="auto"/>
                  <w:noWrap w:val="0"/>
                  <w:vAlign w:val="center"/>
                </w:tcPr>
                <w:p w14:paraId="10E1B1BC">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zCs w:val="21"/>
                      <w:lang w:val="en-US" w:eastAsia="zh-CN"/>
                    </w:rPr>
                    <w:t>0.033</w:t>
                  </w:r>
                </w:p>
              </w:tc>
              <w:tc>
                <w:tcPr>
                  <w:tcW w:w="1320" w:type="dxa"/>
                  <w:tcBorders>
                    <w:tl2br w:val="nil"/>
                    <w:tr2bl w:val="nil"/>
                  </w:tcBorders>
                  <w:shd w:val="clear" w:color="auto" w:fill="auto"/>
                  <w:noWrap w:val="0"/>
                  <w:vAlign w:val="center"/>
                </w:tcPr>
                <w:p w14:paraId="28058B14">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＜10</w:t>
                  </w:r>
                </w:p>
              </w:tc>
            </w:tr>
            <w:tr w14:paraId="35C4A034">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1339" w:type="dxa"/>
                  <w:vMerge w:val="continue"/>
                  <w:tcBorders>
                    <w:tl2br w:val="nil"/>
                    <w:tr2bl w:val="nil"/>
                  </w:tcBorders>
                  <w:noWrap w:val="0"/>
                  <w:vAlign w:val="center"/>
                </w:tcPr>
                <w:p w14:paraId="52EE31C7">
                  <w:pPr>
                    <w:spacing w:line="260" w:lineRule="exact"/>
                    <w:jc w:val="center"/>
                    <w:rPr>
                      <w:rFonts w:hint="default" w:ascii="Times New Roman" w:hAnsi="Times New Roman" w:eastAsia="宋体" w:cs="Times New Roman"/>
                      <w:color w:val="auto"/>
                      <w:szCs w:val="21"/>
                      <w:highlight w:val="none"/>
                    </w:rPr>
                  </w:pPr>
                </w:p>
              </w:tc>
              <w:tc>
                <w:tcPr>
                  <w:tcW w:w="1375" w:type="dxa"/>
                  <w:vMerge w:val="continue"/>
                  <w:tcBorders>
                    <w:tl2br w:val="nil"/>
                    <w:tr2bl w:val="nil"/>
                  </w:tcBorders>
                  <w:noWrap w:val="0"/>
                  <w:vAlign w:val="center"/>
                </w:tcPr>
                <w:p w14:paraId="5E2E023F">
                  <w:pPr>
                    <w:spacing w:line="260" w:lineRule="exact"/>
                    <w:jc w:val="center"/>
                    <w:rPr>
                      <w:rFonts w:hint="default" w:ascii="Times New Roman" w:hAnsi="Times New Roman" w:eastAsia="宋体" w:cs="Times New Roman"/>
                      <w:color w:val="auto"/>
                      <w:szCs w:val="21"/>
                    </w:rPr>
                  </w:pPr>
                </w:p>
              </w:tc>
              <w:tc>
                <w:tcPr>
                  <w:tcW w:w="1475" w:type="dxa"/>
                  <w:tcBorders>
                    <w:tl2br w:val="nil"/>
                    <w:tr2bl w:val="nil"/>
                  </w:tcBorders>
                  <w:noWrap w:val="0"/>
                  <w:vAlign w:val="center"/>
                </w:tcPr>
                <w:p w14:paraId="5651311D">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szCs w:val="21"/>
                      <w:lang w:val="en-US" w:eastAsia="zh-CN"/>
                    </w:rPr>
                    <w:t>2-1-2</w:t>
                  </w:r>
                </w:p>
              </w:tc>
              <w:tc>
                <w:tcPr>
                  <w:tcW w:w="1433" w:type="dxa"/>
                  <w:tcBorders>
                    <w:tl2br w:val="nil"/>
                    <w:tr2bl w:val="nil"/>
                  </w:tcBorders>
                  <w:shd w:val="clear" w:color="auto" w:fill="auto"/>
                  <w:noWrap w:val="0"/>
                  <w:vAlign w:val="center"/>
                </w:tcPr>
                <w:p w14:paraId="3BE53269">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olor w:val="000000"/>
                      <w:kern w:val="0"/>
                      <w:sz w:val="20"/>
                      <w:szCs w:val="20"/>
                      <w:lang w:val="en-US" w:eastAsia="zh-CN"/>
                    </w:rPr>
                    <w:t>＜</w:t>
                  </w:r>
                  <w:r>
                    <w:rPr>
                      <w:rFonts w:hint="eastAsia" w:cs="Times New Roman"/>
                      <w:color w:val="000000" w:themeColor="text1"/>
                      <w:kern w:val="0"/>
                      <w:sz w:val="20"/>
                      <w:szCs w:val="20"/>
                      <w:lang w:val="en-US" w:eastAsia="zh-CN" w:bidi="ar-SA"/>
                      <w14:textFill>
                        <w14:solidFill>
                          <w14:schemeClr w14:val="tx1"/>
                        </w14:solidFill>
                      </w14:textFill>
                    </w:rPr>
                    <w:t>0.2</w:t>
                  </w:r>
                  <w:r>
                    <w:rPr>
                      <w:rFonts w:hint="default" w:ascii="Arial" w:hAnsi="Arial" w:cs="Arial"/>
                      <w:color w:val="000000" w:themeColor="text1"/>
                      <w:kern w:val="0"/>
                      <w:sz w:val="20"/>
                      <w:szCs w:val="20"/>
                      <w:lang w:val="en-US" w:eastAsia="zh-CN" w:bidi="ar-SA"/>
                      <w14:textFill>
                        <w14:solidFill>
                          <w14:schemeClr w14:val="tx1"/>
                        </w14:solidFill>
                      </w14:textFill>
                    </w:rPr>
                    <w:t>×</w:t>
                  </w:r>
                  <w:r>
                    <w:rPr>
                      <w:rFonts w:hint="eastAsia" w:cs="Times New Roman"/>
                      <w:color w:val="000000" w:themeColor="text1"/>
                      <w:kern w:val="0"/>
                      <w:sz w:val="20"/>
                      <w:szCs w:val="20"/>
                      <w:lang w:val="en-US" w:eastAsia="zh-CN" w:bidi="ar-SA"/>
                      <w14:textFill>
                        <w14:solidFill>
                          <w14:schemeClr w14:val="tx1"/>
                        </w14:solidFill>
                      </w14:textFill>
                    </w:rPr>
                    <w:t>10</w:t>
                  </w:r>
                  <w:r>
                    <w:rPr>
                      <w:rFonts w:hint="eastAsia" w:cs="Times New Roman"/>
                      <w:color w:val="000000" w:themeColor="text1"/>
                      <w:kern w:val="0"/>
                      <w:sz w:val="20"/>
                      <w:szCs w:val="20"/>
                      <w:vertAlign w:val="superscript"/>
                      <w:lang w:val="en-US" w:eastAsia="zh-CN" w:bidi="ar-SA"/>
                      <w14:textFill>
                        <w14:solidFill>
                          <w14:schemeClr w14:val="tx1"/>
                        </w14:solidFill>
                      </w14:textFill>
                    </w:rPr>
                    <w:t>-3</w:t>
                  </w:r>
                </w:p>
              </w:tc>
              <w:tc>
                <w:tcPr>
                  <w:tcW w:w="1705" w:type="dxa"/>
                  <w:tcBorders>
                    <w:tl2br w:val="nil"/>
                    <w:tr2bl w:val="nil"/>
                  </w:tcBorders>
                  <w:shd w:val="clear" w:color="auto" w:fill="auto"/>
                  <w:noWrap w:val="0"/>
                  <w:vAlign w:val="center"/>
                </w:tcPr>
                <w:p w14:paraId="140CBCB0">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zCs w:val="21"/>
                      <w:lang w:val="en-US" w:eastAsia="zh-CN"/>
                    </w:rPr>
                    <w:t>0.104</w:t>
                  </w:r>
                </w:p>
              </w:tc>
              <w:tc>
                <w:tcPr>
                  <w:tcW w:w="1320" w:type="dxa"/>
                  <w:tcBorders>
                    <w:tl2br w:val="nil"/>
                    <w:tr2bl w:val="nil"/>
                  </w:tcBorders>
                  <w:shd w:val="clear" w:color="auto" w:fill="auto"/>
                  <w:noWrap w:val="0"/>
                  <w:vAlign w:val="center"/>
                </w:tcPr>
                <w:p w14:paraId="5D6A5C1A">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＜10</w:t>
                  </w:r>
                </w:p>
              </w:tc>
            </w:tr>
            <w:tr w14:paraId="3D8FD744">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1339" w:type="dxa"/>
                  <w:vMerge w:val="continue"/>
                  <w:tcBorders>
                    <w:tl2br w:val="nil"/>
                    <w:tr2bl w:val="nil"/>
                  </w:tcBorders>
                  <w:noWrap w:val="0"/>
                  <w:vAlign w:val="center"/>
                </w:tcPr>
                <w:p w14:paraId="56DA228C">
                  <w:pPr>
                    <w:spacing w:line="260" w:lineRule="exact"/>
                    <w:jc w:val="center"/>
                    <w:rPr>
                      <w:rFonts w:hint="default" w:ascii="Times New Roman" w:hAnsi="Times New Roman" w:eastAsia="宋体" w:cs="Times New Roman"/>
                      <w:color w:val="auto"/>
                      <w:szCs w:val="21"/>
                      <w:highlight w:val="none"/>
                    </w:rPr>
                  </w:pPr>
                </w:p>
              </w:tc>
              <w:tc>
                <w:tcPr>
                  <w:tcW w:w="1375" w:type="dxa"/>
                  <w:vMerge w:val="continue"/>
                  <w:tcBorders>
                    <w:tl2br w:val="nil"/>
                    <w:tr2bl w:val="nil"/>
                  </w:tcBorders>
                  <w:noWrap w:val="0"/>
                  <w:vAlign w:val="center"/>
                </w:tcPr>
                <w:p w14:paraId="74C039F6">
                  <w:pPr>
                    <w:spacing w:line="260" w:lineRule="exact"/>
                    <w:jc w:val="center"/>
                    <w:rPr>
                      <w:rFonts w:hint="default" w:ascii="Times New Roman" w:hAnsi="Times New Roman" w:eastAsia="宋体" w:cs="Times New Roman"/>
                      <w:color w:val="auto"/>
                      <w:szCs w:val="21"/>
                    </w:rPr>
                  </w:pPr>
                </w:p>
              </w:tc>
              <w:tc>
                <w:tcPr>
                  <w:tcW w:w="1475" w:type="dxa"/>
                  <w:tcBorders>
                    <w:tl2br w:val="nil"/>
                    <w:tr2bl w:val="nil"/>
                  </w:tcBorders>
                  <w:noWrap w:val="0"/>
                  <w:vAlign w:val="center"/>
                </w:tcPr>
                <w:p w14:paraId="235465D7">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szCs w:val="21"/>
                      <w:lang w:val="en-US" w:eastAsia="zh-CN"/>
                    </w:rPr>
                    <w:t>2-1-3</w:t>
                  </w:r>
                </w:p>
              </w:tc>
              <w:tc>
                <w:tcPr>
                  <w:tcW w:w="1433" w:type="dxa"/>
                  <w:tcBorders>
                    <w:tl2br w:val="nil"/>
                    <w:tr2bl w:val="nil"/>
                  </w:tcBorders>
                  <w:shd w:val="clear" w:color="auto" w:fill="auto"/>
                  <w:noWrap w:val="0"/>
                  <w:vAlign w:val="center"/>
                </w:tcPr>
                <w:p w14:paraId="583FC07E">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olor w:val="000000"/>
                      <w:kern w:val="0"/>
                      <w:sz w:val="20"/>
                      <w:szCs w:val="20"/>
                      <w:lang w:val="en-US" w:eastAsia="zh-CN"/>
                    </w:rPr>
                    <w:t>＜</w:t>
                  </w:r>
                  <w:r>
                    <w:rPr>
                      <w:rFonts w:hint="eastAsia" w:cs="Times New Roman"/>
                      <w:color w:val="000000" w:themeColor="text1"/>
                      <w:kern w:val="0"/>
                      <w:sz w:val="20"/>
                      <w:szCs w:val="20"/>
                      <w:lang w:val="en-US" w:eastAsia="zh-CN" w:bidi="ar-SA"/>
                      <w14:textFill>
                        <w14:solidFill>
                          <w14:schemeClr w14:val="tx1"/>
                        </w14:solidFill>
                      </w14:textFill>
                    </w:rPr>
                    <w:t>0.2</w:t>
                  </w:r>
                  <w:r>
                    <w:rPr>
                      <w:rFonts w:hint="default" w:ascii="Arial" w:hAnsi="Arial" w:cs="Arial"/>
                      <w:color w:val="000000" w:themeColor="text1"/>
                      <w:kern w:val="0"/>
                      <w:sz w:val="20"/>
                      <w:szCs w:val="20"/>
                      <w:lang w:val="en-US" w:eastAsia="zh-CN" w:bidi="ar-SA"/>
                      <w14:textFill>
                        <w14:solidFill>
                          <w14:schemeClr w14:val="tx1"/>
                        </w14:solidFill>
                      </w14:textFill>
                    </w:rPr>
                    <w:t>×</w:t>
                  </w:r>
                  <w:r>
                    <w:rPr>
                      <w:rFonts w:hint="eastAsia" w:cs="Times New Roman"/>
                      <w:color w:val="000000" w:themeColor="text1"/>
                      <w:kern w:val="0"/>
                      <w:sz w:val="20"/>
                      <w:szCs w:val="20"/>
                      <w:lang w:val="en-US" w:eastAsia="zh-CN" w:bidi="ar-SA"/>
                      <w14:textFill>
                        <w14:solidFill>
                          <w14:schemeClr w14:val="tx1"/>
                        </w14:solidFill>
                      </w14:textFill>
                    </w:rPr>
                    <w:t>10</w:t>
                  </w:r>
                  <w:r>
                    <w:rPr>
                      <w:rFonts w:hint="eastAsia" w:cs="Times New Roman"/>
                      <w:color w:val="000000" w:themeColor="text1"/>
                      <w:kern w:val="0"/>
                      <w:sz w:val="20"/>
                      <w:szCs w:val="20"/>
                      <w:vertAlign w:val="superscript"/>
                      <w:lang w:val="en-US" w:eastAsia="zh-CN" w:bidi="ar-SA"/>
                      <w14:textFill>
                        <w14:solidFill>
                          <w14:schemeClr w14:val="tx1"/>
                        </w14:solidFill>
                      </w14:textFill>
                    </w:rPr>
                    <w:t>-3</w:t>
                  </w:r>
                </w:p>
              </w:tc>
              <w:tc>
                <w:tcPr>
                  <w:tcW w:w="1705" w:type="dxa"/>
                  <w:tcBorders>
                    <w:tl2br w:val="nil"/>
                    <w:tr2bl w:val="nil"/>
                  </w:tcBorders>
                  <w:shd w:val="clear" w:color="auto" w:fill="auto"/>
                  <w:noWrap w:val="0"/>
                  <w:vAlign w:val="center"/>
                </w:tcPr>
                <w:p w14:paraId="568634F8">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zCs w:val="21"/>
                      <w:lang w:val="en-US" w:eastAsia="zh-CN"/>
                    </w:rPr>
                    <w:t>0.092</w:t>
                  </w:r>
                </w:p>
              </w:tc>
              <w:tc>
                <w:tcPr>
                  <w:tcW w:w="1320" w:type="dxa"/>
                  <w:tcBorders>
                    <w:tl2br w:val="nil"/>
                    <w:tr2bl w:val="nil"/>
                  </w:tcBorders>
                  <w:shd w:val="clear" w:color="auto" w:fill="auto"/>
                  <w:noWrap w:val="0"/>
                  <w:vAlign w:val="center"/>
                </w:tcPr>
                <w:p w14:paraId="1C95971C">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＜10</w:t>
                  </w:r>
                </w:p>
              </w:tc>
            </w:tr>
            <w:tr w14:paraId="1F2B4481">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1339" w:type="dxa"/>
                  <w:vMerge w:val="continue"/>
                  <w:tcBorders>
                    <w:tl2br w:val="nil"/>
                    <w:tr2bl w:val="nil"/>
                  </w:tcBorders>
                  <w:noWrap w:val="0"/>
                  <w:vAlign w:val="center"/>
                </w:tcPr>
                <w:p w14:paraId="2BAF960B">
                  <w:pPr>
                    <w:spacing w:line="260" w:lineRule="exact"/>
                    <w:jc w:val="center"/>
                    <w:rPr>
                      <w:rFonts w:hint="default" w:ascii="Times New Roman" w:hAnsi="Times New Roman" w:eastAsia="宋体" w:cs="Times New Roman"/>
                      <w:color w:val="auto"/>
                      <w:szCs w:val="21"/>
                      <w:highlight w:val="none"/>
                    </w:rPr>
                  </w:pPr>
                </w:p>
              </w:tc>
              <w:tc>
                <w:tcPr>
                  <w:tcW w:w="1375" w:type="dxa"/>
                  <w:vMerge w:val="continue"/>
                  <w:tcBorders>
                    <w:tl2br w:val="nil"/>
                    <w:tr2bl w:val="nil"/>
                  </w:tcBorders>
                  <w:noWrap w:val="0"/>
                  <w:vAlign w:val="center"/>
                </w:tcPr>
                <w:p w14:paraId="467637F3">
                  <w:pPr>
                    <w:spacing w:line="260" w:lineRule="exact"/>
                    <w:jc w:val="center"/>
                    <w:rPr>
                      <w:rFonts w:hint="default" w:ascii="Times New Roman" w:hAnsi="Times New Roman" w:eastAsia="宋体" w:cs="Times New Roman"/>
                      <w:color w:val="auto"/>
                      <w:szCs w:val="21"/>
                    </w:rPr>
                  </w:pPr>
                </w:p>
              </w:tc>
              <w:tc>
                <w:tcPr>
                  <w:tcW w:w="1475" w:type="dxa"/>
                  <w:tcBorders>
                    <w:tl2br w:val="nil"/>
                    <w:tr2bl w:val="nil"/>
                  </w:tcBorders>
                  <w:noWrap w:val="0"/>
                  <w:vAlign w:val="center"/>
                </w:tcPr>
                <w:p w14:paraId="7F6F4E2A">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szCs w:val="21"/>
                      <w:lang w:val="en-US" w:eastAsia="zh-CN"/>
                    </w:rPr>
                    <w:t>2-1-4</w:t>
                  </w:r>
                </w:p>
              </w:tc>
              <w:tc>
                <w:tcPr>
                  <w:tcW w:w="1433" w:type="dxa"/>
                  <w:tcBorders>
                    <w:tl2br w:val="nil"/>
                    <w:tr2bl w:val="nil"/>
                  </w:tcBorders>
                  <w:shd w:val="clear" w:color="auto" w:fill="auto"/>
                  <w:noWrap w:val="0"/>
                  <w:vAlign w:val="center"/>
                </w:tcPr>
                <w:p w14:paraId="66F3CB8B">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olor w:val="000000"/>
                      <w:kern w:val="0"/>
                      <w:sz w:val="20"/>
                      <w:szCs w:val="20"/>
                      <w:lang w:val="en-US" w:eastAsia="zh-CN"/>
                    </w:rPr>
                    <w:t>＜</w:t>
                  </w:r>
                  <w:r>
                    <w:rPr>
                      <w:rFonts w:hint="eastAsia" w:cs="Times New Roman"/>
                      <w:color w:val="000000" w:themeColor="text1"/>
                      <w:kern w:val="0"/>
                      <w:sz w:val="20"/>
                      <w:szCs w:val="20"/>
                      <w:lang w:val="en-US" w:eastAsia="zh-CN" w:bidi="ar-SA"/>
                      <w14:textFill>
                        <w14:solidFill>
                          <w14:schemeClr w14:val="tx1"/>
                        </w14:solidFill>
                      </w14:textFill>
                    </w:rPr>
                    <w:t>0.2</w:t>
                  </w:r>
                  <w:r>
                    <w:rPr>
                      <w:rFonts w:hint="default" w:ascii="Arial" w:hAnsi="Arial" w:cs="Arial"/>
                      <w:color w:val="000000" w:themeColor="text1"/>
                      <w:kern w:val="0"/>
                      <w:sz w:val="20"/>
                      <w:szCs w:val="20"/>
                      <w:lang w:val="en-US" w:eastAsia="zh-CN" w:bidi="ar-SA"/>
                      <w14:textFill>
                        <w14:solidFill>
                          <w14:schemeClr w14:val="tx1"/>
                        </w14:solidFill>
                      </w14:textFill>
                    </w:rPr>
                    <w:t>×</w:t>
                  </w:r>
                  <w:r>
                    <w:rPr>
                      <w:rFonts w:hint="eastAsia" w:cs="Times New Roman"/>
                      <w:color w:val="000000" w:themeColor="text1"/>
                      <w:kern w:val="0"/>
                      <w:sz w:val="20"/>
                      <w:szCs w:val="20"/>
                      <w:lang w:val="en-US" w:eastAsia="zh-CN" w:bidi="ar-SA"/>
                      <w14:textFill>
                        <w14:solidFill>
                          <w14:schemeClr w14:val="tx1"/>
                        </w14:solidFill>
                      </w14:textFill>
                    </w:rPr>
                    <w:t>10</w:t>
                  </w:r>
                  <w:r>
                    <w:rPr>
                      <w:rFonts w:hint="eastAsia" w:cs="Times New Roman"/>
                      <w:color w:val="000000" w:themeColor="text1"/>
                      <w:kern w:val="0"/>
                      <w:sz w:val="20"/>
                      <w:szCs w:val="20"/>
                      <w:vertAlign w:val="superscript"/>
                      <w:lang w:val="en-US" w:eastAsia="zh-CN" w:bidi="ar-SA"/>
                      <w14:textFill>
                        <w14:solidFill>
                          <w14:schemeClr w14:val="tx1"/>
                        </w14:solidFill>
                      </w14:textFill>
                    </w:rPr>
                    <w:t>-3</w:t>
                  </w:r>
                </w:p>
              </w:tc>
              <w:tc>
                <w:tcPr>
                  <w:tcW w:w="1705" w:type="dxa"/>
                  <w:tcBorders>
                    <w:tl2br w:val="nil"/>
                    <w:tr2bl w:val="nil"/>
                  </w:tcBorders>
                  <w:shd w:val="clear" w:color="auto" w:fill="auto"/>
                  <w:noWrap w:val="0"/>
                  <w:vAlign w:val="center"/>
                </w:tcPr>
                <w:p w14:paraId="4D89A85D">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zCs w:val="21"/>
                      <w:lang w:val="en-US" w:eastAsia="zh-CN"/>
                    </w:rPr>
                    <w:t>0.080</w:t>
                  </w:r>
                </w:p>
              </w:tc>
              <w:tc>
                <w:tcPr>
                  <w:tcW w:w="1320" w:type="dxa"/>
                  <w:tcBorders>
                    <w:tl2br w:val="nil"/>
                    <w:tr2bl w:val="nil"/>
                  </w:tcBorders>
                  <w:shd w:val="clear" w:color="auto" w:fill="auto"/>
                  <w:noWrap w:val="0"/>
                  <w:vAlign w:val="center"/>
                </w:tcPr>
                <w:p w14:paraId="3EB1245B">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＜10</w:t>
                  </w:r>
                </w:p>
              </w:tc>
            </w:tr>
            <w:tr w14:paraId="7111A671">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1339" w:type="dxa"/>
                  <w:vMerge w:val="continue"/>
                  <w:tcBorders>
                    <w:tl2br w:val="nil"/>
                    <w:tr2bl w:val="nil"/>
                  </w:tcBorders>
                  <w:noWrap w:val="0"/>
                  <w:vAlign w:val="center"/>
                </w:tcPr>
                <w:p w14:paraId="22A9094C">
                  <w:pPr>
                    <w:spacing w:line="260" w:lineRule="exact"/>
                    <w:jc w:val="center"/>
                    <w:rPr>
                      <w:rFonts w:hint="default" w:ascii="Times New Roman" w:hAnsi="Times New Roman" w:eastAsia="宋体" w:cs="Times New Roman"/>
                      <w:color w:val="auto"/>
                      <w:szCs w:val="21"/>
                      <w:highlight w:val="none"/>
                    </w:rPr>
                  </w:pPr>
                </w:p>
              </w:tc>
              <w:tc>
                <w:tcPr>
                  <w:tcW w:w="1375" w:type="dxa"/>
                  <w:vMerge w:val="restart"/>
                  <w:tcBorders>
                    <w:tl2br w:val="nil"/>
                    <w:tr2bl w:val="nil"/>
                  </w:tcBorders>
                  <w:noWrap w:val="0"/>
                  <w:vAlign w:val="center"/>
                </w:tcPr>
                <w:p w14:paraId="258E8F3E">
                  <w:pPr>
                    <w:keepNext w:val="0"/>
                    <w:keepLines w:val="0"/>
                    <w:widowControl/>
                    <w:suppressLineNumbers w:val="0"/>
                    <w:spacing w:before="0" w:beforeAutospacing="0" w:after="0" w:afterAutospacing="0" w:line="240" w:lineRule="auto"/>
                    <w:ind w:left="0" w:leftChars="0" w:right="0" w:rightChars="0"/>
                    <w:jc w:val="center"/>
                    <w:textAlignment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b w:val="0"/>
                      <w:bCs w:val="0"/>
                      <w:color w:val="auto"/>
                      <w:sz w:val="21"/>
                      <w:szCs w:val="21"/>
                      <w:highlight w:val="none"/>
                      <w:lang w:val="en-US" w:eastAsia="zh-CN"/>
                    </w:rPr>
                    <w:t>厂界</w:t>
                  </w:r>
                  <w:r>
                    <w:rPr>
                      <w:rFonts w:hint="default" w:ascii="Times New Roman" w:hAnsi="Times New Roman" w:cs="Times New Roman"/>
                      <w:b w:val="0"/>
                      <w:bCs w:val="0"/>
                      <w:color w:val="auto"/>
                      <w:sz w:val="21"/>
                      <w:szCs w:val="21"/>
                      <w:highlight w:val="none"/>
                      <w:lang w:val="en-US" w:eastAsia="zh-CN"/>
                    </w:rPr>
                    <w:t>外</w:t>
                  </w:r>
                  <w:r>
                    <w:rPr>
                      <w:rFonts w:hint="default" w:ascii="Times New Roman" w:hAnsi="Times New Roman" w:eastAsia="宋体" w:cs="Times New Roman"/>
                      <w:b w:val="0"/>
                      <w:bCs w:val="0"/>
                      <w:color w:val="auto"/>
                      <w:sz w:val="21"/>
                      <w:szCs w:val="21"/>
                      <w:highlight w:val="none"/>
                      <w:lang w:val="en-US" w:eastAsia="zh-CN"/>
                    </w:rPr>
                    <w:t>下风向5</w:t>
                  </w:r>
                  <w:r>
                    <w:rPr>
                      <w:rFonts w:hint="default" w:ascii="Times New Roman" w:hAnsi="Times New Roman" w:cs="Times New Roman"/>
                      <w:b w:val="0"/>
                      <w:bCs w:val="0"/>
                      <w:color w:val="auto"/>
                      <w:sz w:val="21"/>
                      <w:szCs w:val="21"/>
                      <w:highlight w:val="none"/>
                      <w:lang w:val="en-US" w:eastAsia="zh-CN"/>
                    </w:rPr>
                    <w:t>m</w:t>
                  </w:r>
                  <w:r>
                    <w:rPr>
                      <w:rFonts w:hint="default" w:ascii="Times New Roman" w:hAnsi="Times New Roman" w:eastAsia="宋体" w:cs="Times New Roman"/>
                      <w:b w:val="0"/>
                      <w:bCs w:val="0"/>
                      <w:color w:val="auto"/>
                      <w:sz w:val="21"/>
                      <w:szCs w:val="21"/>
                      <w:highlight w:val="none"/>
                      <w:lang w:val="en-US" w:eastAsia="zh-CN"/>
                    </w:rPr>
                    <w:t>处3#</w:t>
                  </w:r>
                </w:p>
              </w:tc>
              <w:tc>
                <w:tcPr>
                  <w:tcW w:w="1475" w:type="dxa"/>
                  <w:tcBorders>
                    <w:tl2br w:val="nil"/>
                    <w:tr2bl w:val="nil"/>
                  </w:tcBorders>
                  <w:noWrap w:val="0"/>
                  <w:vAlign w:val="center"/>
                </w:tcPr>
                <w:p w14:paraId="4AE3682A">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szCs w:val="21"/>
                      <w:lang w:val="en-US" w:eastAsia="zh-CN"/>
                    </w:rPr>
                    <w:t>3-1-1</w:t>
                  </w:r>
                </w:p>
              </w:tc>
              <w:tc>
                <w:tcPr>
                  <w:tcW w:w="1433" w:type="dxa"/>
                  <w:tcBorders>
                    <w:tl2br w:val="nil"/>
                    <w:tr2bl w:val="nil"/>
                  </w:tcBorders>
                  <w:shd w:val="clear" w:color="auto" w:fill="auto"/>
                  <w:noWrap w:val="0"/>
                  <w:vAlign w:val="center"/>
                </w:tcPr>
                <w:p w14:paraId="72255C33">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olor w:val="000000"/>
                      <w:kern w:val="0"/>
                      <w:sz w:val="20"/>
                      <w:szCs w:val="20"/>
                      <w:lang w:val="en-US" w:eastAsia="zh-CN"/>
                    </w:rPr>
                    <w:t>＜</w:t>
                  </w:r>
                  <w:r>
                    <w:rPr>
                      <w:rFonts w:hint="eastAsia" w:cs="Times New Roman"/>
                      <w:color w:val="000000" w:themeColor="text1"/>
                      <w:kern w:val="0"/>
                      <w:sz w:val="20"/>
                      <w:szCs w:val="20"/>
                      <w:lang w:val="en-US" w:eastAsia="zh-CN" w:bidi="ar-SA"/>
                      <w14:textFill>
                        <w14:solidFill>
                          <w14:schemeClr w14:val="tx1"/>
                        </w14:solidFill>
                      </w14:textFill>
                    </w:rPr>
                    <w:t>0.2</w:t>
                  </w:r>
                  <w:r>
                    <w:rPr>
                      <w:rFonts w:hint="default" w:ascii="Arial" w:hAnsi="Arial" w:cs="Arial"/>
                      <w:color w:val="000000" w:themeColor="text1"/>
                      <w:kern w:val="0"/>
                      <w:sz w:val="20"/>
                      <w:szCs w:val="20"/>
                      <w:lang w:val="en-US" w:eastAsia="zh-CN" w:bidi="ar-SA"/>
                      <w14:textFill>
                        <w14:solidFill>
                          <w14:schemeClr w14:val="tx1"/>
                        </w14:solidFill>
                      </w14:textFill>
                    </w:rPr>
                    <w:t>×</w:t>
                  </w:r>
                  <w:r>
                    <w:rPr>
                      <w:rFonts w:hint="eastAsia" w:cs="Times New Roman"/>
                      <w:color w:val="000000" w:themeColor="text1"/>
                      <w:kern w:val="0"/>
                      <w:sz w:val="20"/>
                      <w:szCs w:val="20"/>
                      <w:lang w:val="en-US" w:eastAsia="zh-CN" w:bidi="ar-SA"/>
                      <w14:textFill>
                        <w14:solidFill>
                          <w14:schemeClr w14:val="tx1"/>
                        </w14:solidFill>
                      </w14:textFill>
                    </w:rPr>
                    <w:t>10</w:t>
                  </w:r>
                  <w:r>
                    <w:rPr>
                      <w:rFonts w:hint="eastAsia" w:cs="Times New Roman"/>
                      <w:color w:val="000000" w:themeColor="text1"/>
                      <w:kern w:val="0"/>
                      <w:sz w:val="20"/>
                      <w:szCs w:val="20"/>
                      <w:vertAlign w:val="superscript"/>
                      <w:lang w:val="en-US" w:eastAsia="zh-CN" w:bidi="ar-SA"/>
                      <w14:textFill>
                        <w14:solidFill>
                          <w14:schemeClr w14:val="tx1"/>
                        </w14:solidFill>
                      </w14:textFill>
                    </w:rPr>
                    <w:t>-3</w:t>
                  </w:r>
                </w:p>
              </w:tc>
              <w:tc>
                <w:tcPr>
                  <w:tcW w:w="1705" w:type="dxa"/>
                  <w:tcBorders>
                    <w:tl2br w:val="nil"/>
                    <w:tr2bl w:val="nil"/>
                  </w:tcBorders>
                  <w:shd w:val="clear" w:color="auto" w:fill="auto"/>
                  <w:noWrap w:val="0"/>
                  <w:vAlign w:val="center"/>
                </w:tcPr>
                <w:p w14:paraId="65DEC269">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zCs w:val="21"/>
                      <w:lang w:val="en-US" w:eastAsia="zh-CN"/>
                    </w:rPr>
                    <w:t>0.100</w:t>
                  </w:r>
                </w:p>
              </w:tc>
              <w:tc>
                <w:tcPr>
                  <w:tcW w:w="1320" w:type="dxa"/>
                  <w:tcBorders>
                    <w:tl2br w:val="nil"/>
                    <w:tr2bl w:val="nil"/>
                  </w:tcBorders>
                  <w:shd w:val="clear" w:color="auto" w:fill="auto"/>
                  <w:noWrap w:val="0"/>
                  <w:vAlign w:val="center"/>
                </w:tcPr>
                <w:p w14:paraId="169F9EF9">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＜10</w:t>
                  </w:r>
                </w:p>
              </w:tc>
            </w:tr>
            <w:tr w14:paraId="7DD02A0C">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1339" w:type="dxa"/>
                  <w:vMerge w:val="continue"/>
                  <w:tcBorders>
                    <w:tl2br w:val="nil"/>
                    <w:tr2bl w:val="nil"/>
                  </w:tcBorders>
                  <w:noWrap w:val="0"/>
                  <w:vAlign w:val="center"/>
                </w:tcPr>
                <w:p w14:paraId="6F231A59">
                  <w:pPr>
                    <w:spacing w:line="260" w:lineRule="exact"/>
                    <w:jc w:val="center"/>
                    <w:rPr>
                      <w:rFonts w:hint="default" w:ascii="Times New Roman" w:hAnsi="Times New Roman" w:eastAsia="宋体" w:cs="Times New Roman"/>
                      <w:color w:val="auto"/>
                      <w:szCs w:val="21"/>
                      <w:highlight w:val="none"/>
                    </w:rPr>
                  </w:pPr>
                </w:p>
              </w:tc>
              <w:tc>
                <w:tcPr>
                  <w:tcW w:w="1375" w:type="dxa"/>
                  <w:vMerge w:val="continue"/>
                  <w:tcBorders>
                    <w:tl2br w:val="nil"/>
                    <w:tr2bl w:val="nil"/>
                  </w:tcBorders>
                  <w:noWrap w:val="0"/>
                  <w:vAlign w:val="center"/>
                </w:tcPr>
                <w:p w14:paraId="63268C39">
                  <w:pPr>
                    <w:spacing w:line="260" w:lineRule="exact"/>
                    <w:jc w:val="center"/>
                    <w:rPr>
                      <w:rFonts w:hint="default" w:ascii="Times New Roman" w:hAnsi="Times New Roman" w:eastAsia="宋体" w:cs="Times New Roman"/>
                      <w:color w:val="auto"/>
                      <w:szCs w:val="21"/>
                    </w:rPr>
                  </w:pPr>
                </w:p>
              </w:tc>
              <w:tc>
                <w:tcPr>
                  <w:tcW w:w="1475" w:type="dxa"/>
                  <w:tcBorders>
                    <w:tl2br w:val="nil"/>
                    <w:tr2bl w:val="nil"/>
                  </w:tcBorders>
                  <w:noWrap w:val="0"/>
                  <w:vAlign w:val="center"/>
                </w:tcPr>
                <w:p w14:paraId="340D6656">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szCs w:val="21"/>
                      <w:lang w:val="en-US" w:eastAsia="zh-CN"/>
                    </w:rPr>
                    <w:t>3-1-2</w:t>
                  </w:r>
                </w:p>
              </w:tc>
              <w:tc>
                <w:tcPr>
                  <w:tcW w:w="1433" w:type="dxa"/>
                  <w:tcBorders>
                    <w:tl2br w:val="nil"/>
                    <w:tr2bl w:val="nil"/>
                  </w:tcBorders>
                  <w:shd w:val="clear" w:color="auto" w:fill="auto"/>
                  <w:noWrap w:val="0"/>
                  <w:vAlign w:val="center"/>
                </w:tcPr>
                <w:p w14:paraId="38EA4C4B">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olor w:val="000000"/>
                      <w:kern w:val="0"/>
                      <w:sz w:val="20"/>
                      <w:szCs w:val="20"/>
                      <w:lang w:val="en-US" w:eastAsia="zh-CN"/>
                    </w:rPr>
                    <w:t>＜</w:t>
                  </w:r>
                  <w:r>
                    <w:rPr>
                      <w:rFonts w:hint="eastAsia" w:cs="Times New Roman"/>
                      <w:color w:val="000000" w:themeColor="text1"/>
                      <w:kern w:val="0"/>
                      <w:sz w:val="20"/>
                      <w:szCs w:val="20"/>
                      <w:lang w:val="en-US" w:eastAsia="zh-CN" w:bidi="ar-SA"/>
                      <w14:textFill>
                        <w14:solidFill>
                          <w14:schemeClr w14:val="tx1"/>
                        </w14:solidFill>
                      </w14:textFill>
                    </w:rPr>
                    <w:t>0.2</w:t>
                  </w:r>
                  <w:r>
                    <w:rPr>
                      <w:rFonts w:hint="default" w:ascii="Arial" w:hAnsi="Arial" w:cs="Arial"/>
                      <w:color w:val="000000" w:themeColor="text1"/>
                      <w:kern w:val="0"/>
                      <w:sz w:val="20"/>
                      <w:szCs w:val="20"/>
                      <w:lang w:val="en-US" w:eastAsia="zh-CN" w:bidi="ar-SA"/>
                      <w14:textFill>
                        <w14:solidFill>
                          <w14:schemeClr w14:val="tx1"/>
                        </w14:solidFill>
                      </w14:textFill>
                    </w:rPr>
                    <w:t>×</w:t>
                  </w:r>
                  <w:r>
                    <w:rPr>
                      <w:rFonts w:hint="eastAsia" w:cs="Times New Roman"/>
                      <w:color w:val="000000" w:themeColor="text1"/>
                      <w:kern w:val="0"/>
                      <w:sz w:val="20"/>
                      <w:szCs w:val="20"/>
                      <w:lang w:val="en-US" w:eastAsia="zh-CN" w:bidi="ar-SA"/>
                      <w14:textFill>
                        <w14:solidFill>
                          <w14:schemeClr w14:val="tx1"/>
                        </w14:solidFill>
                      </w14:textFill>
                    </w:rPr>
                    <w:t>10</w:t>
                  </w:r>
                  <w:r>
                    <w:rPr>
                      <w:rFonts w:hint="eastAsia" w:cs="Times New Roman"/>
                      <w:color w:val="000000" w:themeColor="text1"/>
                      <w:kern w:val="0"/>
                      <w:sz w:val="20"/>
                      <w:szCs w:val="20"/>
                      <w:vertAlign w:val="superscript"/>
                      <w:lang w:val="en-US" w:eastAsia="zh-CN" w:bidi="ar-SA"/>
                      <w14:textFill>
                        <w14:solidFill>
                          <w14:schemeClr w14:val="tx1"/>
                        </w14:solidFill>
                      </w14:textFill>
                    </w:rPr>
                    <w:t>-3</w:t>
                  </w:r>
                </w:p>
              </w:tc>
              <w:tc>
                <w:tcPr>
                  <w:tcW w:w="1705" w:type="dxa"/>
                  <w:tcBorders>
                    <w:tl2br w:val="nil"/>
                    <w:tr2bl w:val="nil"/>
                  </w:tcBorders>
                  <w:shd w:val="clear" w:color="auto" w:fill="auto"/>
                  <w:noWrap w:val="0"/>
                  <w:vAlign w:val="center"/>
                </w:tcPr>
                <w:p w14:paraId="11C2E8D8">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zCs w:val="21"/>
                      <w:lang w:val="en-US" w:eastAsia="zh-CN"/>
                    </w:rPr>
                    <w:t>0.044</w:t>
                  </w:r>
                </w:p>
              </w:tc>
              <w:tc>
                <w:tcPr>
                  <w:tcW w:w="1320" w:type="dxa"/>
                  <w:tcBorders>
                    <w:tl2br w:val="nil"/>
                    <w:tr2bl w:val="nil"/>
                  </w:tcBorders>
                  <w:shd w:val="clear" w:color="auto" w:fill="auto"/>
                  <w:noWrap w:val="0"/>
                  <w:vAlign w:val="center"/>
                </w:tcPr>
                <w:p w14:paraId="30836E71">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＜10</w:t>
                  </w:r>
                </w:p>
              </w:tc>
            </w:tr>
            <w:tr w14:paraId="759C8042">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1339" w:type="dxa"/>
                  <w:vMerge w:val="continue"/>
                  <w:tcBorders>
                    <w:tl2br w:val="nil"/>
                    <w:tr2bl w:val="nil"/>
                  </w:tcBorders>
                  <w:noWrap w:val="0"/>
                  <w:vAlign w:val="center"/>
                </w:tcPr>
                <w:p w14:paraId="1CDB578C">
                  <w:pPr>
                    <w:spacing w:line="260" w:lineRule="exact"/>
                    <w:jc w:val="center"/>
                    <w:rPr>
                      <w:rFonts w:hint="default" w:ascii="Times New Roman" w:hAnsi="Times New Roman" w:eastAsia="宋体" w:cs="Times New Roman"/>
                      <w:color w:val="auto"/>
                      <w:szCs w:val="21"/>
                      <w:highlight w:val="none"/>
                    </w:rPr>
                  </w:pPr>
                </w:p>
              </w:tc>
              <w:tc>
                <w:tcPr>
                  <w:tcW w:w="1375" w:type="dxa"/>
                  <w:vMerge w:val="continue"/>
                  <w:tcBorders>
                    <w:tl2br w:val="nil"/>
                    <w:tr2bl w:val="nil"/>
                  </w:tcBorders>
                  <w:noWrap w:val="0"/>
                  <w:vAlign w:val="center"/>
                </w:tcPr>
                <w:p w14:paraId="1FD6B8BF">
                  <w:pPr>
                    <w:spacing w:line="260" w:lineRule="exact"/>
                    <w:jc w:val="center"/>
                    <w:rPr>
                      <w:rFonts w:hint="default" w:ascii="Times New Roman" w:hAnsi="Times New Roman" w:eastAsia="宋体" w:cs="Times New Roman"/>
                      <w:color w:val="auto"/>
                      <w:szCs w:val="21"/>
                    </w:rPr>
                  </w:pPr>
                </w:p>
              </w:tc>
              <w:tc>
                <w:tcPr>
                  <w:tcW w:w="1475" w:type="dxa"/>
                  <w:tcBorders>
                    <w:tl2br w:val="nil"/>
                    <w:tr2bl w:val="nil"/>
                  </w:tcBorders>
                  <w:noWrap w:val="0"/>
                  <w:vAlign w:val="center"/>
                </w:tcPr>
                <w:p w14:paraId="55BD1C94">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szCs w:val="21"/>
                      <w:lang w:val="en-US" w:eastAsia="zh-CN"/>
                    </w:rPr>
                    <w:t>3-1-3</w:t>
                  </w:r>
                </w:p>
              </w:tc>
              <w:tc>
                <w:tcPr>
                  <w:tcW w:w="1433" w:type="dxa"/>
                  <w:tcBorders>
                    <w:tl2br w:val="nil"/>
                    <w:tr2bl w:val="nil"/>
                  </w:tcBorders>
                  <w:shd w:val="clear" w:color="auto" w:fill="auto"/>
                  <w:noWrap w:val="0"/>
                  <w:vAlign w:val="center"/>
                </w:tcPr>
                <w:p w14:paraId="0FEE7C26">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olor w:val="000000"/>
                      <w:kern w:val="0"/>
                      <w:sz w:val="20"/>
                      <w:szCs w:val="20"/>
                      <w:lang w:val="en-US" w:eastAsia="zh-CN"/>
                    </w:rPr>
                    <w:t>＜</w:t>
                  </w:r>
                  <w:r>
                    <w:rPr>
                      <w:rFonts w:hint="eastAsia" w:cs="Times New Roman"/>
                      <w:color w:val="000000" w:themeColor="text1"/>
                      <w:kern w:val="0"/>
                      <w:sz w:val="20"/>
                      <w:szCs w:val="20"/>
                      <w:lang w:val="en-US" w:eastAsia="zh-CN" w:bidi="ar-SA"/>
                      <w14:textFill>
                        <w14:solidFill>
                          <w14:schemeClr w14:val="tx1"/>
                        </w14:solidFill>
                      </w14:textFill>
                    </w:rPr>
                    <w:t>0.2</w:t>
                  </w:r>
                  <w:r>
                    <w:rPr>
                      <w:rFonts w:hint="default" w:ascii="Arial" w:hAnsi="Arial" w:cs="Arial"/>
                      <w:color w:val="000000" w:themeColor="text1"/>
                      <w:kern w:val="0"/>
                      <w:sz w:val="20"/>
                      <w:szCs w:val="20"/>
                      <w:lang w:val="en-US" w:eastAsia="zh-CN" w:bidi="ar-SA"/>
                      <w14:textFill>
                        <w14:solidFill>
                          <w14:schemeClr w14:val="tx1"/>
                        </w14:solidFill>
                      </w14:textFill>
                    </w:rPr>
                    <w:t>×</w:t>
                  </w:r>
                  <w:r>
                    <w:rPr>
                      <w:rFonts w:hint="eastAsia" w:cs="Times New Roman"/>
                      <w:color w:val="000000" w:themeColor="text1"/>
                      <w:kern w:val="0"/>
                      <w:sz w:val="20"/>
                      <w:szCs w:val="20"/>
                      <w:lang w:val="en-US" w:eastAsia="zh-CN" w:bidi="ar-SA"/>
                      <w14:textFill>
                        <w14:solidFill>
                          <w14:schemeClr w14:val="tx1"/>
                        </w14:solidFill>
                      </w14:textFill>
                    </w:rPr>
                    <w:t>10</w:t>
                  </w:r>
                  <w:r>
                    <w:rPr>
                      <w:rFonts w:hint="eastAsia" w:cs="Times New Roman"/>
                      <w:color w:val="000000" w:themeColor="text1"/>
                      <w:kern w:val="0"/>
                      <w:sz w:val="20"/>
                      <w:szCs w:val="20"/>
                      <w:vertAlign w:val="superscript"/>
                      <w:lang w:val="en-US" w:eastAsia="zh-CN" w:bidi="ar-SA"/>
                      <w14:textFill>
                        <w14:solidFill>
                          <w14:schemeClr w14:val="tx1"/>
                        </w14:solidFill>
                      </w14:textFill>
                    </w:rPr>
                    <w:t>-3</w:t>
                  </w:r>
                </w:p>
              </w:tc>
              <w:tc>
                <w:tcPr>
                  <w:tcW w:w="1705" w:type="dxa"/>
                  <w:tcBorders>
                    <w:tl2br w:val="nil"/>
                    <w:tr2bl w:val="nil"/>
                  </w:tcBorders>
                  <w:shd w:val="clear" w:color="auto" w:fill="auto"/>
                  <w:noWrap w:val="0"/>
                  <w:vAlign w:val="center"/>
                </w:tcPr>
                <w:p w14:paraId="2DFF4336">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zCs w:val="21"/>
                      <w:lang w:val="en-US" w:eastAsia="zh-CN"/>
                    </w:rPr>
                    <w:t>0.096</w:t>
                  </w:r>
                </w:p>
              </w:tc>
              <w:tc>
                <w:tcPr>
                  <w:tcW w:w="1320" w:type="dxa"/>
                  <w:tcBorders>
                    <w:tl2br w:val="nil"/>
                    <w:tr2bl w:val="nil"/>
                  </w:tcBorders>
                  <w:shd w:val="clear" w:color="auto" w:fill="auto"/>
                  <w:noWrap w:val="0"/>
                  <w:vAlign w:val="center"/>
                </w:tcPr>
                <w:p w14:paraId="7A67EDA3">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＜10</w:t>
                  </w:r>
                </w:p>
              </w:tc>
            </w:tr>
            <w:tr w14:paraId="383390F5">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1339" w:type="dxa"/>
                  <w:vMerge w:val="continue"/>
                  <w:tcBorders>
                    <w:tl2br w:val="nil"/>
                    <w:tr2bl w:val="nil"/>
                  </w:tcBorders>
                  <w:noWrap w:val="0"/>
                  <w:vAlign w:val="center"/>
                </w:tcPr>
                <w:p w14:paraId="531EEE60">
                  <w:pPr>
                    <w:spacing w:line="260" w:lineRule="exact"/>
                    <w:jc w:val="center"/>
                    <w:rPr>
                      <w:rFonts w:hint="default" w:ascii="Times New Roman" w:hAnsi="Times New Roman" w:eastAsia="宋体" w:cs="Times New Roman"/>
                      <w:color w:val="auto"/>
                      <w:szCs w:val="21"/>
                      <w:highlight w:val="none"/>
                    </w:rPr>
                  </w:pPr>
                </w:p>
              </w:tc>
              <w:tc>
                <w:tcPr>
                  <w:tcW w:w="1375" w:type="dxa"/>
                  <w:vMerge w:val="continue"/>
                  <w:tcBorders>
                    <w:tl2br w:val="nil"/>
                    <w:tr2bl w:val="nil"/>
                  </w:tcBorders>
                  <w:noWrap w:val="0"/>
                  <w:vAlign w:val="center"/>
                </w:tcPr>
                <w:p w14:paraId="4FDD7B78">
                  <w:pPr>
                    <w:spacing w:line="260" w:lineRule="exact"/>
                    <w:jc w:val="center"/>
                    <w:rPr>
                      <w:rFonts w:hint="default" w:ascii="Times New Roman" w:hAnsi="Times New Roman" w:eastAsia="宋体" w:cs="Times New Roman"/>
                      <w:color w:val="auto"/>
                      <w:szCs w:val="21"/>
                    </w:rPr>
                  </w:pPr>
                </w:p>
              </w:tc>
              <w:tc>
                <w:tcPr>
                  <w:tcW w:w="1475" w:type="dxa"/>
                  <w:tcBorders>
                    <w:tl2br w:val="nil"/>
                    <w:tr2bl w:val="nil"/>
                  </w:tcBorders>
                  <w:noWrap w:val="0"/>
                  <w:vAlign w:val="center"/>
                </w:tcPr>
                <w:p w14:paraId="0E600436">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szCs w:val="21"/>
                      <w:lang w:val="en-US" w:eastAsia="zh-CN"/>
                    </w:rPr>
                    <w:t>3-1-4</w:t>
                  </w:r>
                </w:p>
              </w:tc>
              <w:tc>
                <w:tcPr>
                  <w:tcW w:w="1433" w:type="dxa"/>
                  <w:tcBorders>
                    <w:tl2br w:val="nil"/>
                    <w:tr2bl w:val="nil"/>
                  </w:tcBorders>
                  <w:shd w:val="clear" w:color="auto" w:fill="auto"/>
                  <w:noWrap w:val="0"/>
                  <w:vAlign w:val="center"/>
                </w:tcPr>
                <w:p w14:paraId="2D229621">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olor w:val="000000"/>
                      <w:kern w:val="0"/>
                      <w:sz w:val="20"/>
                      <w:szCs w:val="20"/>
                      <w:lang w:val="en-US" w:eastAsia="zh-CN"/>
                    </w:rPr>
                    <w:t>＜</w:t>
                  </w:r>
                  <w:r>
                    <w:rPr>
                      <w:rFonts w:hint="eastAsia" w:cs="Times New Roman"/>
                      <w:color w:val="000000" w:themeColor="text1"/>
                      <w:kern w:val="0"/>
                      <w:sz w:val="20"/>
                      <w:szCs w:val="20"/>
                      <w:lang w:val="en-US" w:eastAsia="zh-CN" w:bidi="ar-SA"/>
                      <w14:textFill>
                        <w14:solidFill>
                          <w14:schemeClr w14:val="tx1"/>
                        </w14:solidFill>
                      </w14:textFill>
                    </w:rPr>
                    <w:t>0.2</w:t>
                  </w:r>
                  <w:r>
                    <w:rPr>
                      <w:rFonts w:hint="default" w:ascii="Arial" w:hAnsi="Arial" w:cs="Arial"/>
                      <w:color w:val="000000" w:themeColor="text1"/>
                      <w:kern w:val="0"/>
                      <w:sz w:val="20"/>
                      <w:szCs w:val="20"/>
                      <w:lang w:val="en-US" w:eastAsia="zh-CN" w:bidi="ar-SA"/>
                      <w14:textFill>
                        <w14:solidFill>
                          <w14:schemeClr w14:val="tx1"/>
                        </w14:solidFill>
                      </w14:textFill>
                    </w:rPr>
                    <w:t>×</w:t>
                  </w:r>
                  <w:r>
                    <w:rPr>
                      <w:rFonts w:hint="eastAsia" w:cs="Times New Roman"/>
                      <w:color w:val="000000" w:themeColor="text1"/>
                      <w:kern w:val="0"/>
                      <w:sz w:val="20"/>
                      <w:szCs w:val="20"/>
                      <w:lang w:val="en-US" w:eastAsia="zh-CN" w:bidi="ar-SA"/>
                      <w14:textFill>
                        <w14:solidFill>
                          <w14:schemeClr w14:val="tx1"/>
                        </w14:solidFill>
                      </w14:textFill>
                    </w:rPr>
                    <w:t>10</w:t>
                  </w:r>
                  <w:r>
                    <w:rPr>
                      <w:rFonts w:hint="eastAsia" w:cs="Times New Roman"/>
                      <w:color w:val="000000" w:themeColor="text1"/>
                      <w:kern w:val="0"/>
                      <w:sz w:val="20"/>
                      <w:szCs w:val="20"/>
                      <w:vertAlign w:val="superscript"/>
                      <w:lang w:val="en-US" w:eastAsia="zh-CN" w:bidi="ar-SA"/>
                      <w14:textFill>
                        <w14:solidFill>
                          <w14:schemeClr w14:val="tx1"/>
                        </w14:solidFill>
                      </w14:textFill>
                    </w:rPr>
                    <w:t>-3</w:t>
                  </w:r>
                </w:p>
              </w:tc>
              <w:tc>
                <w:tcPr>
                  <w:tcW w:w="1705" w:type="dxa"/>
                  <w:tcBorders>
                    <w:tl2br w:val="nil"/>
                    <w:tr2bl w:val="nil"/>
                  </w:tcBorders>
                  <w:shd w:val="clear" w:color="auto" w:fill="auto"/>
                  <w:noWrap w:val="0"/>
                  <w:vAlign w:val="center"/>
                </w:tcPr>
                <w:p w14:paraId="1B6DCF9C">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zCs w:val="21"/>
                      <w:lang w:val="en-US" w:eastAsia="zh-CN"/>
                    </w:rPr>
                    <w:t>0.088</w:t>
                  </w:r>
                </w:p>
              </w:tc>
              <w:tc>
                <w:tcPr>
                  <w:tcW w:w="1320" w:type="dxa"/>
                  <w:tcBorders>
                    <w:tl2br w:val="nil"/>
                    <w:tr2bl w:val="nil"/>
                  </w:tcBorders>
                  <w:shd w:val="clear" w:color="auto" w:fill="auto"/>
                  <w:noWrap w:val="0"/>
                  <w:vAlign w:val="center"/>
                </w:tcPr>
                <w:p w14:paraId="7DA43A3E">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＜10</w:t>
                  </w:r>
                </w:p>
              </w:tc>
            </w:tr>
            <w:tr w14:paraId="69AC76D5">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1339" w:type="dxa"/>
                  <w:vMerge w:val="continue"/>
                  <w:tcBorders>
                    <w:tl2br w:val="nil"/>
                    <w:tr2bl w:val="nil"/>
                  </w:tcBorders>
                  <w:noWrap w:val="0"/>
                  <w:vAlign w:val="center"/>
                </w:tcPr>
                <w:p w14:paraId="2DA9F1F1">
                  <w:pPr>
                    <w:spacing w:line="260" w:lineRule="exact"/>
                    <w:jc w:val="center"/>
                    <w:rPr>
                      <w:rFonts w:hint="default" w:ascii="Times New Roman" w:hAnsi="Times New Roman" w:eastAsia="宋体" w:cs="Times New Roman"/>
                      <w:color w:val="auto"/>
                      <w:szCs w:val="21"/>
                      <w:highlight w:val="none"/>
                    </w:rPr>
                  </w:pPr>
                </w:p>
              </w:tc>
              <w:tc>
                <w:tcPr>
                  <w:tcW w:w="1375" w:type="dxa"/>
                  <w:vMerge w:val="restart"/>
                  <w:tcBorders>
                    <w:tl2br w:val="nil"/>
                    <w:tr2bl w:val="nil"/>
                  </w:tcBorders>
                  <w:noWrap w:val="0"/>
                  <w:vAlign w:val="center"/>
                </w:tcPr>
                <w:p w14:paraId="18233B7B">
                  <w:pPr>
                    <w:keepNext w:val="0"/>
                    <w:keepLines w:val="0"/>
                    <w:widowControl/>
                    <w:suppressLineNumbers w:val="0"/>
                    <w:spacing w:before="0" w:beforeAutospacing="0" w:after="0" w:afterAutospacing="0" w:line="240" w:lineRule="auto"/>
                    <w:ind w:left="0" w:leftChars="0" w:right="0" w:rightChars="0"/>
                    <w:jc w:val="center"/>
                    <w:textAlignment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b w:val="0"/>
                      <w:bCs w:val="0"/>
                      <w:color w:val="auto"/>
                      <w:sz w:val="21"/>
                      <w:szCs w:val="21"/>
                      <w:highlight w:val="none"/>
                      <w:lang w:val="en-US" w:eastAsia="zh-CN"/>
                    </w:rPr>
                    <w:t>厂界</w:t>
                  </w:r>
                  <w:r>
                    <w:rPr>
                      <w:rFonts w:hint="default" w:ascii="Times New Roman" w:hAnsi="Times New Roman" w:cs="Times New Roman"/>
                      <w:b w:val="0"/>
                      <w:bCs w:val="0"/>
                      <w:color w:val="auto"/>
                      <w:sz w:val="21"/>
                      <w:szCs w:val="21"/>
                      <w:highlight w:val="none"/>
                      <w:lang w:val="en-US" w:eastAsia="zh-CN"/>
                    </w:rPr>
                    <w:t>外</w:t>
                  </w:r>
                  <w:r>
                    <w:rPr>
                      <w:rFonts w:hint="default" w:ascii="Times New Roman" w:hAnsi="Times New Roman" w:eastAsia="宋体" w:cs="Times New Roman"/>
                      <w:b w:val="0"/>
                      <w:bCs w:val="0"/>
                      <w:color w:val="auto"/>
                      <w:sz w:val="21"/>
                      <w:szCs w:val="21"/>
                      <w:highlight w:val="none"/>
                      <w:lang w:val="en-US" w:eastAsia="zh-CN"/>
                    </w:rPr>
                    <w:t>下风向5</w:t>
                  </w:r>
                  <w:r>
                    <w:rPr>
                      <w:rFonts w:hint="default" w:ascii="Times New Roman" w:hAnsi="Times New Roman" w:cs="Times New Roman"/>
                      <w:b w:val="0"/>
                      <w:bCs w:val="0"/>
                      <w:color w:val="auto"/>
                      <w:sz w:val="21"/>
                      <w:szCs w:val="21"/>
                      <w:highlight w:val="none"/>
                      <w:lang w:val="en-US" w:eastAsia="zh-CN"/>
                    </w:rPr>
                    <w:t>m</w:t>
                  </w:r>
                  <w:r>
                    <w:rPr>
                      <w:rFonts w:hint="default" w:ascii="Times New Roman" w:hAnsi="Times New Roman" w:eastAsia="宋体" w:cs="Times New Roman"/>
                      <w:b w:val="0"/>
                      <w:bCs w:val="0"/>
                      <w:color w:val="auto"/>
                      <w:sz w:val="21"/>
                      <w:szCs w:val="21"/>
                      <w:highlight w:val="none"/>
                      <w:lang w:val="en-US" w:eastAsia="zh-CN"/>
                    </w:rPr>
                    <w:t>处4#</w:t>
                  </w:r>
                </w:p>
              </w:tc>
              <w:tc>
                <w:tcPr>
                  <w:tcW w:w="1475" w:type="dxa"/>
                  <w:tcBorders>
                    <w:tl2br w:val="nil"/>
                    <w:tr2bl w:val="nil"/>
                  </w:tcBorders>
                  <w:noWrap w:val="0"/>
                  <w:vAlign w:val="center"/>
                </w:tcPr>
                <w:p w14:paraId="7BCF7F1D">
                  <w:pPr>
                    <w:jc w:val="center"/>
                    <w:rPr>
                      <w:rFonts w:hint="default" w:ascii="Times New Roman" w:hAnsi="Times New Roman" w:eastAsia="宋体" w:cs="Times New Roman"/>
                      <w:color w:val="auto"/>
                      <w:kern w:val="2"/>
                      <w:sz w:val="21"/>
                      <w:szCs w:val="21"/>
                      <w:lang w:val="en-US" w:eastAsia="zh-CN" w:bidi="ar-SA"/>
                    </w:rPr>
                  </w:pPr>
                  <w:r>
                    <w:rPr>
                      <w:rFonts w:hint="eastAsia"/>
                      <w:szCs w:val="21"/>
                      <w:lang w:val="en-US" w:eastAsia="zh-CN"/>
                    </w:rPr>
                    <w:t>4-1-1</w:t>
                  </w:r>
                </w:p>
              </w:tc>
              <w:tc>
                <w:tcPr>
                  <w:tcW w:w="1433" w:type="dxa"/>
                  <w:tcBorders>
                    <w:tl2br w:val="nil"/>
                    <w:tr2bl w:val="nil"/>
                  </w:tcBorders>
                  <w:shd w:val="clear" w:color="auto" w:fill="auto"/>
                  <w:noWrap w:val="0"/>
                  <w:vAlign w:val="center"/>
                </w:tcPr>
                <w:p w14:paraId="00BDF0B3">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olor w:val="000000"/>
                      <w:kern w:val="0"/>
                      <w:sz w:val="20"/>
                      <w:szCs w:val="20"/>
                      <w:lang w:val="en-US" w:eastAsia="zh-CN"/>
                    </w:rPr>
                    <w:t>＜</w:t>
                  </w:r>
                  <w:r>
                    <w:rPr>
                      <w:rFonts w:hint="eastAsia" w:cs="Times New Roman"/>
                      <w:color w:val="000000" w:themeColor="text1"/>
                      <w:kern w:val="0"/>
                      <w:sz w:val="20"/>
                      <w:szCs w:val="20"/>
                      <w:lang w:val="en-US" w:eastAsia="zh-CN" w:bidi="ar-SA"/>
                      <w14:textFill>
                        <w14:solidFill>
                          <w14:schemeClr w14:val="tx1"/>
                        </w14:solidFill>
                      </w14:textFill>
                    </w:rPr>
                    <w:t>0.2</w:t>
                  </w:r>
                  <w:r>
                    <w:rPr>
                      <w:rFonts w:hint="default" w:ascii="Arial" w:hAnsi="Arial" w:cs="Arial"/>
                      <w:color w:val="000000" w:themeColor="text1"/>
                      <w:kern w:val="0"/>
                      <w:sz w:val="20"/>
                      <w:szCs w:val="20"/>
                      <w:lang w:val="en-US" w:eastAsia="zh-CN" w:bidi="ar-SA"/>
                      <w14:textFill>
                        <w14:solidFill>
                          <w14:schemeClr w14:val="tx1"/>
                        </w14:solidFill>
                      </w14:textFill>
                    </w:rPr>
                    <w:t>×</w:t>
                  </w:r>
                  <w:r>
                    <w:rPr>
                      <w:rFonts w:hint="eastAsia" w:cs="Times New Roman"/>
                      <w:color w:val="000000" w:themeColor="text1"/>
                      <w:kern w:val="0"/>
                      <w:sz w:val="20"/>
                      <w:szCs w:val="20"/>
                      <w:lang w:val="en-US" w:eastAsia="zh-CN" w:bidi="ar-SA"/>
                      <w14:textFill>
                        <w14:solidFill>
                          <w14:schemeClr w14:val="tx1"/>
                        </w14:solidFill>
                      </w14:textFill>
                    </w:rPr>
                    <w:t>10</w:t>
                  </w:r>
                  <w:r>
                    <w:rPr>
                      <w:rFonts w:hint="eastAsia" w:cs="Times New Roman"/>
                      <w:color w:val="000000" w:themeColor="text1"/>
                      <w:kern w:val="0"/>
                      <w:sz w:val="20"/>
                      <w:szCs w:val="20"/>
                      <w:vertAlign w:val="superscript"/>
                      <w:lang w:val="en-US" w:eastAsia="zh-CN" w:bidi="ar-SA"/>
                      <w14:textFill>
                        <w14:solidFill>
                          <w14:schemeClr w14:val="tx1"/>
                        </w14:solidFill>
                      </w14:textFill>
                    </w:rPr>
                    <w:t>-3</w:t>
                  </w:r>
                </w:p>
              </w:tc>
              <w:tc>
                <w:tcPr>
                  <w:tcW w:w="1705" w:type="dxa"/>
                  <w:tcBorders>
                    <w:tl2br w:val="nil"/>
                    <w:tr2bl w:val="nil"/>
                  </w:tcBorders>
                  <w:shd w:val="clear" w:color="auto" w:fill="auto"/>
                  <w:noWrap w:val="0"/>
                  <w:vAlign w:val="center"/>
                </w:tcPr>
                <w:p w14:paraId="7359DE4F">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zCs w:val="21"/>
                      <w:lang w:val="en-US" w:eastAsia="zh-CN"/>
                    </w:rPr>
                    <w:t>0.048</w:t>
                  </w:r>
                </w:p>
              </w:tc>
              <w:tc>
                <w:tcPr>
                  <w:tcW w:w="1320" w:type="dxa"/>
                  <w:tcBorders>
                    <w:tl2br w:val="nil"/>
                    <w:tr2bl w:val="nil"/>
                  </w:tcBorders>
                  <w:shd w:val="clear" w:color="auto" w:fill="auto"/>
                  <w:noWrap w:val="0"/>
                  <w:vAlign w:val="center"/>
                </w:tcPr>
                <w:p w14:paraId="27E18CBB">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＜10</w:t>
                  </w:r>
                </w:p>
              </w:tc>
            </w:tr>
            <w:tr w14:paraId="2855FE46">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1339" w:type="dxa"/>
                  <w:vMerge w:val="continue"/>
                  <w:tcBorders>
                    <w:tl2br w:val="nil"/>
                    <w:tr2bl w:val="nil"/>
                  </w:tcBorders>
                  <w:noWrap w:val="0"/>
                  <w:vAlign w:val="center"/>
                </w:tcPr>
                <w:p w14:paraId="0525A15F">
                  <w:pPr>
                    <w:spacing w:line="260" w:lineRule="exact"/>
                    <w:jc w:val="center"/>
                    <w:rPr>
                      <w:rFonts w:hint="default" w:ascii="Times New Roman" w:hAnsi="Times New Roman" w:eastAsia="宋体" w:cs="Times New Roman"/>
                      <w:color w:val="auto"/>
                      <w:szCs w:val="21"/>
                      <w:highlight w:val="none"/>
                    </w:rPr>
                  </w:pPr>
                </w:p>
              </w:tc>
              <w:tc>
                <w:tcPr>
                  <w:tcW w:w="1375" w:type="dxa"/>
                  <w:vMerge w:val="continue"/>
                  <w:tcBorders>
                    <w:tl2br w:val="nil"/>
                    <w:tr2bl w:val="nil"/>
                  </w:tcBorders>
                  <w:noWrap w:val="0"/>
                  <w:vAlign w:val="center"/>
                </w:tcPr>
                <w:p w14:paraId="7F8AC4C5">
                  <w:pPr>
                    <w:spacing w:line="260" w:lineRule="exact"/>
                    <w:jc w:val="center"/>
                    <w:rPr>
                      <w:rFonts w:hint="default" w:ascii="Times New Roman" w:hAnsi="Times New Roman" w:eastAsia="宋体" w:cs="Times New Roman"/>
                      <w:color w:val="auto"/>
                      <w:szCs w:val="21"/>
                    </w:rPr>
                  </w:pPr>
                </w:p>
              </w:tc>
              <w:tc>
                <w:tcPr>
                  <w:tcW w:w="1475" w:type="dxa"/>
                  <w:tcBorders>
                    <w:tl2br w:val="nil"/>
                    <w:tr2bl w:val="nil"/>
                  </w:tcBorders>
                  <w:noWrap w:val="0"/>
                  <w:vAlign w:val="center"/>
                </w:tcPr>
                <w:p w14:paraId="007667F2">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szCs w:val="21"/>
                      <w:lang w:val="en-US" w:eastAsia="zh-CN"/>
                    </w:rPr>
                    <w:t>4-1-2</w:t>
                  </w:r>
                </w:p>
              </w:tc>
              <w:tc>
                <w:tcPr>
                  <w:tcW w:w="1433" w:type="dxa"/>
                  <w:tcBorders>
                    <w:tl2br w:val="nil"/>
                    <w:tr2bl w:val="nil"/>
                  </w:tcBorders>
                  <w:shd w:val="clear" w:color="auto" w:fill="auto"/>
                  <w:noWrap w:val="0"/>
                  <w:vAlign w:val="center"/>
                </w:tcPr>
                <w:p w14:paraId="7B06F006">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olor w:val="000000"/>
                      <w:kern w:val="0"/>
                      <w:sz w:val="20"/>
                      <w:szCs w:val="20"/>
                      <w:lang w:val="en-US" w:eastAsia="zh-CN"/>
                    </w:rPr>
                    <w:t>＜</w:t>
                  </w:r>
                  <w:r>
                    <w:rPr>
                      <w:rFonts w:hint="eastAsia" w:cs="Times New Roman"/>
                      <w:color w:val="000000" w:themeColor="text1"/>
                      <w:kern w:val="0"/>
                      <w:sz w:val="20"/>
                      <w:szCs w:val="20"/>
                      <w:lang w:val="en-US" w:eastAsia="zh-CN" w:bidi="ar-SA"/>
                      <w14:textFill>
                        <w14:solidFill>
                          <w14:schemeClr w14:val="tx1"/>
                        </w14:solidFill>
                      </w14:textFill>
                    </w:rPr>
                    <w:t>0.2</w:t>
                  </w:r>
                  <w:r>
                    <w:rPr>
                      <w:rFonts w:hint="default" w:ascii="Arial" w:hAnsi="Arial" w:cs="Arial"/>
                      <w:color w:val="000000" w:themeColor="text1"/>
                      <w:kern w:val="0"/>
                      <w:sz w:val="20"/>
                      <w:szCs w:val="20"/>
                      <w:lang w:val="en-US" w:eastAsia="zh-CN" w:bidi="ar-SA"/>
                      <w14:textFill>
                        <w14:solidFill>
                          <w14:schemeClr w14:val="tx1"/>
                        </w14:solidFill>
                      </w14:textFill>
                    </w:rPr>
                    <w:t>×</w:t>
                  </w:r>
                  <w:r>
                    <w:rPr>
                      <w:rFonts w:hint="eastAsia" w:cs="Times New Roman"/>
                      <w:color w:val="000000" w:themeColor="text1"/>
                      <w:kern w:val="0"/>
                      <w:sz w:val="20"/>
                      <w:szCs w:val="20"/>
                      <w:lang w:val="en-US" w:eastAsia="zh-CN" w:bidi="ar-SA"/>
                      <w14:textFill>
                        <w14:solidFill>
                          <w14:schemeClr w14:val="tx1"/>
                        </w14:solidFill>
                      </w14:textFill>
                    </w:rPr>
                    <w:t>10</w:t>
                  </w:r>
                  <w:r>
                    <w:rPr>
                      <w:rFonts w:hint="eastAsia" w:cs="Times New Roman"/>
                      <w:color w:val="000000" w:themeColor="text1"/>
                      <w:kern w:val="0"/>
                      <w:sz w:val="20"/>
                      <w:szCs w:val="20"/>
                      <w:vertAlign w:val="superscript"/>
                      <w:lang w:val="en-US" w:eastAsia="zh-CN" w:bidi="ar-SA"/>
                      <w14:textFill>
                        <w14:solidFill>
                          <w14:schemeClr w14:val="tx1"/>
                        </w14:solidFill>
                      </w14:textFill>
                    </w:rPr>
                    <w:t>-3</w:t>
                  </w:r>
                </w:p>
              </w:tc>
              <w:tc>
                <w:tcPr>
                  <w:tcW w:w="1705" w:type="dxa"/>
                  <w:tcBorders>
                    <w:tl2br w:val="nil"/>
                    <w:tr2bl w:val="nil"/>
                  </w:tcBorders>
                  <w:shd w:val="clear" w:color="auto" w:fill="auto"/>
                  <w:noWrap w:val="0"/>
                  <w:vAlign w:val="center"/>
                </w:tcPr>
                <w:p w14:paraId="7F9359BE">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zCs w:val="21"/>
                      <w:lang w:val="en-US" w:eastAsia="zh-CN"/>
                    </w:rPr>
                    <w:t>0.088</w:t>
                  </w:r>
                </w:p>
              </w:tc>
              <w:tc>
                <w:tcPr>
                  <w:tcW w:w="1320" w:type="dxa"/>
                  <w:tcBorders>
                    <w:tl2br w:val="nil"/>
                    <w:tr2bl w:val="nil"/>
                  </w:tcBorders>
                  <w:shd w:val="clear" w:color="auto" w:fill="auto"/>
                  <w:noWrap w:val="0"/>
                  <w:vAlign w:val="center"/>
                </w:tcPr>
                <w:p w14:paraId="078EC778">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＜10</w:t>
                  </w:r>
                </w:p>
              </w:tc>
            </w:tr>
            <w:tr w14:paraId="4B83577D">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1339" w:type="dxa"/>
                  <w:vMerge w:val="continue"/>
                  <w:tcBorders>
                    <w:tl2br w:val="nil"/>
                    <w:tr2bl w:val="nil"/>
                  </w:tcBorders>
                  <w:noWrap w:val="0"/>
                  <w:vAlign w:val="center"/>
                </w:tcPr>
                <w:p w14:paraId="490B5198">
                  <w:pPr>
                    <w:spacing w:line="260" w:lineRule="exact"/>
                    <w:jc w:val="center"/>
                    <w:rPr>
                      <w:rFonts w:hint="default" w:ascii="Times New Roman" w:hAnsi="Times New Roman" w:eastAsia="宋体" w:cs="Times New Roman"/>
                      <w:color w:val="auto"/>
                      <w:szCs w:val="21"/>
                      <w:highlight w:val="none"/>
                    </w:rPr>
                  </w:pPr>
                </w:p>
              </w:tc>
              <w:tc>
                <w:tcPr>
                  <w:tcW w:w="1375" w:type="dxa"/>
                  <w:vMerge w:val="continue"/>
                  <w:tcBorders>
                    <w:tl2br w:val="nil"/>
                    <w:tr2bl w:val="nil"/>
                  </w:tcBorders>
                  <w:noWrap w:val="0"/>
                  <w:vAlign w:val="center"/>
                </w:tcPr>
                <w:p w14:paraId="458ADC11">
                  <w:pPr>
                    <w:spacing w:line="260" w:lineRule="exact"/>
                    <w:jc w:val="center"/>
                    <w:rPr>
                      <w:rFonts w:hint="default" w:ascii="Times New Roman" w:hAnsi="Times New Roman" w:eastAsia="宋体" w:cs="Times New Roman"/>
                      <w:color w:val="auto"/>
                      <w:szCs w:val="21"/>
                    </w:rPr>
                  </w:pPr>
                </w:p>
              </w:tc>
              <w:tc>
                <w:tcPr>
                  <w:tcW w:w="1475" w:type="dxa"/>
                  <w:tcBorders>
                    <w:tl2br w:val="nil"/>
                    <w:tr2bl w:val="nil"/>
                  </w:tcBorders>
                  <w:noWrap w:val="0"/>
                  <w:vAlign w:val="center"/>
                </w:tcPr>
                <w:p w14:paraId="53A90BF9">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szCs w:val="21"/>
                      <w:lang w:val="en-US" w:eastAsia="zh-CN"/>
                    </w:rPr>
                    <w:t>4-1-3</w:t>
                  </w:r>
                </w:p>
              </w:tc>
              <w:tc>
                <w:tcPr>
                  <w:tcW w:w="1433" w:type="dxa"/>
                  <w:tcBorders>
                    <w:tl2br w:val="nil"/>
                    <w:tr2bl w:val="nil"/>
                  </w:tcBorders>
                  <w:shd w:val="clear" w:color="auto" w:fill="auto"/>
                  <w:noWrap w:val="0"/>
                  <w:vAlign w:val="center"/>
                </w:tcPr>
                <w:p w14:paraId="2BF00920">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olor w:val="000000"/>
                      <w:kern w:val="0"/>
                      <w:sz w:val="20"/>
                      <w:szCs w:val="20"/>
                      <w:lang w:val="en-US" w:eastAsia="zh-CN"/>
                    </w:rPr>
                    <w:t>＜</w:t>
                  </w:r>
                  <w:r>
                    <w:rPr>
                      <w:rFonts w:hint="eastAsia" w:cs="Times New Roman"/>
                      <w:color w:val="000000" w:themeColor="text1"/>
                      <w:kern w:val="0"/>
                      <w:sz w:val="20"/>
                      <w:szCs w:val="20"/>
                      <w:lang w:val="en-US" w:eastAsia="zh-CN" w:bidi="ar-SA"/>
                      <w14:textFill>
                        <w14:solidFill>
                          <w14:schemeClr w14:val="tx1"/>
                        </w14:solidFill>
                      </w14:textFill>
                    </w:rPr>
                    <w:t>0.2</w:t>
                  </w:r>
                  <w:r>
                    <w:rPr>
                      <w:rFonts w:hint="default" w:ascii="Arial" w:hAnsi="Arial" w:cs="Arial"/>
                      <w:color w:val="000000" w:themeColor="text1"/>
                      <w:kern w:val="0"/>
                      <w:sz w:val="20"/>
                      <w:szCs w:val="20"/>
                      <w:lang w:val="en-US" w:eastAsia="zh-CN" w:bidi="ar-SA"/>
                      <w14:textFill>
                        <w14:solidFill>
                          <w14:schemeClr w14:val="tx1"/>
                        </w14:solidFill>
                      </w14:textFill>
                    </w:rPr>
                    <w:t>×</w:t>
                  </w:r>
                  <w:r>
                    <w:rPr>
                      <w:rFonts w:hint="eastAsia" w:cs="Times New Roman"/>
                      <w:color w:val="000000" w:themeColor="text1"/>
                      <w:kern w:val="0"/>
                      <w:sz w:val="20"/>
                      <w:szCs w:val="20"/>
                      <w:lang w:val="en-US" w:eastAsia="zh-CN" w:bidi="ar-SA"/>
                      <w14:textFill>
                        <w14:solidFill>
                          <w14:schemeClr w14:val="tx1"/>
                        </w14:solidFill>
                      </w14:textFill>
                    </w:rPr>
                    <w:t>10</w:t>
                  </w:r>
                  <w:r>
                    <w:rPr>
                      <w:rFonts w:hint="eastAsia" w:cs="Times New Roman"/>
                      <w:color w:val="000000" w:themeColor="text1"/>
                      <w:kern w:val="0"/>
                      <w:sz w:val="20"/>
                      <w:szCs w:val="20"/>
                      <w:vertAlign w:val="superscript"/>
                      <w:lang w:val="en-US" w:eastAsia="zh-CN" w:bidi="ar-SA"/>
                      <w14:textFill>
                        <w14:solidFill>
                          <w14:schemeClr w14:val="tx1"/>
                        </w14:solidFill>
                      </w14:textFill>
                    </w:rPr>
                    <w:t>-3</w:t>
                  </w:r>
                </w:p>
              </w:tc>
              <w:tc>
                <w:tcPr>
                  <w:tcW w:w="1705" w:type="dxa"/>
                  <w:tcBorders>
                    <w:tl2br w:val="nil"/>
                    <w:tr2bl w:val="nil"/>
                  </w:tcBorders>
                  <w:shd w:val="clear" w:color="auto" w:fill="auto"/>
                  <w:noWrap w:val="0"/>
                  <w:vAlign w:val="center"/>
                </w:tcPr>
                <w:p w14:paraId="1989E037">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zCs w:val="21"/>
                      <w:lang w:val="en-US" w:eastAsia="zh-CN"/>
                    </w:rPr>
                    <w:t>0.084</w:t>
                  </w:r>
                </w:p>
              </w:tc>
              <w:tc>
                <w:tcPr>
                  <w:tcW w:w="1320" w:type="dxa"/>
                  <w:tcBorders>
                    <w:tl2br w:val="nil"/>
                    <w:tr2bl w:val="nil"/>
                  </w:tcBorders>
                  <w:shd w:val="clear" w:color="auto" w:fill="auto"/>
                  <w:noWrap w:val="0"/>
                  <w:vAlign w:val="center"/>
                </w:tcPr>
                <w:p w14:paraId="084B94C4">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＜10</w:t>
                  </w:r>
                </w:p>
              </w:tc>
            </w:tr>
            <w:tr w14:paraId="375AB925">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1339" w:type="dxa"/>
                  <w:vMerge w:val="continue"/>
                  <w:tcBorders>
                    <w:tl2br w:val="nil"/>
                    <w:tr2bl w:val="nil"/>
                  </w:tcBorders>
                  <w:noWrap w:val="0"/>
                  <w:vAlign w:val="center"/>
                </w:tcPr>
                <w:p w14:paraId="1C108752">
                  <w:pPr>
                    <w:pStyle w:val="4"/>
                    <w:rPr>
                      <w:rFonts w:hint="default" w:ascii="Times New Roman" w:hAnsi="Times New Roman" w:cs="Times New Roman"/>
                      <w:color w:val="auto"/>
                    </w:rPr>
                  </w:pPr>
                </w:p>
              </w:tc>
              <w:tc>
                <w:tcPr>
                  <w:tcW w:w="1375" w:type="dxa"/>
                  <w:vMerge w:val="continue"/>
                  <w:tcBorders>
                    <w:tl2br w:val="nil"/>
                    <w:tr2bl w:val="nil"/>
                  </w:tcBorders>
                  <w:noWrap w:val="0"/>
                  <w:vAlign w:val="center"/>
                </w:tcPr>
                <w:p w14:paraId="33F96C2F">
                  <w:pPr>
                    <w:spacing w:line="260" w:lineRule="exact"/>
                    <w:jc w:val="center"/>
                    <w:rPr>
                      <w:rFonts w:hint="default" w:ascii="Times New Roman" w:hAnsi="Times New Roman" w:eastAsia="宋体" w:cs="Times New Roman"/>
                      <w:color w:val="auto"/>
                      <w:szCs w:val="21"/>
                    </w:rPr>
                  </w:pPr>
                </w:p>
              </w:tc>
              <w:tc>
                <w:tcPr>
                  <w:tcW w:w="1475" w:type="dxa"/>
                  <w:tcBorders>
                    <w:tl2br w:val="nil"/>
                    <w:tr2bl w:val="nil"/>
                  </w:tcBorders>
                  <w:noWrap w:val="0"/>
                  <w:vAlign w:val="center"/>
                </w:tcPr>
                <w:p w14:paraId="1BF66F85">
                  <w:pPr>
                    <w:jc w:val="center"/>
                    <w:rPr>
                      <w:rFonts w:hint="default" w:ascii="Times New Roman" w:hAnsi="Times New Roman" w:eastAsia="宋体" w:cs="Times New Roman"/>
                      <w:color w:val="auto"/>
                      <w:kern w:val="2"/>
                      <w:sz w:val="21"/>
                      <w:szCs w:val="21"/>
                      <w:lang w:val="en-US" w:eastAsia="zh-CN" w:bidi="ar-SA"/>
                    </w:rPr>
                  </w:pPr>
                  <w:r>
                    <w:rPr>
                      <w:rFonts w:hint="eastAsia"/>
                      <w:szCs w:val="21"/>
                      <w:lang w:val="en-US" w:eastAsia="zh-CN"/>
                    </w:rPr>
                    <w:t>4-1-4</w:t>
                  </w:r>
                </w:p>
              </w:tc>
              <w:tc>
                <w:tcPr>
                  <w:tcW w:w="1433" w:type="dxa"/>
                  <w:tcBorders>
                    <w:tl2br w:val="nil"/>
                    <w:tr2bl w:val="nil"/>
                  </w:tcBorders>
                  <w:shd w:val="clear" w:color="auto" w:fill="auto"/>
                  <w:noWrap w:val="0"/>
                  <w:vAlign w:val="center"/>
                </w:tcPr>
                <w:p w14:paraId="130B45CD">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olor w:val="000000"/>
                      <w:kern w:val="0"/>
                      <w:sz w:val="20"/>
                      <w:szCs w:val="20"/>
                      <w:lang w:val="en-US" w:eastAsia="zh-CN"/>
                    </w:rPr>
                    <w:t>＜</w:t>
                  </w:r>
                  <w:r>
                    <w:rPr>
                      <w:rFonts w:hint="eastAsia" w:cs="Times New Roman"/>
                      <w:color w:val="000000" w:themeColor="text1"/>
                      <w:kern w:val="0"/>
                      <w:sz w:val="20"/>
                      <w:szCs w:val="20"/>
                      <w:lang w:val="en-US" w:eastAsia="zh-CN" w:bidi="ar-SA"/>
                      <w14:textFill>
                        <w14:solidFill>
                          <w14:schemeClr w14:val="tx1"/>
                        </w14:solidFill>
                      </w14:textFill>
                    </w:rPr>
                    <w:t>0.2</w:t>
                  </w:r>
                  <w:r>
                    <w:rPr>
                      <w:rFonts w:hint="default" w:ascii="Arial" w:hAnsi="Arial" w:cs="Arial"/>
                      <w:color w:val="000000" w:themeColor="text1"/>
                      <w:kern w:val="0"/>
                      <w:sz w:val="20"/>
                      <w:szCs w:val="20"/>
                      <w:lang w:val="en-US" w:eastAsia="zh-CN" w:bidi="ar-SA"/>
                      <w14:textFill>
                        <w14:solidFill>
                          <w14:schemeClr w14:val="tx1"/>
                        </w14:solidFill>
                      </w14:textFill>
                    </w:rPr>
                    <w:t>×</w:t>
                  </w:r>
                  <w:r>
                    <w:rPr>
                      <w:rFonts w:hint="eastAsia" w:cs="Times New Roman"/>
                      <w:color w:val="000000" w:themeColor="text1"/>
                      <w:kern w:val="0"/>
                      <w:sz w:val="20"/>
                      <w:szCs w:val="20"/>
                      <w:lang w:val="en-US" w:eastAsia="zh-CN" w:bidi="ar-SA"/>
                      <w14:textFill>
                        <w14:solidFill>
                          <w14:schemeClr w14:val="tx1"/>
                        </w14:solidFill>
                      </w14:textFill>
                    </w:rPr>
                    <w:t>10</w:t>
                  </w:r>
                  <w:r>
                    <w:rPr>
                      <w:rFonts w:hint="eastAsia" w:cs="Times New Roman"/>
                      <w:color w:val="000000" w:themeColor="text1"/>
                      <w:kern w:val="0"/>
                      <w:sz w:val="20"/>
                      <w:szCs w:val="20"/>
                      <w:vertAlign w:val="superscript"/>
                      <w:lang w:val="en-US" w:eastAsia="zh-CN" w:bidi="ar-SA"/>
                      <w14:textFill>
                        <w14:solidFill>
                          <w14:schemeClr w14:val="tx1"/>
                        </w14:solidFill>
                      </w14:textFill>
                    </w:rPr>
                    <w:t>-3</w:t>
                  </w:r>
                </w:p>
              </w:tc>
              <w:tc>
                <w:tcPr>
                  <w:tcW w:w="1705" w:type="dxa"/>
                  <w:tcBorders>
                    <w:tl2br w:val="nil"/>
                    <w:tr2bl w:val="nil"/>
                  </w:tcBorders>
                  <w:shd w:val="clear" w:color="auto" w:fill="auto"/>
                  <w:noWrap w:val="0"/>
                  <w:vAlign w:val="center"/>
                </w:tcPr>
                <w:p w14:paraId="71D2A73B">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zCs w:val="21"/>
                      <w:lang w:val="en-US" w:eastAsia="zh-CN"/>
                    </w:rPr>
                    <w:t>0.092</w:t>
                  </w:r>
                </w:p>
              </w:tc>
              <w:tc>
                <w:tcPr>
                  <w:tcW w:w="1320" w:type="dxa"/>
                  <w:tcBorders>
                    <w:tl2br w:val="nil"/>
                    <w:tr2bl w:val="nil"/>
                  </w:tcBorders>
                  <w:shd w:val="clear" w:color="auto" w:fill="auto"/>
                  <w:noWrap w:val="0"/>
                  <w:vAlign w:val="center"/>
                </w:tcPr>
                <w:p w14:paraId="12B0C573">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＜10</w:t>
                  </w:r>
                </w:p>
              </w:tc>
            </w:tr>
            <w:tr w14:paraId="145DD6D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1339" w:type="dxa"/>
                  <w:vMerge w:val="restart"/>
                  <w:tcBorders>
                    <w:tl2br w:val="nil"/>
                    <w:tr2bl w:val="nil"/>
                  </w:tcBorders>
                  <w:noWrap w:val="0"/>
                  <w:vAlign w:val="center"/>
                </w:tcPr>
                <w:p w14:paraId="59BB9165">
                  <w:pPr>
                    <w:pStyle w:val="11"/>
                    <w:spacing w:after="0"/>
                    <w:ind w:left="0" w:leftChars="0" w:right="0" w:rightChars="0"/>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lang w:eastAsia="zh-CN"/>
                    </w:rPr>
                    <w:t>202</w:t>
                  </w:r>
                  <w:r>
                    <w:rPr>
                      <w:rFonts w:hint="default" w:ascii="Times New Roman" w:hAnsi="Times New Roman" w:cs="Times New Roman"/>
                      <w:color w:val="auto"/>
                      <w:szCs w:val="21"/>
                      <w:lang w:val="en-US" w:eastAsia="zh-CN"/>
                    </w:rPr>
                    <w:t>5</w:t>
                  </w:r>
                  <w:r>
                    <w:rPr>
                      <w:rFonts w:hint="default" w:ascii="Times New Roman" w:hAnsi="Times New Roman" w:cs="Times New Roman"/>
                      <w:color w:val="auto"/>
                      <w:szCs w:val="21"/>
                      <w:lang w:eastAsia="zh-CN"/>
                    </w:rPr>
                    <w:t>年</w:t>
                  </w:r>
                  <w:r>
                    <w:rPr>
                      <w:rFonts w:hint="eastAsia" w:ascii="Times New Roman" w:hAnsi="Times New Roman" w:cs="Times New Roman"/>
                      <w:color w:val="auto"/>
                      <w:szCs w:val="21"/>
                      <w:lang w:val="en-US" w:eastAsia="zh-CN"/>
                    </w:rPr>
                    <w:t>6</w:t>
                  </w:r>
                  <w:r>
                    <w:rPr>
                      <w:rFonts w:hint="default" w:ascii="Times New Roman" w:hAnsi="Times New Roman" w:cs="Times New Roman"/>
                      <w:color w:val="auto"/>
                      <w:szCs w:val="21"/>
                      <w:lang w:eastAsia="zh-CN"/>
                    </w:rPr>
                    <w:t>月</w:t>
                  </w:r>
                  <w:r>
                    <w:rPr>
                      <w:rFonts w:hint="eastAsia" w:ascii="Times New Roman" w:hAnsi="Times New Roman" w:cs="Times New Roman"/>
                      <w:color w:val="auto"/>
                      <w:szCs w:val="21"/>
                      <w:lang w:val="en-US" w:eastAsia="zh-CN"/>
                    </w:rPr>
                    <w:t>28</w:t>
                  </w:r>
                  <w:r>
                    <w:rPr>
                      <w:rFonts w:hint="default" w:ascii="Times New Roman" w:hAnsi="Times New Roman" w:cs="Times New Roman"/>
                      <w:color w:val="auto"/>
                      <w:szCs w:val="21"/>
                      <w:lang w:eastAsia="zh-CN"/>
                    </w:rPr>
                    <w:t>日</w:t>
                  </w:r>
                </w:p>
              </w:tc>
              <w:tc>
                <w:tcPr>
                  <w:tcW w:w="1375" w:type="dxa"/>
                  <w:vMerge w:val="restart"/>
                  <w:tcBorders>
                    <w:tl2br w:val="nil"/>
                    <w:tr2bl w:val="nil"/>
                  </w:tcBorders>
                  <w:noWrap w:val="0"/>
                  <w:vAlign w:val="center"/>
                </w:tcPr>
                <w:p w14:paraId="21C93879">
                  <w:pPr>
                    <w:keepNext w:val="0"/>
                    <w:keepLines w:val="0"/>
                    <w:widowControl/>
                    <w:suppressLineNumbers w:val="0"/>
                    <w:spacing w:before="0" w:beforeAutospacing="0" w:after="0" w:afterAutospacing="0" w:line="240" w:lineRule="auto"/>
                    <w:ind w:left="0" w:leftChars="0" w:right="0" w:rightChars="0"/>
                    <w:jc w:val="center"/>
                    <w:textAlignment w:val="center"/>
                    <w:rPr>
                      <w:rFonts w:hint="default" w:ascii="Times New Roman" w:hAnsi="Times New Roman" w:eastAsia="宋体" w:cs="Times New Roman"/>
                      <w:color w:val="auto"/>
                      <w:szCs w:val="21"/>
                    </w:rPr>
                  </w:pPr>
                  <w:r>
                    <w:rPr>
                      <w:rFonts w:hint="default" w:ascii="Times New Roman" w:hAnsi="Times New Roman" w:eastAsia="宋体" w:cs="Times New Roman"/>
                      <w:b w:val="0"/>
                      <w:bCs w:val="0"/>
                      <w:color w:val="auto"/>
                      <w:sz w:val="21"/>
                      <w:szCs w:val="21"/>
                      <w:highlight w:val="none"/>
                      <w:lang w:val="en-US" w:eastAsia="zh-CN"/>
                    </w:rPr>
                    <w:t>厂界</w:t>
                  </w:r>
                  <w:r>
                    <w:rPr>
                      <w:rFonts w:hint="default" w:ascii="Times New Roman" w:hAnsi="Times New Roman" w:cs="Times New Roman"/>
                      <w:b w:val="0"/>
                      <w:bCs w:val="0"/>
                      <w:color w:val="auto"/>
                      <w:sz w:val="21"/>
                      <w:szCs w:val="21"/>
                      <w:highlight w:val="none"/>
                      <w:lang w:val="en-US" w:eastAsia="zh-CN"/>
                    </w:rPr>
                    <w:t>外</w:t>
                  </w:r>
                  <w:r>
                    <w:rPr>
                      <w:rFonts w:hint="default" w:ascii="Times New Roman" w:hAnsi="Times New Roman" w:eastAsia="宋体" w:cs="Times New Roman"/>
                      <w:b w:val="0"/>
                      <w:bCs w:val="0"/>
                      <w:color w:val="auto"/>
                      <w:sz w:val="21"/>
                      <w:szCs w:val="21"/>
                      <w:highlight w:val="none"/>
                      <w:lang w:val="en-US" w:eastAsia="zh-CN"/>
                    </w:rPr>
                    <w:t>上风向5</w:t>
                  </w:r>
                  <w:r>
                    <w:rPr>
                      <w:rFonts w:hint="default" w:ascii="Times New Roman" w:hAnsi="Times New Roman" w:cs="Times New Roman"/>
                      <w:b w:val="0"/>
                      <w:bCs w:val="0"/>
                      <w:color w:val="auto"/>
                      <w:sz w:val="21"/>
                      <w:szCs w:val="21"/>
                      <w:highlight w:val="none"/>
                      <w:lang w:val="en-US" w:eastAsia="zh-CN"/>
                    </w:rPr>
                    <w:t>m</w:t>
                  </w:r>
                  <w:r>
                    <w:rPr>
                      <w:rFonts w:hint="default" w:ascii="Times New Roman" w:hAnsi="Times New Roman" w:eastAsia="宋体" w:cs="Times New Roman"/>
                      <w:b w:val="0"/>
                      <w:bCs w:val="0"/>
                      <w:color w:val="auto"/>
                      <w:sz w:val="21"/>
                      <w:szCs w:val="21"/>
                      <w:highlight w:val="none"/>
                      <w:lang w:val="en-US" w:eastAsia="zh-CN"/>
                    </w:rPr>
                    <w:t>处1#</w:t>
                  </w:r>
                </w:p>
              </w:tc>
              <w:tc>
                <w:tcPr>
                  <w:tcW w:w="1475" w:type="dxa"/>
                  <w:tcBorders>
                    <w:tl2br w:val="nil"/>
                    <w:tr2bl w:val="nil"/>
                  </w:tcBorders>
                  <w:noWrap w:val="0"/>
                  <w:vAlign w:val="center"/>
                </w:tcPr>
                <w:p w14:paraId="4AC831AF">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szCs w:val="21"/>
                      <w:lang w:val="en-US" w:eastAsia="zh-CN"/>
                    </w:rPr>
                    <w:t>1-2-1</w:t>
                  </w:r>
                </w:p>
              </w:tc>
              <w:tc>
                <w:tcPr>
                  <w:tcW w:w="1433" w:type="dxa"/>
                  <w:tcBorders>
                    <w:tl2br w:val="nil"/>
                    <w:tr2bl w:val="nil"/>
                  </w:tcBorders>
                  <w:shd w:val="clear" w:color="auto" w:fill="auto"/>
                  <w:noWrap w:val="0"/>
                  <w:vAlign w:val="center"/>
                </w:tcPr>
                <w:p w14:paraId="517B4C1C">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olor w:val="000000"/>
                      <w:kern w:val="0"/>
                      <w:sz w:val="20"/>
                      <w:szCs w:val="20"/>
                      <w:lang w:val="en-US" w:eastAsia="zh-CN"/>
                    </w:rPr>
                    <w:t>＜</w:t>
                  </w:r>
                  <w:r>
                    <w:rPr>
                      <w:rFonts w:hint="eastAsia" w:cs="Times New Roman"/>
                      <w:color w:val="000000" w:themeColor="text1"/>
                      <w:kern w:val="0"/>
                      <w:sz w:val="20"/>
                      <w:szCs w:val="20"/>
                      <w:lang w:val="en-US" w:eastAsia="zh-CN" w:bidi="ar-SA"/>
                      <w14:textFill>
                        <w14:solidFill>
                          <w14:schemeClr w14:val="tx1"/>
                        </w14:solidFill>
                      </w14:textFill>
                    </w:rPr>
                    <w:t>0.2</w:t>
                  </w:r>
                  <w:r>
                    <w:rPr>
                      <w:rFonts w:hint="default" w:ascii="Arial" w:hAnsi="Arial" w:cs="Arial"/>
                      <w:color w:val="000000" w:themeColor="text1"/>
                      <w:kern w:val="0"/>
                      <w:sz w:val="20"/>
                      <w:szCs w:val="20"/>
                      <w:lang w:val="en-US" w:eastAsia="zh-CN" w:bidi="ar-SA"/>
                      <w14:textFill>
                        <w14:solidFill>
                          <w14:schemeClr w14:val="tx1"/>
                        </w14:solidFill>
                      </w14:textFill>
                    </w:rPr>
                    <w:t>×</w:t>
                  </w:r>
                  <w:r>
                    <w:rPr>
                      <w:rFonts w:hint="eastAsia" w:cs="Times New Roman"/>
                      <w:color w:val="000000" w:themeColor="text1"/>
                      <w:kern w:val="0"/>
                      <w:sz w:val="20"/>
                      <w:szCs w:val="20"/>
                      <w:lang w:val="en-US" w:eastAsia="zh-CN" w:bidi="ar-SA"/>
                      <w14:textFill>
                        <w14:solidFill>
                          <w14:schemeClr w14:val="tx1"/>
                        </w14:solidFill>
                      </w14:textFill>
                    </w:rPr>
                    <w:t>10</w:t>
                  </w:r>
                  <w:r>
                    <w:rPr>
                      <w:rFonts w:hint="eastAsia" w:cs="Times New Roman"/>
                      <w:color w:val="000000" w:themeColor="text1"/>
                      <w:kern w:val="0"/>
                      <w:sz w:val="20"/>
                      <w:szCs w:val="20"/>
                      <w:vertAlign w:val="superscript"/>
                      <w:lang w:val="en-US" w:eastAsia="zh-CN" w:bidi="ar-SA"/>
                      <w14:textFill>
                        <w14:solidFill>
                          <w14:schemeClr w14:val="tx1"/>
                        </w14:solidFill>
                      </w14:textFill>
                    </w:rPr>
                    <w:t>-3</w:t>
                  </w:r>
                </w:p>
              </w:tc>
              <w:tc>
                <w:tcPr>
                  <w:tcW w:w="1705" w:type="dxa"/>
                  <w:tcBorders>
                    <w:tl2br w:val="nil"/>
                    <w:tr2bl w:val="nil"/>
                  </w:tcBorders>
                  <w:shd w:val="clear" w:color="auto" w:fill="auto"/>
                  <w:noWrap w:val="0"/>
                  <w:vAlign w:val="center"/>
                </w:tcPr>
                <w:p w14:paraId="00C5AA15">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zCs w:val="21"/>
                      <w:lang w:val="en-US" w:eastAsia="zh-CN"/>
                    </w:rPr>
                    <w:t>0.041</w:t>
                  </w:r>
                </w:p>
              </w:tc>
              <w:tc>
                <w:tcPr>
                  <w:tcW w:w="1320" w:type="dxa"/>
                  <w:tcBorders>
                    <w:tl2br w:val="nil"/>
                    <w:tr2bl w:val="nil"/>
                  </w:tcBorders>
                  <w:shd w:val="clear" w:color="auto" w:fill="auto"/>
                  <w:noWrap w:val="0"/>
                  <w:vAlign w:val="center"/>
                </w:tcPr>
                <w:p w14:paraId="77858D98">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＜10</w:t>
                  </w:r>
                </w:p>
              </w:tc>
            </w:tr>
            <w:tr w14:paraId="67AB6471">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1339" w:type="dxa"/>
                  <w:vMerge w:val="continue"/>
                  <w:tcBorders>
                    <w:tl2br w:val="nil"/>
                    <w:tr2bl w:val="nil"/>
                  </w:tcBorders>
                  <w:noWrap w:val="0"/>
                  <w:vAlign w:val="center"/>
                </w:tcPr>
                <w:p w14:paraId="6D4C8E3C">
                  <w:pPr>
                    <w:spacing w:line="260" w:lineRule="exact"/>
                    <w:jc w:val="center"/>
                    <w:rPr>
                      <w:rFonts w:hint="default" w:ascii="Times New Roman" w:hAnsi="Times New Roman" w:eastAsia="宋体" w:cs="Times New Roman"/>
                      <w:color w:val="auto"/>
                      <w:szCs w:val="21"/>
                    </w:rPr>
                  </w:pPr>
                </w:p>
              </w:tc>
              <w:tc>
                <w:tcPr>
                  <w:tcW w:w="1375" w:type="dxa"/>
                  <w:vMerge w:val="continue"/>
                  <w:tcBorders>
                    <w:tl2br w:val="nil"/>
                    <w:tr2bl w:val="nil"/>
                  </w:tcBorders>
                  <w:noWrap w:val="0"/>
                  <w:vAlign w:val="center"/>
                </w:tcPr>
                <w:p w14:paraId="4E7B0148">
                  <w:pPr>
                    <w:spacing w:line="260" w:lineRule="exact"/>
                    <w:jc w:val="center"/>
                    <w:rPr>
                      <w:rFonts w:hint="default" w:ascii="Times New Roman" w:hAnsi="Times New Roman" w:eastAsia="宋体" w:cs="Times New Roman"/>
                      <w:color w:val="auto"/>
                      <w:szCs w:val="21"/>
                    </w:rPr>
                  </w:pPr>
                </w:p>
              </w:tc>
              <w:tc>
                <w:tcPr>
                  <w:tcW w:w="1475" w:type="dxa"/>
                  <w:tcBorders>
                    <w:tl2br w:val="nil"/>
                    <w:tr2bl w:val="nil"/>
                  </w:tcBorders>
                  <w:noWrap w:val="0"/>
                  <w:vAlign w:val="center"/>
                </w:tcPr>
                <w:p w14:paraId="24825D51">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szCs w:val="21"/>
                      <w:lang w:val="en-US" w:eastAsia="zh-CN"/>
                    </w:rPr>
                    <w:t>1-2-2</w:t>
                  </w:r>
                </w:p>
              </w:tc>
              <w:tc>
                <w:tcPr>
                  <w:tcW w:w="1433" w:type="dxa"/>
                  <w:tcBorders>
                    <w:tl2br w:val="nil"/>
                    <w:tr2bl w:val="nil"/>
                  </w:tcBorders>
                  <w:shd w:val="clear" w:color="auto" w:fill="auto"/>
                  <w:noWrap w:val="0"/>
                  <w:vAlign w:val="center"/>
                </w:tcPr>
                <w:p w14:paraId="72AA5CE8">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olor w:val="000000"/>
                      <w:kern w:val="0"/>
                      <w:sz w:val="20"/>
                      <w:szCs w:val="20"/>
                      <w:lang w:val="en-US" w:eastAsia="zh-CN"/>
                    </w:rPr>
                    <w:t>＜</w:t>
                  </w:r>
                  <w:r>
                    <w:rPr>
                      <w:rFonts w:hint="eastAsia" w:cs="Times New Roman"/>
                      <w:color w:val="000000" w:themeColor="text1"/>
                      <w:kern w:val="0"/>
                      <w:sz w:val="20"/>
                      <w:szCs w:val="20"/>
                      <w:lang w:val="en-US" w:eastAsia="zh-CN" w:bidi="ar-SA"/>
                      <w14:textFill>
                        <w14:solidFill>
                          <w14:schemeClr w14:val="tx1"/>
                        </w14:solidFill>
                      </w14:textFill>
                    </w:rPr>
                    <w:t>0.2</w:t>
                  </w:r>
                  <w:r>
                    <w:rPr>
                      <w:rFonts w:hint="default" w:ascii="Arial" w:hAnsi="Arial" w:cs="Arial"/>
                      <w:color w:val="000000" w:themeColor="text1"/>
                      <w:kern w:val="0"/>
                      <w:sz w:val="20"/>
                      <w:szCs w:val="20"/>
                      <w:lang w:val="en-US" w:eastAsia="zh-CN" w:bidi="ar-SA"/>
                      <w14:textFill>
                        <w14:solidFill>
                          <w14:schemeClr w14:val="tx1"/>
                        </w14:solidFill>
                      </w14:textFill>
                    </w:rPr>
                    <w:t>×</w:t>
                  </w:r>
                  <w:r>
                    <w:rPr>
                      <w:rFonts w:hint="eastAsia" w:cs="Times New Roman"/>
                      <w:color w:val="000000" w:themeColor="text1"/>
                      <w:kern w:val="0"/>
                      <w:sz w:val="20"/>
                      <w:szCs w:val="20"/>
                      <w:lang w:val="en-US" w:eastAsia="zh-CN" w:bidi="ar-SA"/>
                      <w14:textFill>
                        <w14:solidFill>
                          <w14:schemeClr w14:val="tx1"/>
                        </w14:solidFill>
                      </w14:textFill>
                    </w:rPr>
                    <w:t>10</w:t>
                  </w:r>
                  <w:r>
                    <w:rPr>
                      <w:rFonts w:hint="eastAsia" w:cs="Times New Roman"/>
                      <w:color w:val="000000" w:themeColor="text1"/>
                      <w:kern w:val="0"/>
                      <w:sz w:val="20"/>
                      <w:szCs w:val="20"/>
                      <w:vertAlign w:val="superscript"/>
                      <w:lang w:val="en-US" w:eastAsia="zh-CN" w:bidi="ar-SA"/>
                      <w14:textFill>
                        <w14:solidFill>
                          <w14:schemeClr w14:val="tx1"/>
                        </w14:solidFill>
                      </w14:textFill>
                    </w:rPr>
                    <w:t>-3</w:t>
                  </w:r>
                </w:p>
              </w:tc>
              <w:tc>
                <w:tcPr>
                  <w:tcW w:w="1705" w:type="dxa"/>
                  <w:tcBorders>
                    <w:tl2br w:val="nil"/>
                    <w:tr2bl w:val="nil"/>
                  </w:tcBorders>
                  <w:shd w:val="clear" w:color="auto" w:fill="auto"/>
                  <w:noWrap w:val="0"/>
                  <w:vAlign w:val="center"/>
                </w:tcPr>
                <w:p w14:paraId="3D8F61C8">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zCs w:val="21"/>
                      <w:lang w:val="en-US" w:eastAsia="zh-CN"/>
                    </w:rPr>
                    <w:t>0.110</w:t>
                  </w:r>
                </w:p>
              </w:tc>
              <w:tc>
                <w:tcPr>
                  <w:tcW w:w="1320" w:type="dxa"/>
                  <w:tcBorders>
                    <w:tl2br w:val="nil"/>
                    <w:tr2bl w:val="nil"/>
                  </w:tcBorders>
                  <w:shd w:val="clear" w:color="auto" w:fill="auto"/>
                  <w:noWrap w:val="0"/>
                  <w:vAlign w:val="center"/>
                </w:tcPr>
                <w:p w14:paraId="2A4D368C">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＜10</w:t>
                  </w:r>
                </w:p>
              </w:tc>
            </w:tr>
            <w:tr w14:paraId="176B285C">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1339" w:type="dxa"/>
                  <w:vMerge w:val="continue"/>
                  <w:tcBorders>
                    <w:tl2br w:val="nil"/>
                    <w:tr2bl w:val="nil"/>
                  </w:tcBorders>
                  <w:noWrap w:val="0"/>
                  <w:vAlign w:val="center"/>
                </w:tcPr>
                <w:p w14:paraId="703C05BC">
                  <w:pPr>
                    <w:spacing w:line="260" w:lineRule="exact"/>
                    <w:jc w:val="center"/>
                    <w:rPr>
                      <w:rFonts w:hint="default" w:ascii="Times New Roman" w:hAnsi="Times New Roman" w:eastAsia="宋体" w:cs="Times New Roman"/>
                      <w:color w:val="auto"/>
                      <w:szCs w:val="21"/>
                    </w:rPr>
                  </w:pPr>
                </w:p>
              </w:tc>
              <w:tc>
                <w:tcPr>
                  <w:tcW w:w="1375" w:type="dxa"/>
                  <w:vMerge w:val="continue"/>
                  <w:tcBorders>
                    <w:tl2br w:val="nil"/>
                    <w:tr2bl w:val="nil"/>
                  </w:tcBorders>
                  <w:noWrap w:val="0"/>
                  <w:vAlign w:val="center"/>
                </w:tcPr>
                <w:p w14:paraId="58D1CFDB">
                  <w:pPr>
                    <w:spacing w:line="260" w:lineRule="exact"/>
                    <w:jc w:val="center"/>
                    <w:rPr>
                      <w:rFonts w:hint="default" w:ascii="Times New Roman" w:hAnsi="Times New Roman" w:eastAsia="宋体" w:cs="Times New Roman"/>
                      <w:color w:val="auto"/>
                      <w:szCs w:val="21"/>
                    </w:rPr>
                  </w:pPr>
                </w:p>
              </w:tc>
              <w:tc>
                <w:tcPr>
                  <w:tcW w:w="1475" w:type="dxa"/>
                  <w:tcBorders>
                    <w:tl2br w:val="nil"/>
                    <w:tr2bl w:val="nil"/>
                  </w:tcBorders>
                  <w:noWrap w:val="0"/>
                  <w:vAlign w:val="center"/>
                </w:tcPr>
                <w:p w14:paraId="2C8E059B">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szCs w:val="21"/>
                      <w:lang w:val="en-US" w:eastAsia="zh-CN"/>
                    </w:rPr>
                    <w:t>1-2-3</w:t>
                  </w:r>
                </w:p>
              </w:tc>
              <w:tc>
                <w:tcPr>
                  <w:tcW w:w="1433" w:type="dxa"/>
                  <w:tcBorders>
                    <w:tl2br w:val="nil"/>
                    <w:tr2bl w:val="nil"/>
                  </w:tcBorders>
                  <w:shd w:val="clear" w:color="auto" w:fill="auto"/>
                  <w:noWrap w:val="0"/>
                  <w:vAlign w:val="center"/>
                </w:tcPr>
                <w:p w14:paraId="1BC1ED9D">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olor w:val="000000"/>
                      <w:kern w:val="0"/>
                      <w:sz w:val="20"/>
                      <w:szCs w:val="20"/>
                      <w:lang w:val="en-US" w:eastAsia="zh-CN"/>
                    </w:rPr>
                    <w:t>＜</w:t>
                  </w:r>
                  <w:r>
                    <w:rPr>
                      <w:rFonts w:hint="eastAsia" w:cs="Times New Roman"/>
                      <w:color w:val="000000" w:themeColor="text1"/>
                      <w:kern w:val="0"/>
                      <w:sz w:val="20"/>
                      <w:szCs w:val="20"/>
                      <w:lang w:val="en-US" w:eastAsia="zh-CN" w:bidi="ar-SA"/>
                      <w14:textFill>
                        <w14:solidFill>
                          <w14:schemeClr w14:val="tx1"/>
                        </w14:solidFill>
                      </w14:textFill>
                    </w:rPr>
                    <w:t>0.2</w:t>
                  </w:r>
                  <w:r>
                    <w:rPr>
                      <w:rFonts w:hint="default" w:ascii="Arial" w:hAnsi="Arial" w:cs="Arial"/>
                      <w:color w:val="000000" w:themeColor="text1"/>
                      <w:kern w:val="0"/>
                      <w:sz w:val="20"/>
                      <w:szCs w:val="20"/>
                      <w:lang w:val="en-US" w:eastAsia="zh-CN" w:bidi="ar-SA"/>
                      <w14:textFill>
                        <w14:solidFill>
                          <w14:schemeClr w14:val="tx1"/>
                        </w14:solidFill>
                      </w14:textFill>
                    </w:rPr>
                    <w:t>×</w:t>
                  </w:r>
                  <w:r>
                    <w:rPr>
                      <w:rFonts w:hint="eastAsia" w:cs="Times New Roman"/>
                      <w:color w:val="000000" w:themeColor="text1"/>
                      <w:kern w:val="0"/>
                      <w:sz w:val="20"/>
                      <w:szCs w:val="20"/>
                      <w:lang w:val="en-US" w:eastAsia="zh-CN" w:bidi="ar-SA"/>
                      <w14:textFill>
                        <w14:solidFill>
                          <w14:schemeClr w14:val="tx1"/>
                        </w14:solidFill>
                      </w14:textFill>
                    </w:rPr>
                    <w:t>10</w:t>
                  </w:r>
                  <w:r>
                    <w:rPr>
                      <w:rFonts w:hint="eastAsia" w:cs="Times New Roman"/>
                      <w:color w:val="000000" w:themeColor="text1"/>
                      <w:kern w:val="0"/>
                      <w:sz w:val="20"/>
                      <w:szCs w:val="20"/>
                      <w:vertAlign w:val="superscript"/>
                      <w:lang w:val="en-US" w:eastAsia="zh-CN" w:bidi="ar-SA"/>
                      <w14:textFill>
                        <w14:solidFill>
                          <w14:schemeClr w14:val="tx1"/>
                        </w14:solidFill>
                      </w14:textFill>
                    </w:rPr>
                    <w:t>-3</w:t>
                  </w:r>
                </w:p>
              </w:tc>
              <w:tc>
                <w:tcPr>
                  <w:tcW w:w="1705" w:type="dxa"/>
                  <w:tcBorders>
                    <w:tl2br w:val="nil"/>
                    <w:tr2bl w:val="nil"/>
                  </w:tcBorders>
                  <w:shd w:val="clear" w:color="auto" w:fill="auto"/>
                  <w:noWrap w:val="0"/>
                  <w:vAlign w:val="center"/>
                </w:tcPr>
                <w:p w14:paraId="7C2877D4">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zCs w:val="21"/>
                      <w:lang w:val="en-US" w:eastAsia="zh-CN"/>
                    </w:rPr>
                    <w:t>0.098</w:t>
                  </w:r>
                </w:p>
              </w:tc>
              <w:tc>
                <w:tcPr>
                  <w:tcW w:w="1320" w:type="dxa"/>
                  <w:tcBorders>
                    <w:tl2br w:val="nil"/>
                    <w:tr2bl w:val="nil"/>
                  </w:tcBorders>
                  <w:shd w:val="clear" w:color="auto" w:fill="auto"/>
                  <w:noWrap w:val="0"/>
                  <w:vAlign w:val="center"/>
                </w:tcPr>
                <w:p w14:paraId="73DC4042">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＜10</w:t>
                  </w:r>
                </w:p>
              </w:tc>
            </w:tr>
            <w:tr w14:paraId="5A78B376">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1339" w:type="dxa"/>
                  <w:vMerge w:val="continue"/>
                  <w:tcBorders>
                    <w:tl2br w:val="nil"/>
                    <w:tr2bl w:val="nil"/>
                  </w:tcBorders>
                  <w:noWrap w:val="0"/>
                  <w:vAlign w:val="center"/>
                </w:tcPr>
                <w:p w14:paraId="740603D7">
                  <w:pPr>
                    <w:spacing w:line="260" w:lineRule="exact"/>
                    <w:jc w:val="center"/>
                    <w:rPr>
                      <w:rFonts w:hint="default" w:ascii="Times New Roman" w:hAnsi="Times New Roman" w:eastAsia="宋体" w:cs="Times New Roman"/>
                      <w:color w:val="auto"/>
                      <w:szCs w:val="21"/>
                    </w:rPr>
                  </w:pPr>
                </w:p>
              </w:tc>
              <w:tc>
                <w:tcPr>
                  <w:tcW w:w="1375" w:type="dxa"/>
                  <w:vMerge w:val="continue"/>
                  <w:tcBorders>
                    <w:tl2br w:val="nil"/>
                    <w:tr2bl w:val="nil"/>
                  </w:tcBorders>
                  <w:noWrap w:val="0"/>
                  <w:vAlign w:val="center"/>
                </w:tcPr>
                <w:p w14:paraId="42329F51">
                  <w:pPr>
                    <w:spacing w:line="260" w:lineRule="exact"/>
                    <w:jc w:val="center"/>
                    <w:rPr>
                      <w:rFonts w:hint="default" w:ascii="Times New Roman" w:hAnsi="Times New Roman" w:eastAsia="宋体" w:cs="Times New Roman"/>
                      <w:color w:val="auto"/>
                      <w:szCs w:val="21"/>
                    </w:rPr>
                  </w:pPr>
                </w:p>
              </w:tc>
              <w:tc>
                <w:tcPr>
                  <w:tcW w:w="1475" w:type="dxa"/>
                  <w:tcBorders>
                    <w:tl2br w:val="nil"/>
                    <w:tr2bl w:val="nil"/>
                  </w:tcBorders>
                  <w:noWrap w:val="0"/>
                  <w:vAlign w:val="center"/>
                </w:tcPr>
                <w:p w14:paraId="7EE99258">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szCs w:val="21"/>
                      <w:lang w:val="en-US" w:eastAsia="zh-CN"/>
                    </w:rPr>
                    <w:t>1-2-4</w:t>
                  </w:r>
                </w:p>
              </w:tc>
              <w:tc>
                <w:tcPr>
                  <w:tcW w:w="1433" w:type="dxa"/>
                  <w:tcBorders>
                    <w:tl2br w:val="nil"/>
                    <w:tr2bl w:val="nil"/>
                  </w:tcBorders>
                  <w:shd w:val="clear" w:color="auto" w:fill="auto"/>
                  <w:noWrap w:val="0"/>
                  <w:vAlign w:val="center"/>
                </w:tcPr>
                <w:p w14:paraId="6DB4775A">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olor w:val="000000"/>
                      <w:kern w:val="0"/>
                      <w:sz w:val="20"/>
                      <w:szCs w:val="20"/>
                      <w:lang w:val="en-US" w:eastAsia="zh-CN"/>
                    </w:rPr>
                    <w:t>＜</w:t>
                  </w:r>
                  <w:r>
                    <w:rPr>
                      <w:rFonts w:hint="eastAsia" w:cs="Times New Roman"/>
                      <w:color w:val="000000" w:themeColor="text1"/>
                      <w:kern w:val="0"/>
                      <w:sz w:val="20"/>
                      <w:szCs w:val="20"/>
                      <w:lang w:val="en-US" w:eastAsia="zh-CN" w:bidi="ar-SA"/>
                      <w14:textFill>
                        <w14:solidFill>
                          <w14:schemeClr w14:val="tx1"/>
                        </w14:solidFill>
                      </w14:textFill>
                    </w:rPr>
                    <w:t>0.2</w:t>
                  </w:r>
                  <w:r>
                    <w:rPr>
                      <w:rFonts w:hint="default" w:ascii="Arial" w:hAnsi="Arial" w:cs="Arial"/>
                      <w:color w:val="000000" w:themeColor="text1"/>
                      <w:kern w:val="0"/>
                      <w:sz w:val="20"/>
                      <w:szCs w:val="20"/>
                      <w:lang w:val="en-US" w:eastAsia="zh-CN" w:bidi="ar-SA"/>
                      <w14:textFill>
                        <w14:solidFill>
                          <w14:schemeClr w14:val="tx1"/>
                        </w14:solidFill>
                      </w14:textFill>
                    </w:rPr>
                    <w:t>×</w:t>
                  </w:r>
                  <w:r>
                    <w:rPr>
                      <w:rFonts w:hint="eastAsia" w:cs="Times New Roman"/>
                      <w:color w:val="000000" w:themeColor="text1"/>
                      <w:kern w:val="0"/>
                      <w:sz w:val="20"/>
                      <w:szCs w:val="20"/>
                      <w:lang w:val="en-US" w:eastAsia="zh-CN" w:bidi="ar-SA"/>
                      <w14:textFill>
                        <w14:solidFill>
                          <w14:schemeClr w14:val="tx1"/>
                        </w14:solidFill>
                      </w14:textFill>
                    </w:rPr>
                    <w:t>10</w:t>
                  </w:r>
                  <w:r>
                    <w:rPr>
                      <w:rFonts w:hint="eastAsia" w:cs="Times New Roman"/>
                      <w:color w:val="000000" w:themeColor="text1"/>
                      <w:kern w:val="0"/>
                      <w:sz w:val="20"/>
                      <w:szCs w:val="20"/>
                      <w:vertAlign w:val="superscript"/>
                      <w:lang w:val="en-US" w:eastAsia="zh-CN" w:bidi="ar-SA"/>
                      <w14:textFill>
                        <w14:solidFill>
                          <w14:schemeClr w14:val="tx1"/>
                        </w14:solidFill>
                      </w14:textFill>
                    </w:rPr>
                    <w:t>-3</w:t>
                  </w:r>
                </w:p>
              </w:tc>
              <w:tc>
                <w:tcPr>
                  <w:tcW w:w="1705" w:type="dxa"/>
                  <w:tcBorders>
                    <w:tl2br w:val="nil"/>
                    <w:tr2bl w:val="nil"/>
                  </w:tcBorders>
                  <w:shd w:val="clear" w:color="auto" w:fill="auto"/>
                  <w:noWrap w:val="0"/>
                  <w:vAlign w:val="center"/>
                </w:tcPr>
                <w:p w14:paraId="0843142C">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zCs w:val="21"/>
                      <w:lang w:val="en-US" w:eastAsia="zh-CN"/>
                    </w:rPr>
                    <w:t>0.090</w:t>
                  </w:r>
                </w:p>
              </w:tc>
              <w:tc>
                <w:tcPr>
                  <w:tcW w:w="1320" w:type="dxa"/>
                  <w:tcBorders>
                    <w:tl2br w:val="nil"/>
                    <w:tr2bl w:val="nil"/>
                  </w:tcBorders>
                  <w:shd w:val="clear" w:color="auto" w:fill="auto"/>
                  <w:noWrap w:val="0"/>
                  <w:vAlign w:val="center"/>
                </w:tcPr>
                <w:p w14:paraId="32EC0955">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＜10</w:t>
                  </w:r>
                </w:p>
              </w:tc>
            </w:tr>
            <w:tr w14:paraId="187753A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1339" w:type="dxa"/>
                  <w:vMerge w:val="continue"/>
                  <w:tcBorders>
                    <w:tl2br w:val="nil"/>
                    <w:tr2bl w:val="nil"/>
                  </w:tcBorders>
                  <w:noWrap w:val="0"/>
                  <w:vAlign w:val="center"/>
                </w:tcPr>
                <w:p w14:paraId="60125AA8">
                  <w:pPr>
                    <w:spacing w:line="260" w:lineRule="exact"/>
                    <w:jc w:val="center"/>
                    <w:rPr>
                      <w:rFonts w:hint="default" w:ascii="Times New Roman" w:hAnsi="Times New Roman" w:eastAsia="宋体" w:cs="Times New Roman"/>
                      <w:color w:val="auto"/>
                      <w:szCs w:val="21"/>
                    </w:rPr>
                  </w:pPr>
                </w:p>
              </w:tc>
              <w:tc>
                <w:tcPr>
                  <w:tcW w:w="1375" w:type="dxa"/>
                  <w:vMerge w:val="restart"/>
                  <w:tcBorders>
                    <w:tl2br w:val="nil"/>
                    <w:tr2bl w:val="nil"/>
                  </w:tcBorders>
                  <w:noWrap w:val="0"/>
                  <w:vAlign w:val="center"/>
                </w:tcPr>
                <w:p w14:paraId="2388788B">
                  <w:pPr>
                    <w:keepNext w:val="0"/>
                    <w:keepLines w:val="0"/>
                    <w:widowControl/>
                    <w:suppressLineNumbers w:val="0"/>
                    <w:spacing w:before="0" w:beforeAutospacing="0" w:after="0" w:afterAutospacing="0" w:line="240" w:lineRule="auto"/>
                    <w:ind w:left="0" w:leftChars="0" w:right="0" w:rightChars="0"/>
                    <w:jc w:val="center"/>
                    <w:textAlignment w:val="center"/>
                    <w:rPr>
                      <w:rFonts w:hint="default" w:ascii="Times New Roman" w:hAnsi="Times New Roman" w:eastAsia="宋体" w:cs="Times New Roman"/>
                      <w:color w:val="auto"/>
                      <w:szCs w:val="21"/>
                    </w:rPr>
                  </w:pPr>
                  <w:r>
                    <w:rPr>
                      <w:rFonts w:hint="default" w:ascii="Times New Roman" w:hAnsi="Times New Roman" w:eastAsia="宋体" w:cs="Times New Roman"/>
                      <w:b w:val="0"/>
                      <w:bCs w:val="0"/>
                      <w:color w:val="auto"/>
                      <w:sz w:val="21"/>
                      <w:szCs w:val="21"/>
                      <w:highlight w:val="none"/>
                      <w:lang w:val="en-US" w:eastAsia="zh-CN"/>
                    </w:rPr>
                    <w:t>厂界</w:t>
                  </w:r>
                  <w:r>
                    <w:rPr>
                      <w:rFonts w:hint="default" w:ascii="Times New Roman" w:hAnsi="Times New Roman" w:cs="Times New Roman"/>
                      <w:b w:val="0"/>
                      <w:bCs w:val="0"/>
                      <w:color w:val="auto"/>
                      <w:sz w:val="21"/>
                      <w:szCs w:val="21"/>
                      <w:highlight w:val="none"/>
                      <w:lang w:val="en-US" w:eastAsia="zh-CN"/>
                    </w:rPr>
                    <w:t>外</w:t>
                  </w:r>
                  <w:r>
                    <w:rPr>
                      <w:rFonts w:hint="default" w:ascii="Times New Roman" w:hAnsi="Times New Roman" w:eastAsia="宋体" w:cs="Times New Roman"/>
                      <w:b w:val="0"/>
                      <w:bCs w:val="0"/>
                      <w:color w:val="auto"/>
                      <w:sz w:val="21"/>
                      <w:szCs w:val="21"/>
                      <w:highlight w:val="none"/>
                      <w:lang w:val="en-US" w:eastAsia="zh-CN"/>
                    </w:rPr>
                    <w:t>下风向5</w:t>
                  </w:r>
                  <w:r>
                    <w:rPr>
                      <w:rFonts w:hint="default" w:ascii="Times New Roman" w:hAnsi="Times New Roman" w:cs="Times New Roman"/>
                      <w:b w:val="0"/>
                      <w:bCs w:val="0"/>
                      <w:color w:val="auto"/>
                      <w:sz w:val="21"/>
                      <w:szCs w:val="21"/>
                      <w:highlight w:val="none"/>
                      <w:lang w:val="en-US" w:eastAsia="zh-CN"/>
                    </w:rPr>
                    <w:t>m</w:t>
                  </w:r>
                  <w:r>
                    <w:rPr>
                      <w:rFonts w:hint="default" w:ascii="Times New Roman" w:hAnsi="Times New Roman" w:eastAsia="宋体" w:cs="Times New Roman"/>
                      <w:b w:val="0"/>
                      <w:bCs w:val="0"/>
                      <w:color w:val="auto"/>
                      <w:sz w:val="21"/>
                      <w:szCs w:val="21"/>
                      <w:highlight w:val="none"/>
                      <w:lang w:val="en-US" w:eastAsia="zh-CN"/>
                    </w:rPr>
                    <w:t>处2#</w:t>
                  </w:r>
                </w:p>
              </w:tc>
              <w:tc>
                <w:tcPr>
                  <w:tcW w:w="1475" w:type="dxa"/>
                  <w:tcBorders>
                    <w:tl2br w:val="nil"/>
                    <w:tr2bl w:val="nil"/>
                  </w:tcBorders>
                  <w:noWrap w:val="0"/>
                  <w:vAlign w:val="center"/>
                </w:tcPr>
                <w:p w14:paraId="2CB5097B">
                  <w:pPr>
                    <w:jc w:val="center"/>
                    <w:rPr>
                      <w:rFonts w:hint="default" w:ascii="Times New Roman" w:hAnsi="Times New Roman" w:eastAsia="宋体" w:cs="Times New Roman"/>
                      <w:color w:val="auto"/>
                      <w:kern w:val="2"/>
                      <w:sz w:val="21"/>
                      <w:szCs w:val="21"/>
                      <w:lang w:val="en-US" w:eastAsia="zh-CN" w:bidi="ar-SA"/>
                    </w:rPr>
                  </w:pPr>
                  <w:r>
                    <w:rPr>
                      <w:rFonts w:hint="eastAsia"/>
                      <w:szCs w:val="21"/>
                      <w:lang w:val="en-US" w:eastAsia="zh-CN"/>
                    </w:rPr>
                    <w:t>2-2-1</w:t>
                  </w:r>
                </w:p>
              </w:tc>
              <w:tc>
                <w:tcPr>
                  <w:tcW w:w="1433" w:type="dxa"/>
                  <w:tcBorders>
                    <w:tl2br w:val="nil"/>
                    <w:tr2bl w:val="nil"/>
                  </w:tcBorders>
                  <w:shd w:val="clear" w:color="auto" w:fill="auto"/>
                  <w:noWrap w:val="0"/>
                  <w:vAlign w:val="center"/>
                </w:tcPr>
                <w:p w14:paraId="70D6DE54">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olor w:val="000000"/>
                      <w:kern w:val="0"/>
                      <w:sz w:val="20"/>
                      <w:szCs w:val="20"/>
                      <w:lang w:val="en-US" w:eastAsia="zh-CN"/>
                    </w:rPr>
                    <w:t>＜</w:t>
                  </w:r>
                  <w:r>
                    <w:rPr>
                      <w:rFonts w:hint="eastAsia" w:cs="Times New Roman"/>
                      <w:color w:val="000000" w:themeColor="text1"/>
                      <w:kern w:val="0"/>
                      <w:sz w:val="20"/>
                      <w:szCs w:val="20"/>
                      <w:lang w:val="en-US" w:eastAsia="zh-CN" w:bidi="ar-SA"/>
                      <w14:textFill>
                        <w14:solidFill>
                          <w14:schemeClr w14:val="tx1"/>
                        </w14:solidFill>
                      </w14:textFill>
                    </w:rPr>
                    <w:t>0.2</w:t>
                  </w:r>
                  <w:r>
                    <w:rPr>
                      <w:rFonts w:hint="default" w:ascii="Arial" w:hAnsi="Arial" w:cs="Arial"/>
                      <w:color w:val="000000" w:themeColor="text1"/>
                      <w:kern w:val="0"/>
                      <w:sz w:val="20"/>
                      <w:szCs w:val="20"/>
                      <w:lang w:val="en-US" w:eastAsia="zh-CN" w:bidi="ar-SA"/>
                      <w14:textFill>
                        <w14:solidFill>
                          <w14:schemeClr w14:val="tx1"/>
                        </w14:solidFill>
                      </w14:textFill>
                    </w:rPr>
                    <w:t>×</w:t>
                  </w:r>
                  <w:r>
                    <w:rPr>
                      <w:rFonts w:hint="eastAsia" w:cs="Times New Roman"/>
                      <w:color w:val="000000" w:themeColor="text1"/>
                      <w:kern w:val="0"/>
                      <w:sz w:val="20"/>
                      <w:szCs w:val="20"/>
                      <w:lang w:val="en-US" w:eastAsia="zh-CN" w:bidi="ar-SA"/>
                      <w14:textFill>
                        <w14:solidFill>
                          <w14:schemeClr w14:val="tx1"/>
                        </w14:solidFill>
                      </w14:textFill>
                    </w:rPr>
                    <w:t>10</w:t>
                  </w:r>
                  <w:r>
                    <w:rPr>
                      <w:rFonts w:hint="eastAsia" w:cs="Times New Roman"/>
                      <w:color w:val="000000" w:themeColor="text1"/>
                      <w:kern w:val="0"/>
                      <w:sz w:val="20"/>
                      <w:szCs w:val="20"/>
                      <w:vertAlign w:val="superscript"/>
                      <w:lang w:val="en-US" w:eastAsia="zh-CN" w:bidi="ar-SA"/>
                      <w14:textFill>
                        <w14:solidFill>
                          <w14:schemeClr w14:val="tx1"/>
                        </w14:solidFill>
                      </w14:textFill>
                    </w:rPr>
                    <w:t>-3</w:t>
                  </w:r>
                </w:p>
              </w:tc>
              <w:tc>
                <w:tcPr>
                  <w:tcW w:w="1705" w:type="dxa"/>
                  <w:tcBorders>
                    <w:tl2br w:val="nil"/>
                    <w:tr2bl w:val="nil"/>
                  </w:tcBorders>
                  <w:shd w:val="clear" w:color="auto" w:fill="auto"/>
                  <w:noWrap w:val="0"/>
                  <w:vAlign w:val="center"/>
                </w:tcPr>
                <w:p w14:paraId="334ED5D6">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zCs w:val="21"/>
                      <w:lang w:val="en-US" w:eastAsia="zh-CN"/>
                    </w:rPr>
                    <w:t>0.033</w:t>
                  </w:r>
                </w:p>
              </w:tc>
              <w:tc>
                <w:tcPr>
                  <w:tcW w:w="1320" w:type="dxa"/>
                  <w:tcBorders>
                    <w:tl2br w:val="nil"/>
                    <w:tr2bl w:val="nil"/>
                  </w:tcBorders>
                  <w:shd w:val="clear" w:color="auto" w:fill="auto"/>
                  <w:noWrap w:val="0"/>
                  <w:vAlign w:val="center"/>
                </w:tcPr>
                <w:p w14:paraId="73A64A51">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＜10</w:t>
                  </w:r>
                </w:p>
              </w:tc>
            </w:tr>
            <w:tr w14:paraId="55F2DE3C">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1339" w:type="dxa"/>
                  <w:vMerge w:val="continue"/>
                  <w:tcBorders>
                    <w:tl2br w:val="nil"/>
                    <w:tr2bl w:val="nil"/>
                  </w:tcBorders>
                  <w:noWrap w:val="0"/>
                  <w:vAlign w:val="center"/>
                </w:tcPr>
                <w:p w14:paraId="460E44B4">
                  <w:pPr>
                    <w:spacing w:line="260" w:lineRule="exact"/>
                    <w:jc w:val="center"/>
                    <w:rPr>
                      <w:rFonts w:hint="default" w:ascii="Times New Roman" w:hAnsi="Times New Roman" w:eastAsia="宋体" w:cs="Times New Roman"/>
                      <w:color w:val="auto"/>
                      <w:szCs w:val="21"/>
                    </w:rPr>
                  </w:pPr>
                </w:p>
              </w:tc>
              <w:tc>
                <w:tcPr>
                  <w:tcW w:w="1375" w:type="dxa"/>
                  <w:vMerge w:val="continue"/>
                  <w:tcBorders>
                    <w:tl2br w:val="nil"/>
                    <w:tr2bl w:val="nil"/>
                  </w:tcBorders>
                  <w:noWrap w:val="0"/>
                  <w:vAlign w:val="center"/>
                </w:tcPr>
                <w:p w14:paraId="2BCA1F93">
                  <w:pPr>
                    <w:spacing w:line="260" w:lineRule="exact"/>
                    <w:jc w:val="center"/>
                    <w:rPr>
                      <w:rFonts w:hint="default" w:ascii="Times New Roman" w:hAnsi="Times New Roman" w:eastAsia="宋体" w:cs="Times New Roman"/>
                      <w:color w:val="auto"/>
                      <w:szCs w:val="21"/>
                    </w:rPr>
                  </w:pPr>
                </w:p>
              </w:tc>
              <w:tc>
                <w:tcPr>
                  <w:tcW w:w="1475" w:type="dxa"/>
                  <w:tcBorders>
                    <w:tl2br w:val="nil"/>
                    <w:tr2bl w:val="nil"/>
                  </w:tcBorders>
                  <w:noWrap w:val="0"/>
                  <w:vAlign w:val="center"/>
                </w:tcPr>
                <w:p w14:paraId="73FE7C09">
                  <w:pPr>
                    <w:jc w:val="center"/>
                    <w:rPr>
                      <w:rFonts w:hint="default" w:ascii="Times New Roman" w:hAnsi="Times New Roman" w:eastAsia="宋体" w:cs="Times New Roman"/>
                      <w:color w:val="auto"/>
                      <w:szCs w:val="21"/>
                    </w:rPr>
                  </w:pPr>
                  <w:r>
                    <w:rPr>
                      <w:rFonts w:hint="eastAsia"/>
                      <w:szCs w:val="21"/>
                      <w:lang w:val="en-US" w:eastAsia="zh-CN"/>
                    </w:rPr>
                    <w:t>2-2-2</w:t>
                  </w:r>
                </w:p>
              </w:tc>
              <w:tc>
                <w:tcPr>
                  <w:tcW w:w="1433" w:type="dxa"/>
                  <w:tcBorders>
                    <w:tl2br w:val="nil"/>
                    <w:tr2bl w:val="nil"/>
                  </w:tcBorders>
                  <w:shd w:val="clear" w:color="auto" w:fill="auto"/>
                  <w:noWrap w:val="0"/>
                  <w:vAlign w:val="center"/>
                </w:tcPr>
                <w:p w14:paraId="6F7149B0">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olor w:val="000000"/>
                      <w:kern w:val="0"/>
                      <w:sz w:val="20"/>
                      <w:szCs w:val="20"/>
                      <w:lang w:val="en-US" w:eastAsia="zh-CN"/>
                    </w:rPr>
                    <w:t>＜</w:t>
                  </w:r>
                  <w:r>
                    <w:rPr>
                      <w:rFonts w:hint="eastAsia" w:cs="Times New Roman"/>
                      <w:color w:val="000000" w:themeColor="text1"/>
                      <w:kern w:val="0"/>
                      <w:sz w:val="20"/>
                      <w:szCs w:val="20"/>
                      <w:lang w:val="en-US" w:eastAsia="zh-CN" w:bidi="ar-SA"/>
                      <w14:textFill>
                        <w14:solidFill>
                          <w14:schemeClr w14:val="tx1"/>
                        </w14:solidFill>
                      </w14:textFill>
                    </w:rPr>
                    <w:t>0.2</w:t>
                  </w:r>
                  <w:r>
                    <w:rPr>
                      <w:rFonts w:hint="default" w:ascii="Arial" w:hAnsi="Arial" w:cs="Arial"/>
                      <w:color w:val="000000" w:themeColor="text1"/>
                      <w:kern w:val="0"/>
                      <w:sz w:val="20"/>
                      <w:szCs w:val="20"/>
                      <w:lang w:val="en-US" w:eastAsia="zh-CN" w:bidi="ar-SA"/>
                      <w14:textFill>
                        <w14:solidFill>
                          <w14:schemeClr w14:val="tx1"/>
                        </w14:solidFill>
                      </w14:textFill>
                    </w:rPr>
                    <w:t>×</w:t>
                  </w:r>
                  <w:r>
                    <w:rPr>
                      <w:rFonts w:hint="eastAsia" w:cs="Times New Roman"/>
                      <w:color w:val="000000" w:themeColor="text1"/>
                      <w:kern w:val="0"/>
                      <w:sz w:val="20"/>
                      <w:szCs w:val="20"/>
                      <w:lang w:val="en-US" w:eastAsia="zh-CN" w:bidi="ar-SA"/>
                      <w14:textFill>
                        <w14:solidFill>
                          <w14:schemeClr w14:val="tx1"/>
                        </w14:solidFill>
                      </w14:textFill>
                    </w:rPr>
                    <w:t>10</w:t>
                  </w:r>
                  <w:r>
                    <w:rPr>
                      <w:rFonts w:hint="eastAsia" w:cs="Times New Roman"/>
                      <w:color w:val="000000" w:themeColor="text1"/>
                      <w:kern w:val="0"/>
                      <w:sz w:val="20"/>
                      <w:szCs w:val="20"/>
                      <w:vertAlign w:val="superscript"/>
                      <w:lang w:val="en-US" w:eastAsia="zh-CN" w:bidi="ar-SA"/>
                      <w14:textFill>
                        <w14:solidFill>
                          <w14:schemeClr w14:val="tx1"/>
                        </w14:solidFill>
                      </w14:textFill>
                    </w:rPr>
                    <w:t>-3</w:t>
                  </w:r>
                </w:p>
              </w:tc>
              <w:tc>
                <w:tcPr>
                  <w:tcW w:w="1705" w:type="dxa"/>
                  <w:tcBorders>
                    <w:tl2br w:val="nil"/>
                    <w:tr2bl w:val="nil"/>
                  </w:tcBorders>
                  <w:shd w:val="clear" w:color="auto" w:fill="auto"/>
                  <w:noWrap w:val="0"/>
                  <w:vAlign w:val="center"/>
                </w:tcPr>
                <w:p w14:paraId="45098B5B">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zCs w:val="21"/>
                      <w:lang w:val="en-US" w:eastAsia="zh-CN"/>
                    </w:rPr>
                    <w:t>0.114</w:t>
                  </w:r>
                </w:p>
              </w:tc>
              <w:tc>
                <w:tcPr>
                  <w:tcW w:w="1320" w:type="dxa"/>
                  <w:tcBorders>
                    <w:tl2br w:val="nil"/>
                    <w:tr2bl w:val="nil"/>
                  </w:tcBorders>
                  <w:shd w:val="clear" w:color="auto" w:fill="auto"/>
                  <w:noWrap w:val="0"/>
                  <w:vAlign w:val="center"/>
                </w:tcPr>
                <w:p w14:paraId="2BA30281">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＜10</w:t>
                  </w:r>
                </w:p>
              </w:tc>
            </w:tr>
            <w:tr w14:paraId="311E7CE5">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1339" w:type="dxa"/>
                  <w:vMerge w:val="continue"/>
                  <w:tcBorders>
                    <w:tl2br w:val="nil"/>
                    <w:tr2bl w:val="nil"/>
                  </w:tcBorders>
                  <w:noWrap w:val="0"/>
                  <w:vAlign w:val="center"/>
                </w:tcPr>
                <w:p w14:paraId="69F22E4A">
                  <w:pPr>
                    <w:spacing w:line="260" w:lineRule="exact"/>
                    <w:jc w:val="center"/>
                    <w:rPr>
                      <w:rFonts w:hint="default" w:ascii="Times New Roman" w:hAnsi="Times New Roman" w:eastAsia="宋体" w:cs="Times New Roman"/>
                      <w:color w:val="auto"/>
                      <w:szCs w:val="21"/>
                    </w:rPr>
                  </w:pPr>
                </w:p>
              </w:tc>
              <w:tc>
                <w:tcPr>
                  <w:tcW w:w="1375" w:type="dxa"/>
                  <w:vMerge w:val="continue"/>
                  <w:tcBorders>
                    <w:tl2br w:val="nil"/>
                    <w:tr2bl w:val="nil"/>
                  </w:tcBorders>
                  <w:noWrap w:val="0"/>
                  <w:vAlign w:val="center"/>
                </w:tcPr>
                <w:p w14:paraId="7CBB600E">
                  <w:pPr>
                    <w:spacing w:line="260" w:lineRule="exact"/>
                    <w:jc w:val="center"/>
                    <w:rPr>
                      <w:rFonts w:hint="default" w:ascii="Times New Roman" w:hAnsi="Times New Roman" w:eastAsia="宋体" w:cs="Times New Roman"/>
                      <w:color w:val="auto"/>
                      <w:szCs w:val="21"/>
                    </w:rPr>
                  </w:pPr>
                </w:p>
              </w:tc>
              <w:tc>
                <w:tcPr>
                  <w:tcW w:w="1475" w:type="dxa"/>
                  <w:tcBorders>
                    <w:tl2br w:val="nil"/>
                    <w:tr2bl w:val="nil"/>
                  </w:tcBorders>
                  <w:noWrap w:val="0"/>
                  <w:vAlign w:val="center"/>
                </w:tcPr>
                <w:p w14:paraId="52C228D4">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szCs w:val="21"/>
                      <w:lang w:val="en-US" w:eastAsia="zh-CN"/>
                    </w:rPr>
                    <w:t>2-2-3</w:t>
                  </w:r>
                </w:p>
              </w:tc>
              <w:tc>
                <w:tcPr>
                  <w:tcW w:w="1433" w:type="dxa"/>
                  <w:tcBorders>
                    <w:tl2br w:val="nil"/>
                    <w:tr2bl w:val="nil"/>
                  </w:tcBorders>
                  <w:shd w:val="clear" w:color="auto" w:fill="auto"/>
                  <w:noWrap w:val="0"/>
                  <w:vAlign w:val="center"/>
                </w:tcPr>
                <w:p w14:paraId="19846584">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olor w:val="000000"/>
                      <w:kern w:val="0"/>
                      <w:sz w:val="20"/>
                      <w:szCs w:val="20"/>
                      <w:lang w:val="en-US" w:eastAsia="zh-CN"/>
                    </w:rPr>
                    <w:t>＜</w:t>
                  </w:r>
                  <w:r>
                    <w:rPr>
                      <w:rFonts w:hint="eastAsia" w:cs="Times New Roman"/>
                      <w:color w:val="000000" w:themeColor="text1"/>
                      <w:kern w:val="0"/>
                      <w:sz w:val="20"/>
                      <w:szCs w:val="20"/>
                      <w:lang w:val="en-US" w:eastAsia="zh-CN" w:bidi="ar-SA"/>
                      <w14:textFill>
                        <w14:solidFill>
                          <w14:schemeClr w14:val="tx1"/>
                        </w14:solidFill>
                      </w14:textFill>
                    </w:rPr>
                    <w:t>0.2</w:t>
                  </w:r>
                  <w:r>
                    <w:rPr>
                      <w:rFonts w:hint="default" w:ascii="Arial" w:hAnsi="Arial" w:cs="Arial"/>
                      <w:color w:val="000000" w:themeColor="text1"/>
                      <w:kern w:val="0"/>
                      <w:sz w:val="20"/>
                      <w:szCs w:val="20"/>
                      <w:lang w:val="en-US" w:eastAsia="zh-CN" w:bidi="ar-SA"/>
                      <w14:textFill>
                        <w14:solidFill>
                          <w14:schemeClr w14:val="tx1"/>
                        </w14:solidFill>
                      </w14:textFill>
                    </w:rPr>
                    <w:t>×</w:t>
                  </w:r>
                  <w:r>
                    <w:rPr>
                      <w:rFonts w:hint="eastAsia" w:cs="Times New Roman"/>
                      <w:color w:val="000000" w:themeColor="text1"/>
                      <w:kern w:val="0"/>
                      <w:sz w:val="20"/>
                      <w:szCs w:val="20"/>
                      <w:lang w:val="en-US" w:eastAsia="zh-CN" w:bidi="ar-SA"/>
                      <w14:textFill>
                        <w14:solidFill>
                          <w14:schemeClr w14:val="tx1"/>
                        </w14:solidFill>
                      </w14:textFill>
                    </w:rPr>
                    <w:t>10</w:t>
                  </w:r>
                  <w:r>
                    <w:rPr>
                      <w:rFonts w:hint="eastAsia" w:cs="Times New Roman"/>
                      <w:color w:val="000000" w:themeColor="text1"/>
                      <w:kern w:val="0"/>
                      <w:sz w:val="20"/>
                      <w:szCs w:val="20"/>
                      <w:vertAlign w:val="superscript"/>
                      <w:lang w:val="en-US" w:eastAsia="zh-CN" w:bidi="ar-SA"/>
                      <w14:textFill>
                        <w14:solidFill>
                          <w14:schemeClr w14:val="tx1"/>
                        </w14:solidFill>
                      </w14:textFill>
                    </w:rPr>
                    <w:t>-3</w:t>
                  </w:r>
                </w:p>
              </w:tc>
              <w:tc>
                <w:tcPr>
                  <w:tcW w:w="1705" w:type="dxa"/>
                  <w:tcBorders>
                    <w:tl2br w:val="nil"/>
                    <w:tr2bl w:val="nil"/>
                  </w:tcBorders>
                  <w:shd w:val="clear" w:color="auto" w:fill="auto"/>
                  <w:noWrap w:val="0"/>
                  <w:vAlign w:val="center"/>
                </w:tcPr>
                <w:p w14:paraId="3F74A0AD">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zCs w:val="21"/>
                      <w:lang w:val="en-US" w:eastAsia="zh-CN"/>
                    </w:rPr>
                    <w:t>0.102</w:t>
                  </w:r>
                </w:p>
              </w:tc>
              <w:tc>
                <w:tcPr>
                  <w:tcW w:w="1320" w:type="dxa"/>
                  <w:tcBorders>
                    <w:tl2br w:val="nil"/>
                    <w:tr2bl w:val="nil"/>
                  </w:tcBorders>
                  <w:shd w:val="clear" w:color="auto" w:fill="auto"/>
                  <w:noWrap w:val="0"/>
                  <w:vAlign w:val="center"/>
                </w:tcPr>
                <w:p w14:paraId="4C4C8BA7">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＜10</w:t>
                  </w:r>
                </w:p>
              </w:tc>
            </w:tr>
            <w:tr w14:paraId="48FF9085">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1339" w:type="dxa"/>
                  <w:vMerge w:val="continue"/>
                  <w:tcBorders>
                    <w:tl2br w:val="nil"/>
                    <w:tr2bl w:val="nil"/>
                  </w:tcBorders>
                  <w:noWrap w:val="0"/>
                  <w:vAlign w:val="center"/>
                </w:tcPr>
                <w:p w14:paraId="09D1DC09">
                  <w:pPr>
                    <w:spacing w:line="260" w:lineRule="exact"/>
                    <w:jc w:val="center"/>
                    <w:rPr>
                      <w:rFonts w:hint="default" w:ascii="Times New Roman" w:hAnsi="Times New Roman" w:eastAsia="宋体" w:cs="Times New Roman"/>
                      <w:color w:val="auto"/>
                      <w:szCs w:val="21"/>
                    </w:rPr>
                  </w:pPr>
                </w:p>
              </w:tc>
              <w:tc>
                <w:tcPr>
                  <w:tcW w:w="1375" w:type="dxa"/>
                  <w:vMerge w:val="continue"/>
                  <w:tcBorders>
                    <w:tl2br w:val="nil"/>
                    <w:tr2bl w:val="nil"/>
                  </w:tcBorders>
                  <w:noWrap w:val="0"/>
                  <w:vAlign w:val="center"/>
                </w:tcPr>
                <w:p w14:paraId="7C472A77">
                  <w:pPr>
                    <w:spacing w:line="260" w:lineRule="exact"/>
                    <w:jc w:val="center"/>
                    <w:rPr>
                      <w:rFonts w:hint="default" w:ascii="Times New Roman" w:hAnsi="Times New Roman" w:eastAsia="宋体" w:cs="Times New Roman"/>
                      <w:color w:val="auto"/>
                      <w:szCs w:val="21"/>
                    </w:rPr>
                  </w:pPr>
                </w:p>
              </w:tc>
              <w:tc>
                <w:tcPr>
                  <w:tcW w:w="1475" w:type="dxa"/>
                  <w:tcBorders>
                    <w:tl2br w:val="nil"/>
                    <w:tr2bl w:val="nil"/>
                  </w:tcBorders>
                  <w:noWrap w:val="0"/>
                  <w:vAlign w:val="center"/>
                </w:tcPr>
                <w:p w14:paraId="5807F871">
                  <w:pPr>
                    <w:jc w:val="center"/>
                    <w:rPr>
                      <w:rFonts w:hint="default" w:ascii="Times New Roman" w:hAnsi="Times New Roman" w:eastAsia="宋体" w:cs="Times New Roman"/>
                      <w:color w:val="auto"/>
                      <w:szCs w:val="21"/>
                    </w:rPr>
                  </w:pPr>
                  <w:r>
                    <w:rPr>
                      <w:rFonts w:hint="eastAsia"/>
                      <w:szCs w:val="21"/>
                      <w:lang w:val="en-US" w:eastAsia="zh-CN"/>
                    </w:rPr>
                    <w:t>2-2-4</w:t>
                  </w:r>
                </w:p>
              </w:tc>
              <w:tc>
                <w:tcPr>
                  <w:tcW w:w="1433" w:type="dxa"/>
                  <w:tcBorders>
                    <w:tl2br w:val="nil"/>
                    <w:tr2bl w:val="nil"/>
                  </w:tcBorders>
                  <w:shd w:val="clear" w:color="auto" w:fill="auto"/>
                  <w:noWrap w:val="0"/>
                  <w:vAlign w:val="center"/>
                </w:tcPr>
                <w:p w14:paraId="2D0F9820">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olor w:val="000000"/>
                      <w:kern w:val="0"/>
                      <w:sz w:val="20"/>
                      <w:szCs w:val="20"/>
                      <w:lang w:val="en-US" w:eastAsia="zh-CN"/>
                    </w:rPr>
                    <w:t>＜</w:t>
                  </w:r>
                  <w:r>
                    <w:rPr>
                      <w:rFonts w:hint="eastAsia" w:cs="Times New Roman"/>
                      <w:color w:val="000000" w:themeColor="text1"/>
                      <w:kern w:val="0"/>
                      <w:sz w:val="20"/>
                      <w:szCs w:val="20"/>
                      <w:lang w:val="en-US" w:eastAsia="zh-CN" w:bidi="ar-SA"/>
                      <w14:textFill>
                        <w14:solidFill>
                          <w14:schemeClr w14:val="tx1"/>
                        </w14:solidFill>
                      </w14:textFill>
                    </w:rPr>
                    <w:t>0.2</w:t>
                  </w:r>
                  <w:r>
                    <w:rPr>
                      <w:rFonts w:hint="default" w:ascii="Arial" w:hAnsi="Arial" w:cs="Arial"/>
                      <w:color w:val="000000" w:themeColor="text1"/>
                      <w:kern w:val="0"/>
                      <w:sz w:val="20"/>
                      <w:szCs w:val="20"/>
                      <w:lang w:val="en-US" w:eastAsia="zh-CN" w:bidi="ar-SA"/>
                      <w14:textFill>
                        <w14:solidFill>
                          <w14:schemeClr w14:val="tx1"/>
                        </w14:solidFill>
                      </w14:textFill>
                    </w:rPr>
                    <w:t>×</w:t>
                  </w:r>
                  <w:r>
                    <w:rPr>
                      <w:rFonts w:hint="eastAsia" w:cs="Times New Roman"/>
                      <w:color w:val="000000" w:themeColor="text1"/>
                      <w:kern w:val="0"/>
                      <w:sz w:val="20"/>
                      <w:szCs w:val="20"/>
                      <w:lang w:val="en-US" w:eastAsia="zh-CN" w:bidi="ar-SA"/>
                      <w14:textFill>
                        <w14:solidFill>
                          <w14:schemeClr w14:val="tx1"/>
                        </w14:solidFill>
                      </w14:textFill>
                    </w:rPr>
                    <w:t>10</w:t>
                  </w:r>
                  <w:r>
                    <w:rPr>
                      <w:rFonts w:hint="eastAsia" w:cs="Times New Roman"/>
                      <w:color w:val="000000" w:themeColor="text1"/>
                      <w:kern w:val="0"/>
                      <w:sz w:val="20"/>
                      <w:szCs w:val="20"/>
                      <w:vertAlign w:val="superscript"/>
                      <w:lang w:val="en-US" w:eastAsia="zh-CN" w:bidi="ar-SA"/>
                      <w14:textFill>
                        <w14:solidFill>
                          <w14:schemeClr w14:val="tx1"/>
                        </w14:solidFill>
                      </w14:textFill>
                    </w:rPr>
                    <w:t>-3</w:t>
                  </w:r>
                </w:p>
              </w:tc>
              <w:tc>
                <w:tcPr>
                  <w:tcW w:w="1705" w:type="dxa"/>
                  <w:tcBorders>
                    <w:tl2br w:val="nil"/>
                    <w:tr2bl w:val="nil"/>
                  </w:tcBorders>
                  <w:shd w:val="clear" w:color="auto" w:fill="auto"/>
                  <w:noWrap w:val="0"/>
                  <w:vAlign w:val="center"/>
                </w:tcPr>
                <w:p w14:paraId="4BF65A67">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zCs w:val="21"/>
                      <w:lang w:val="en-US" w:eastAsia="zh-CN"/>
                    </w:rPr>
                    <w:t>0.090</w:t>
                  </w:r>
                </w:p>
              </w:tc>
              <w:tc>
                <w:tcPr>
                  <w:tcW w:w="1320" w:type="dxa"/>
                  <w:tcBorders>
                    <w:tl2br w:val="nil"/>
                    <w:tr2bl w:val="nil"/>
                  </w:tcBorders>
                  <w:shd w:val="clear" w:color="auto" w:fill="auto"/>
                  <w:noWrap w:val="0"/>
                  <w:vAlign w:val="center"/>
                </w:tcPr>
                <w:p w14:paraId="19ABE8BC">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＜10</w:t>
                  </w:r>
                </w:p>
              </w:tc>
            </w:tr>
            <w:tr w14:paraId="59F928D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1339" w:type="dxa"/>
                  <w:vMerge w:val="continue"/>
                  <w:tcBorders>
                    <w:tl2br w:val="nil"/>
                    <w:tr2bl w:val="nil"/>
                  </w:tcBorders>
                  <w:noWrap w:val="0"/>
                  <w:vAlign w:val="center"/>
                </w:tcPr>
                <w:p w14:paraId="620936C9">
                  <w:pPr>
                    <w:spacing w:line="260" w:lineRule="exact"/>
                    <w:jc w:val="center"/>
                    <w:rPr>
                      <w:rFonts w:hint="default" w:ascii="Times New Roman" w:hAnsi="Times New Roman" w:eastAsia="宋体" w:cs="Times New Roman"/>
                      <w:color w:val="auto"/>
                      <w:szCs w:val="21"/>
                    </w:rPr>
                  </w:pPr>
                </w:p>
              </w:tc>
              <w:tc>
                <w:tcPr>
                  <w:tcW w:w="1375" w:type="dxa"/>
                  <w:vMerge w:val="restart"/>
                  <w:tcBorders>
                    <w:tl2br w:val="nil"/>
                    <w:tr2bl w:val="nil"/>
                  </w:tcBorders>
                  <w:noWrap w:val="0"/>
                  <w:vAlign w:val="center"/>
                </w:tcPr>
                <w:p w14:paraId="517C1415">
                  <w:pPr>
                    <w:keepNext w:val="0"/>
                    <w:keepLines w:val="0"/>
                    <w:widowControl/>
                    <w:suppressLineNumbers w:val="0"/>
                    <w:spacing w:before="0" w:beforeAutospacing="0" w:after="0" w:afterAutospacing="0" w:line="240" w:lineRule="auto"/>
                    <w:ind w:left="0" w:leftChars="0" w:right="0" w:rightChars="0"/>
                    <w:jc w:val="center"/>
                    <w:textAlignment w:val="center"/>
                    <w:rPr>
                      <w:rFonts w:hint="default" w:ascii="Times New Roman" w:hAnsi="Times New Roman" w:eastAsia="宋体" w:cs="Times New Roman"/>
                      <w:color w:val="auto"/>
                      <w:szCs w:val="21"/>
                    </w:rPr>
                  </w:pPr>
                  <w:r>
                    <w:rPr>
                      <w:rFonts w:hint="default" w:ascii="Times New Roman" w:hAnsi="Times New Roman" w:eastAsia="宋体" w:cs="Times New Roman"/>
                      <w:b w:val="0"/>
                      <w:bCs w:val="0"/>
                      <w:color w:val="auto"/>
                      <w:sz w:val="21"/>
                      <w:szCs w:val="21"/>
                      <w:highlight w:val="none"/>
                      <w:lang w:val="en-US" w:eastAsia="zh-CN"/>
                    </w:rPr>
                    <w:t>厂界</w:t>
                  </w:r>
                  <w:r>
                    <w:rPr>
                      <w:rFonts w:hint="default" w:ascii="Times New Roman" w:hAnsi="Times New Roman" w:cs="Times New Roman"/>
                      <w:b w:val="0"/>
                      <w:bCs w:val="0"/>
                      <w:color w:val="auto"/>
                      <w:sz w:val="21"/>
                      <w:szCs w:val="21"/>
                      <w:highlight w:val="none"/>
                      <w:lang w:val="en-US" w:eastAsia="zh-CN"/>
                    </w:rPr>
                    <w:t>外</w:t>
                  </w:r>
                  <w:r>
                    <w:rPr>
                      <w:rFonts w:hint="default" w:ascii="Times New Roman" w:hAnsi="Times New Roman" w:eastAsia="宋体" w:cs="Times New Roman"/>
                      <w:b w:val="0"/>
                      <w:bCs w:val="0"/>
                      <w:color w:val="auto"/>
                      <w:sz w:val="21"/>
                      <w:szCs w:val="21"/>
                      <w:highlight w:val="none"/>
                      <w:lang w:val="en-US" w:eastAsia="zh-CN"/>
                    </w:rPr>
                    <w:t>下风向5</w:t>
                  </w:r>
                  <w:r>
                    <w:rPr>
                      <w:rFonts w:hint="default" w:ascii="Times New Roman" w:hAnsi="Times New Roman" w:cs="Times New Roman"/>
                      <w:b w:val="0"/>
                      <w:bCs w:val="0"/>
                      <w:color w:val="auto"/>
                      <w:sz w:val="21"/>
                      <w:szCs w:val="21"/>
                      <w:highlight w:val="none"/>
                      <w:lang w:val="en-US" w:eastAsia="zh-CN"/>
                    </w:rPr>
                    <w:t>m</w:t>
                  </w:r>
                  <w:r>
                    <w:rPr>
                      <w:rFonts w:hint="default" w:ascii="Times New Roman" w:hAnsi="Times New Roman" w:eastAsia="宋体" w:cs="Times New Roman"/>
                      <w:b w:val="0"/>
                      <w:bCs w:val="0"/>
                      <w:color w:val="auto"/>
                      <w:sz w:val="21"/>
                      <w:szCs w:val="21"/>
                      <w:highlight w:val="none"/>
                      <w:lang w:val="en-US" w:eastAsia="zh-CN"/>
                    </w:rPr>
                    <w:t>处3#</w:t>
                  </w:r>
                </w:p>
              </w:tc>
              <w:tc>
                <w:tcPr>
                  <w:tcW w:w="1475" w:type="dxa"/>
                  <w:tcBorders>
                    <w:tl2br w:val="nil"/>
                    <w:tr2bl w:val="nil"/>
                  </w:tcBorders>
                  <w:noWrap w:val="0"/>
                  <w:vAlign w:val="center"/>
                </w:tcPr>
                <w:p w14:paraId="42ED1DE2">
                  <w:pPr>
                    <w:jc w:val="center"/>
                    <w:rPr>
                      <w:rFonts w:hint="default" w:ascii="Times New Roman" w:hAnsi="Times New Roman" w:eastAsia="宋体" w:cs="Times New Roman"/>
                      <w:color w:val="auto"/>
                      <w:szCs w:val="21"/>
                    </w:rPr>
                  </w:pPr>
                  <w:r>
                    <w:rPr>
                      <w:rFonts w:hint="eastAsia"/>
                      <w:szCs w:val="21"/>
                      <w:lang w:val="en-US" w:eastAsia="zh-CN"/>
                    </w:rPr>
                    <w:t>3-2-1</w:t>
                  </w:r>
                </w:p>
              </w:tc>
              <w:tc>
                <w:tcPr>
                  <w:tcW w:w="1433" w:type="dxa"/>
                  <w:tcBorders>
                    <w:tl2br w:val="nil"/>
                    <w:tr2bl w:val="nil"/>
                  </w:tcBorders>
                  <w:shd w:val="clear" w:color="auto" w:fill="auto"/>
                  <w:noWrap w:val="0"/>
                  <w:vAlign w:val="center"/>
                </w:tcPr>
                <w:p w14:paraId="2D1060C2">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olor w:val="000000"/>
                      <w:kern w:val="0"/>
                      <w:sz w:val="20"/>
                      <w:szCs w:val="20"/>
                      <w:lang w:val="en-US" w:eastAsia="zh-CN"/>
                    </w:rPr>
                    <w:t>＜</w:t>
                  </w:r>
                  <w:r>
                    <w:rPr>
                      <w:rFonts w:hint="eastAsia" w:cs="Times New Roman"/>
                      <w:color w:val="000000" w:themeColor="text1"/>
                      <w:kern w:val="0"/>
                      <w:sz w:val="20"/>
                      <w:szCs w:val="20"/>
                      <w:lang w:val="en-US" w:eastAsia="zh-CN" w:bidi="ar-SA"/>
                      <w14:textFill>
                        <w14:solidFill>
                          <w14:schemeClr w14:val="tx1"/>
                        </w14:solidFill>
                      </w14:textFill>
                    </w:rPr>
                    <w:t>0.2</w:t>
                  </w:r>
                  <w:r>
                    <w:rPr>
                      <w:rFonts w:hint="default" w:ascii="Arial" w:hAnsi="Arial" w:cs="Arial"/>
                      <w:color w:val="000000" w:themeColor="text1"/>
                      <w:kern w:val="0"/>
                      <w:sz w:val="20"/>
                      <w:szCs w:val="20"/>
                      <w:lang w:val="en-US" w:eastAsia="zh-CN" w:bidi="ar-SA"/>
                      <w14:textFill>
                        <w14:solidFill>
                          <w14:schemeClr w14:val="tx1"/>
                        </w14:solidFill>
                      </w14:textFill>
                    </w:rPr>
                    <w:t>×</w:t>
                  </w:r>
                  <w:r>
                    <w:rPr>
                      <w:rFonts w:hint="eastAsia" w:cs="Times New Roman"/>
                      <w:color w:val="000000" w:themeColor="text1"/>
                      <w:kern w:val="0"/>
                      <w:sz w:val="20"/>
                      <w:szCs w:val="20"/>
                      <w:lang w:val="en-US" w:eastAsia="zh-CN" w:bidi="ar-SA"/>
                      <w14:textFill>
                        <w14:solidFill>
                          <w14:schemeClr w14:val="tx1"/>
                        </w14:solidFill>
                      </w14:textFill>
                    </w:rPr>
                    <w:t>10</w:t>
                  </w:r>
                  <w:r>
                    <w:rPr>
                      <w:rFonts w:hint="eastAsia" w:cs="Times New Roman"/>
                      <w:color w:val="000000" w:themeColor="text1"/>
                      <w:kern w:val="0"/>
                      <w:sz w:val="20"/>
                      <w:szCs w:val="20"/>
                      <w:vertAlign w:val="superscript"/>
                      <w:lang w:val="en-US" w:eastAsia="zh-CN" w:bidi="ar-SA"/>
                      <w14:textFill>
                        <w14:solidFill>
                          <w14:schemeClr w14:val="tx1"/>
                        </w14:solidFill>
                      </w14:textFill>
                    </w:rPr>
                    <w:t>-3</w:t>
                  </w:r>
                </w:p>
              </w:tc>
              <w:tc>
                <w:tcPr>
                  <w:tcW w:w="1705" w:type="dxa"/>
                  <w:tcBorders>
                    <w:tl2br w:val="nil"/>
                    <w:tr2bl w:val="nil"/>
                  </w:tcBorders>
                  <w:shd w:val="clear" w:color="auto" w:fill="auto"/>
                  <w:noWrap w:val="0"/>
                  <w:vAlign w:val="center"/>
                </w:tcPr>
                <w:p w14:paraId="5089D1BF">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zCs w:val="21"/>
                      <w:lang w:val="en-US" w:eastAsia="zh-CN"/>
                    </w:rPr>
                    <w:t>0.025</w:t>
                  </w:r>
                </w:p>
              </w:tc>
              <w:tc>
                <w:tcPr>
                  <w:tcW w:w="1320" w:type="dxa"/>
                  <w:tcBorders>
                    <w:tl2br w:val="nil"/>
                    <w:tr2bl w:val="nil"/>
                  </w:tcBorders>
                  <w:shd w:val="clear" w:color="auto" w:fill="auto"/>
                  <w:noWrap w:val="0"/>
                  <w:vAlign w:val="center"/>
                </w:tcPr>
                <w:p w14:paraId="5E1A73F9">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＜10</w:t>
                  </w:r>
                </w:p>
              </w:tc>
            </w:tr>
            <w:tr w14:paraId="59F7FF0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1339" w:type="dxa"/>
                  <w:vMerge w:val="continue"/>
                  <w:tcBorders>
                    <w:tl2br w:val="nil"/>
                    <w:tr2bl w:val="nil"/>
                  </w:tcBorders>
                  <w:noWrap w:val="0"/>
                  <w:vAlign w:val="center"/>
                </w:tcPr>
                <w:p w14:paraId="717BFFA4">
                  <w:pPr>
                    <w:spacing w:line="260" w:lineRule="exact"/>
                    <w:jc w:val="center"/>
                    <w:rPr>
                      <w:rFonts w:hint="default" w:ascii="Times New Roman" w:hAnsi="Times New Roman" w:eastAsia="宋体" w:cs="Times New Roman"/>
                      <w:color w:val="auto"/>
                      <w:szCs w:val="21"/>
                    </w:rPr>
                  </w:pPr>
                </w:p>
              </w:tc>
              <w:tc>
                <w:tcPr>
                  <w:tcW w:w="1375" w:type="dxa"/>
                  <w:vMerge w:val="continue"/>
                  <w:tcBorders>
                    <w:tl2br w:val="nil"/>
                    <w:tr2bl w:val="nil"/>
                  </w:tcBorders>
                  <w:noWrap w:val="0"/>
                  <w:vAlign w:val="center"/>
                </w:tcPr>
                <w:p w14:paraId="05E9A7E9">
                  <w:pPr>
                    <w:spacing w:line="260" w:lineRule="exact"/>
                    <w:jc w:val="center"/>
                    <w:rPr>
                      <w:rFonts w:hint="default" w:ascii="Times New Roman" w:hAnsi="Times New Roman" w:eastAsia="宋体" w:cs="Times New Roman"/>
                      <w:color w:val="auto"/>
                      <w:szCs w:val="21"/>
                    </w:rPr>
                  </w:pPr>
                </w:p>
              </w:tc>
              <w:tc>
                <w:tcPr>
                  <w:tcW w:w="1475" w:type="dxa"/>
                  <w:tcBorders>
                    <w:tl2br w:val="nil"/>
                    <w:tr2bl w:val="nil"/>
                  </w:tcBorders>
                  <w:noWrap w:val="0"/>
                  <w:vAlign w:val="center"/>
                </w:tcPr>
                <w:p w14:paraId="6CCA018C">
                  <w:pPr>
                    <w:jc w:val="center"/>
                    <w:rPr>
                      <w:rFonts w:hint="default" w:ascii="Times New Roman" w:hAnsi="Times New Roman" w:eastAsia="宋体" w:cs="Times New Roman"/>
                      <w:color w:val="auto"/>
                      <w:szCs w:val="21"/>
                    </w:rPr>
                  </w:pPr>
                  <w:r>
                    <w:rPr>
                      <w:rFonts w:hint="eastAsia"/>
                      <w:szCs w:val="21"/>
                      <w:lang w:val="en-US" w:eastAsia="zh-CN"/>
                    </w:rPr>
                    <w:t>3-2-2</w:t>
                  </w:r>
                </w:p>
              </w:tc>
              <w:tc>
                <w:tcPr>
                  <w:tcW w:w="1433" w:type="dxa"/>
                  <w:tcBorders>
                    <w:tl2br w:val="nil"/>
                    <w:tr2bl w:val="nil"/>
                  </w:tcBorders>
                  <w:shd w:val="clear" w:color="auto" w:fill="auto"/>
                  <w:noWrap w:val="0"/>
                  <w:vAlign w:val="center"/>
                </w:tcPr>
                <w:p w14:paraId="40000373">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olor w:val="000000"/>
                      <w:kern w:val="0"/>
                      <w:sz w:val="20"/>
                      <w:szCs w:val="20"/>
                      <w:lang w:val="en-US" w:eastAsia="zh-CN"/>
                    </w:rPr>
                    <w:t>＜</w:t>
                  </w:r>
                  <w:r>
                    <w:rPr>
                      <w:rFonts w:hint="eastAsia" w:cs="Times New Roman"/>
                      <w:color w:val="000000" w:themeColor="text1"/>
                      <w:kern w:val="0"/>
                      <w:sz w:val="20"/>
                      <w:szCs w:val="20"/>
                      <w:lang w:val="en-US" w:eastAsia="zh-CN" w:bidi="ar-SA"/>
                      <w14:textFill>
                        <w14:solidFill>
                          <w14:schemeClr w14:val="tx1"/>
                        </w14:solidFill>
                      </w14:textFill>
                    </w:rPr>
                    <w:t>0.2</w:t>
                  </w:r>
                  <w:r>
                    <w:rPr>
                      <w:rFonts w:hint="default" w:ascii="Arial" w:hAnsi="Arial" w:cs="Arial"/>
                      <w:color w:val="000000" w:themeColor="text1"/>
                      <w:kern w:val="0"/>
                      <w:sz w:val="20"/>
                      <w:szCs w:val="20"/>
                      <w:lang w:val="en-US" w:eastAsia="zh-CN" w:bidi="ar-SA"/>
                      <w14:textFill>
                        <w14:solidFill>
                          <w14:schemeClr w14:val="tx1"/>
                        </w14:solidFill>
                      </w14:textFill>
                    </w:rPr>
                    <w:t>×</w:t>
                  </w:r>
                  <w:r>
                    <w:rPr>
                      <w:rFonts w:hint="eastAsia" w:cs="Times New Roman"/>
                      <w:color w:val="000000" w:themeColor="text1"/>
                      <w:kern w:val="0"/>
                      <w:sz w:val="20"/>
                      <w:szCs w:val="20"/>
                      <w:lang w:val="en-US" w:eastAsia="zh-CN" w:bidi="ar-SA"/>
                      <w14:textFill>
                        <w14:solidFill>
                          <w14:schemeClr w14:val="tx1"/>
                        </w14:solidFill>
                      </w14:textFill>
                    </w:rPr>
                    <w:t>10</w:t>
                  </w:r>
                  <w:r>
                    <w:rPr>
                      <w:rFonts w:hint="eastAsia" w:cs="Times New Roman"/>
                      <w:color w:val="000000" w:themeColor="text1"/>
                      <w:kern w:val="0"/>
                      <w:sz w:val="20"/>
                      <w:szCs w:val="20"/>
                      <w:vertAlign w:val="superscript"/>
                      <w:lang w:val="en-US" w:eastAsia="zh-CN" w:bidi="ar-SA"/>
                      <w14:textFill>
                        <w14:solidFill>
                          <w14:schemeClr w14:val="tx1"/>
                        </w14:solidFill>
                      </w14:textFill>
                    </w:rPr>
                    <w:t>-3</w:t>
                  </w:r>
                </w:p>
              </w:tc>
              <w:tc>
                <w:tcPr>
                  <w:tcW w:w="1705" w:type="dxa"/>
                  <w:tcBorders>
                    <w:tl2br w:val="nil"/>
                    <w:tr2bl w:val="nil"/>
                  </w:tcBorders>
                  <w:shd w:val="clear" w:color="auto" w:fill="auto"/>
                  <w:noWrap w:val="0"/>
                  <w:vAlign w:val="center"/>
                </w:tcPr>
                <w:p w14:paraId="7F7F2C60">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zCs w:val="21"/>
                      <w:lang w:val="en-US" w:eastAsia="zh-CN"/>
                    </w:rPr>
                    <w:t>0.110</w:t>
                  </w:r>
                </w:p>
              </w:tc>
              <w:tc>
                <w:tcPr>
                  <w:tcW w:w="1320" w:type="dxa"/>
                  <w:tcBorders>
                    <w:tl2br w:val="nil"/>
                    <w:tr2bl w:val="nil"/>
                  </w:tcBorders>
                  <w:shd w:val="clear" w:color="auto" w:fill="auto"/>
                  <w:noWrap w:val="0"/>
                  <w:vAlign w:val="center"/>
                </w:tcPr>
                <w:p w14:paraId="4DEDCFD4">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＜10</w:t>
                  </w:r>
                </w:p>
              </w:tc>
            </w:tr>
            <w:tr w14:paraId="23627B9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1339" w:type="dxa"/>
                  <w:vMerge w:val="continue"/>
                  <w:tcBorders>
                    <w:tl2br w:val="nil"/>
                    <w:tr2bl w:val="nil"/>
                  </w:tcBorders>
                  <w:noWrap w:val="0"/>
                  <w:vAlign w:val="center"/>
                </w:tcPr>
                <w:p w14:paraId="3883B89F">
                  <w:pPr>
                    <w:spacing w:line="260" w:lineRule="exact"/>
                    <w:jc w:val="center"/>
                    <w:rPr>
                      <w:rFonts w:hint="default" w:ascii="Times New Roman" w:hAnsi="Times New Roman" w:eastAsia="宋体" w:cs="Times New Roman"/>
                      <w:color w:val="auto"/>
                      <w:szCs w:val="21"/>
                    </w:rPr>
                  </w:pPr>
                </w:p>
              </w:tc>
              <w:tc>
                <w:tcPr>
                  <w:tcW w:w="1375" w:type="dxa"/>
                  <w:vMerge w:val="continue"/>
                  <w:tcBorders>
                    <w:tl2br w:val="nil"/>
                    <w:tr2bl w:val="nil"/>
                  </w:tcBorders>
                  <w:noWrap w:val="0"/>
                  <w:vAlign w:val="center"/>
                </w:tcPr>
                <w:p w14:paraId="309B604E">
                  <w:pPr>
                    <w:spacing w:line="260" w:lineRule="exact"/>
                    <w:jc w:val="center"/>
                    <w:rPr>
                      <w:rFonts w:hint="default" w:ascii="Times New Roman" w:hAnsi="Times New Roman" w:eastAsia="宋体" w:cs="Times New Roman"/>
                      <w:color w:val="auto"/>
                      <w:szCs w:val="21"/>
                    </w:rPr>
                  </w:pPr>
                </w:p>
              </w:tc>
              <w:tc>
                <w:tcPr>
                  <w:tcW w:w="1475" w:type="dxa"/>
                  <w:tcBorders>
                    <w:tl2br w:val="nil"/>
                    <w:tr2bl w:val="nil"/>
                  </w:tcBorders>
                  <w:noWrap w:val="0"/>
                  <w:vAlign w:val="center"/>
                </w:tcPr>
                <w:p w14:paraId="49142C8D">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szCs w:val="21"/>
                      <w:lang w:val="en-US" w:eastAsia="zh-CN"/>
                    </w:rPr>
                    <w:t>3-2-3</w:t>
                  </w:r>
                </w:p>
              </w:tc>
              <w:tc>
                <w:tcPr>
                  <w:tcW w:w="1433" w:type="dxa"/>
                  <w:tcBorders>
                    <w:tl2br w:val="nil"/>
                    <w:tr2bl w:val="nil"/>
                  </w:tcBorders>
                  <w:shd w:val="clear" w:color="auto" w:fill="auto"/>
                  <w:noWrap w:val="0"/>
                  <w:vAlign w:val="center"/>
                </w:tcPr>
                <w:p w14:paraId="70E38959">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olor w:val="000000"/>
                      <w:kern w:val="0"/>
                      <w:sz w:val="20"/>
                      <w:szCs w:val="20"/>
                      <w:lang w:val="en-US" w:eastAsia="zh-CN"/>
                    </w:rPr>
                    <w:t>＜</w:t>
                  </w:r>
                  <w:r>
                    <w:rPr>
                      <w:rFonts w:hint="eastAsia" w:cs="Times New Roman"/>
                      <w:color w:val="000000" w:themeColor="text1"/>
                      <w:kern w:val="0"/>
                      <w:sz w:val="20"/>
                      <w:szCs w:val="20"/>
                      <w:lang w:val="en-US" w:eastAsia="zh-CN" w:bidi="ar-SA"/>
                      <w14:textFill>
                        <w14:solidFill>
                          <w14:schemeClr w14:val="tx1"/>
                        </w14:solidFill>
                      </w14:textFill>
                    </w:rPr>
                    <w:t>0.2</w:t>
                  </w:r>
                  <w:r>
                    <w:rPr>
                      <w:rFonts w:hint="default" w:ascii="Arial" w:hAnsi="Arial" w:cs="Arial"/>
                      <w:color w:val="000000" w:themeColor="text1"/>
                      <w:kern w:val="0"/>
                      <w:sz w:val="20"/>
                      <w:szCs w:val="20"/>
                      <w:lang w:val="en-US" w:eastAsia="zh-CN" w:bidi="ar-SA"/>
                      <w14:textFill>
                        <w14:solidFill>
                          <w14:schemeClr w14:val="tx1"/>
                        </w14:solidFill>
                      </w14:textFill>
                    </w:rPr>
                    <w:t>×</w:t>
                  </w:r>
                  <w:r>
                    <w:rPr>
                      <w:rFonts w:hint="eastAsia" w:cs="Times New Roman"/>
                      <w:color w:val="000000" w:themeColor="text1"/>
                      <w:kern w:val="0"/>
                      <w:sz w:val="20"/>
                      <w:szCs w:val="20"/>
                      <w:lang w:val="en-US" w:eastAsia="zh-CN" w:bidi="ar-SA"/>
                      <w14:textFill>
                        <w14:solidFill>
                          <w14:schemeClr w14:val="tx1"/>
                        </w14:solidFill>
                      </w14:textFill>
                    </w:rPr>
                    <w:t>10</w:t>
                  </w:r>
                  <w:r>
                    <w:rPr>
                      <w:rFonts w:hint="eastAsia" w:cs="Times New Roman"/>
                      <w:color w:val="000000" w:themeColor="text1"/>
                      <w:kern w:val="0"/>
                      <w:sz w:val="20"/>
                      <w:szCs w:val="20"/>
                      <w:vertAlign w:val="superscript"/>
                      <w:lang w:val="en-US" w:eastAsia="zh-CN" w:bidi="ar-SA"/>
                      <w14:textFill>
                        <w14:solidFill>
                          <w14:schemeClr w14:val="tx1"/>
                        </w14:solidFill>
                      </w14:textFill>
                    </w:rPr>
                    <w:t>-3</w:t>
                  </w:r>
                </w:p>
              </w:tc>
              <w:tc>
                <w:tcPr>
                  <w:tcW w:w="1705" w:type="dxa"/>
                  <w:tcBorders>
                    <w:tl2br w:val="nil"/>
                    <w:tr2bl w:val="nil"/>
                  </w:tcBorders>
                  <w:shd w:val="clear" w:color="auto" w:fill="auto"/>
                  <w:noWrap w:val="0"/>
                  <w:vAlign w:val="center"/>
                </w:tcPr>
                <w:p w14:paraId="3A5BFC0F">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zCs w:val="21"/>
                      <w:lang w:val="en-US" w:eastAsia="zh-CN"/>
                    </w:rPr>
                    <w:t>0.106</w:t>
                  </w:r>
                </w:p>
              </w:tc>
              <w:tc>
                <w:tcPr>
                  <w:tcW w:w="1320" w:type="dxa"/>
                  <w:tcBorders>
                    <w:tl2br w:val="nil"/>
                    <w:tr2bl w:val="nil"/>
                  </w:tcBorders>
                  <w:shd w:val="clear" w:color="auto" w:fill="auto"/>
                  <w:noWrap w:val="0"/>
                  <w:vAlign w:val="center"/>
                </w:tcPr>
                <w:p w14:paraId="168DFA41">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＜10</w:t>
                  </w:r>
                </w:p>
              </w:tc>
            </w:tr>
            <w:tr w14:paraId="7036B5F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1339" w:type="dxa"/>
                  <w:vMerge w:val="continue"/>
                  <w:tcBorders>
                    <w:tl2br w:val="nil"/>
                    <w:tr2bl w:val="nil"/>
                  </w:tcBorders>
                  <w:noWrap w:val="0"/>
                  <w:vAlign w:val="center"/>
                </w:tcPr>
                <w:p w14:paraId="2382CAF9">
                  <w:pPr>
                    <w:spacing w:line="260" w:lineRule="exact"/>
                    <w:jc w:val="center"/>
                    <w:rPr>
                      <w:rFonts w:hint="default" w:ascii="Times New Roman" w:hAnsi="Times New Roman" w:eastAsia="宋体" w:cs="Times New Roman"/>
                      <w:color w:val="auto"/>
                      <w:szCs w:val="21"/>
                    </w:rPr>
                  </w:pPr>
                </w:p>
              </w:tc>
              <w:tc>
                <w:tcPr>
                  <w:tcW w:w="1375" w:type="dxa"/>
                  <w:vMerge w:val="continue"/>
                  <w:tcBorders>
                    <w:tl2br w:val="nil"/>
                    <w:tr2bl w:val="nil"/>
                  </w:tcBorders>
                  <w:noWrap w:val="0"/>
                  <w:vAlign w:val="center"/>
                </w:tcPr>
                <w:p w14:paraId="16BEACA8">
                  <w:pPr>
                    <w:spacing w:line="260" w:lineRule="exact"/>
                    <w:jc w:val="center"/>
                    <w:rPr>
                      <w:rFonts w:hint="default" w:ascii="Times New Roman" w:hAnsi="Times New Roman" w:eastAsia="宋体" w:cs="Times New Roman"/>
                      <w:color w:val="auto"/>
                      <w:szCs w:val="21"/>
                    </w:rPr>
                  </w:pPr>
                </w:p>
              </w:tc>
              <w:tc>
                <w:tcPr>
                  <w:tcW w:w="1475" w:type="dxa"/>
                  <w:tcBorders>
                    <w:tl2br w:val="nil"/>
                    <w:tr2bl w:val="nil"/>
                  </w:tcBorders>
                  <w:noWrap w:val="0"/>
                  <w:vAlign w:val="center"/>
                </w:tcPr>
                <w:p w14:paraId="3A58F5D8">
                  <w:pPr>
                    <w:jc w:val="center"/>
                    <w:rPr>
                      <w:rFonts w:hint="default" w:ascii="Times New Roman" w:hAnsi="Times New Roman" w:eastAsia="宋体" w:cs="Times New Roman"/>
                      <w:color w:val="auto"/>
                      <w:kern w:val="2"/>
                      <w:sz w:val="21"/>
                      <w:szCs w:val="21"/>
                      <w:lang w:val="en-US" w:eastAsia="zh-CN" w:bidi="ar-SA"/>
                    </w:rPr>
                  </w:pPr>
                  <w:r>
                    <w:rPr>
                      <w:rFonts w:hint="eastAsia"/>
                      <w:szCs w:val="21"/>
                      <w:lang w:val="en-US" w:eastAsia="zh-CN"/>
                    </w:rPr>
                    <w:t>3-2-4</w:t>
                  </w:r>
                </w:p>
              </w:tc>
              <w:tc>
                <w:tcPr>
                  <w:tcW w:w="1433" w:type="dxa"/>
                  <w:tcBorders>
                    <w:tl2br w:val="nil"/>
                    <w:tr2bl w:val="nil"/>
                  </w:tcBorders>
                  <w:shd w:val="clear" w:color="auto" w:fill="auto"/>
                  <w:noWrap w:val="0"/>
                  <w:vAlign w:val="center"/>
                </w:tcPr>
                <w:p w14:paraId="3D76A3A0">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olor w:val="000000"/>
                      <w:kern w:val="0"/>
                      <w:sz w:val="20"/>
                      <w:szCs w:val="20"/>
                      <w:lang w:val="en-US" w:eastAsia="zh-CN"/>
                    </w:rPr>
                    <w:t>＜</w:t>
                  </w:r>
                  <w:r>
                    <w:rPr>
                      <w:rFonts w:hint="eastAsia" w:cs="Times New Roman"/>
                      <w:color w:val="000000" w:themeColor="text1"/>
                      <w:kern w:val="0"/>
                      <w:sz w:val="20"/>
                      <w:szCs w:val="20"/>
                      <w:lang w:val="en-US" w:eastAsia="zh-CN" w:bidi="ar-SA"/>
                      <w14:textFill>
                        <w14:solidFill>
                          <w14:schemeClr w14:val="tx1"/>
                        </w14:solidFill>
                      </w14:textFill>
                    </w:rPr>
                    <w:t>0.2</w:t>
                  </w:r>
                  <w:r>
                    <w:rPr>
                      <w:rFonts w:hint="default" w:ascii="Arial" w:hAnsi="Arial" w:cs="Arial"/>
                      <w:color w:val="000000" w:themeColor="text1"/>
                      <w:kern w:val="0"/>
                      <w:sz w:val="20"/>
                      <w:szCs w:val="20"/>
                      <w:lang w:val="en-US" w:eastAsia="zh-CN" w:bidi="ar-SA"/>
                      <w14:textFill>
                        <w14:solidFill>
                          <w14:schemeClr w14:val="tx1"/>
                        </w14:solidFill>
                      </w14:textFill>
                    </w:rPr>
                    <w:t>×</w:t>
                  </w:r>
                  <w:r>
                    <w:rPr>
                      <w:rFonts w:hint="eastAsia" w:cs="Times New Roman"/>
                      <w:color w:val="000000" w:themeColor="text1"/>
                      <w:kern w:val="0"/>
                      <w:sz w:val="20"/>
                      <w:szCs w:val="20"/>
                      <w:lang w:val="en-US" w:eastAsia="zh-CN" w:bidi="ar-SA"/>
                      <w14:textFill>
                        <w14:solidFill>
                          <w14:schemeClr w14:val="tx1"/>
                        </w14:solidFill>
                      </w14:textFill>
                    </w:rPr>
                    <w:t>10</w:t>
                  </w:r>
                  <w:r>
                    <w:rPr>
                      <w:rFonts w:hint="eastAsia" w:cs="Times New Roman"/>
                      <w:color w:val="000000" w:themeColor="text1"/>
                      <w:kern w:val="0"/>
                      <w:sz w:val="20"/>
                      <w:szCs w:val="20"/>
                      <w:vertAlign w:val="superscript"/>
                      <w:lang w:val="en-US" w:eastAsia="zh-CN" w:bidi="ar-SA"/>
                      <w14:textFill>
                        <w14:solidFill>
                          <w14:schemeClr w14:val="tx1"/>
                        </w14:solidFill>
                      </w14:textFill>
                    </w:rPr>
                    <w:t>-3</w:t>
                  </w:r>
                </w:p>
              </w:tc>
              <w:tc>
                <w:tcPr>
                  <w:tcW w:w="1705" w:type="dxa"/>
                  <w:tcBorders>
                    <w:tl2br w:val="nil"/>
                    <w:tr2bl w:val="nil"/>
                  </w:tcBorders>
                  <w:shd w:val="clear" w:color="auto" w:fill="auto"/>
                  <w:noWrap w:val="0"/>
                  <w:vAlign w:val="center"/>
                </w:tcPr>
                <w:p w14:paraId="336840C1">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zCs w:val="21"/>
                      <w:lang w:val="en-US" w:eastAsia="zh-CN"/>
                    </w:rPr>
                    <w:t>0.102</w:t>
                  </w:r>
                </w:p>
              </w:tc>
              <w:tc>
                <w:tcPr>
                  <w:tcW w:w="1320" w:type="dxa"/>
                  <w:tcBorders>
                    <w:tl2br w:val="nil"/>
                    <w:tr2bl w:val="nil"/>
                  </w:tcBorders>
                  <w:shd w:val="clear" w:color="auto" w:fill="auto"/>
                  <w:noWrap w:val="0"/>
                  <w:vAlign w:val="center"/>
                </w:tcPr>
                <w:p w14:paraId="782253D8">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＜10</w:t>
                  </w:r>
                </w:p>
              </w:tc>
            </w:tr>
            <w:tr w14:paraId="01183D3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1339" w:type="dxa"/>
                  <w:vMerge w:val="continue"/>
                  <w:tcBorders>
                    <w:tl2br w:val="nil"/>
                    <w:tr2bl w:val="nil"/>
                  </w:tcBorders>
                  <w:noWrap w:val="0"/>
                  <w:vAlign w:val="center"/>
                </w:tcPr>
                <w:p w14:paraId="34473888">
                  <w:pPr>
                    <w:spacing w:line="260" w:lineRule="exact"/>
                    <w:jc w:val="center"/>
                    <w:rPr>
                      <w:rFonts w:hint="default" w:ascii="Times New Roman" w:hAnsi="Times New Roman" w:eastAsia="宋体" w:cs="Times New Roman"/>
                      <w:color w:val="auto"/>
                      <w:szCs w:val="21"/>
                    </w:rPr>
                  </w:pPr>
                </w:p>
              </w:tc>
              <w:tc>
                <w:tcPr>
                  <w:tcW w:w="1375" w:type="dxa"/>
                  <w:vMerge w:val="restart"/>
                  <w:tcBorders>
                    <w:tl2br w:val="nil"/>
                    <w:tr2bl w:val="nil"/>
                  </w:tcBorders>
                  <w:noWrap w:val="0"/>
                  <w:vAlign w:val="center"/>
                </w:tcPr>
                <w:p w14:paraId="1B69D799">
                  <w:pPr>
                    <w:keepNext w:val="0"/>
                    <w:keepLines w:val="0"/>
                    <w:widowControl/>
                    <w:suppressLineNumbers w:val="0"/>
                    <w:spacing w:before="0" w:beforeAutospacing="0" w:after="0" w:afterAutospacing="0" w:line="240" w:lineRule="auto"/>
                    <w:ind w:left="0" w:leftChars="0" w:right="0" w:rightChars="0"/>
                    <w:jc w:val="center"/>
                    <w:textAlignment w:val="center"/>
                    <w:rPr>
                      <w:rFonts w:hint="default" w:ascii="Times New Roman" w:hAnsi="Times New Roman" w:eastAsia="宋体" w:cs="Times New Roman"/>
                      <w:color w:val="auto"/>
                      <w:szCs w:val="21"/>
                    </w:rPr>
                  </w:pPr>
                  <w:r>
                    <w:rPr>
                      <w:rFonts w:hint="default" w:ascii="Times New Roman" w:hAnsi="Times New Roman" w:eastAsia="宋体" w:cs="Times New Roman"/>
                      <w:b w:val="0"/>
                      <w:bCs w:val="0"/>
                      <w:color w:val="auto"/>
                      <w:sz w:val="21"/>
                      <w:szCs w:val="21"/>
                      <w:highlight w:val="none"/>
                      <w:lang w:val="en-US" w:eastAsia="zh-CN"/>
                    </w:rPr>
                    <w:t>厂界</w:t>
                  </w:r>
                  <w:r>
                    <w:rPr>
                      <w:rFonts w:hint="default" w:ascii="Times New Roman" w:hAnsi="Times New Roman" w:cs="Times New Roman"/>
                      <w:b w:val="0"/>
                      <w:bCs w:val="0"/>
                      <w:color w:val="auto"/>
                      <w:sz w:val="21"/>
                      <w:szCs w:val="21"/>
                      <w:highlight w:val="none"/>
                      <w:lang w:val="en-US" w:eastAsia="zh-CN"/>
                    </w:rPr>
                    <w:t>外</w:t>
                  </w:r>
                  <w:r>
                    <w:rPr>
                      <w:rFonts w:hint="default" w:ascii="Times New Roman" w:hAnsi="Times New Roman" w:eastAsia="宋体" w:cs="Times New Roman"/>
                      <w:b w:val="0"/>
                      <w:bCs w:val="0"/>
                      <w:color w:val="auto"/>
                      <w:sz w:val="21"/>
                      <w:szCs w:val="21"/>
                      <w:highlight w:val="none"/>
                      <w:lang w:val="en-US" w:eastAsia="zh-CN"/>
                    </w:rPr>
                    <w:t>下风向5</w:t>
                  </w:r>
                  <w:r>
                    <w:rPr>
                      <w:rFonts w:hint="default" w:ascii="Times New Roman" w:hAnsi="Times New Roman" w:cs="Times New Roman"/>
                      <w:b w:val="0"/>
                      <w:bCs w:val="0"/>
                      <w:color w:val="auto"/>
                      <w:sz w:val="21"/>
                      <w:szCs w:val="21"/>
                      <w:highlight w:val="none"/>
                      <w:lang w:val="en-US" w:eastAsia="zh-CN"/>
                    </w:rPr>
                    <w:t>m</w:t>
                  </w:r>
                  <w:r>
                    <w:rPr>
                      <w:rFonts w:hint="default" w:ascii="Times New Roman" w:hAnsi="Times New Roman" w:eastAsia="宋体" w:cs="Times New Roman"/>
                      <w:b w:val="0"/>
                      <w:bCs w:val="0"/>
                      <w:color w:val="auto"/>
                      <w:sz w:val="21"/>
                      <w:szCs w:val="21"/>
                      <w:highlight w:val="none"/>
                      <w:lang w:val="en-US" w:eastAsia="zh-CN"/>
                    </w:rPr>
                    <w:t>处4#</w:t>
                  </w:r>
                </w:p>
              </w:tc>
              <w:tc>
                <w:tcPr>
                  <w:tcW w:w="1475" w:type="dxa"/>
                  <w:tcBorders>
                    <w:tl2br w:val="nil"/>
                    <w:tr2bl w:val="nil"/>
                  </w:tcBorders>
                  <w:noWrap w:val="0"/>
                  <w:vAlign w:val="center"/>
                </w:tcPr>
                <w:p w14:paraId="33A5096B">
                  <w:pPr>
                    <w:jc w:val="center"/>
                    <w:rPr>
                      <w:rFonts w:hint="default" w:ascii="Times New Roman" w:hAnsi="Times New Roman" w:cs="Times New Roman"/>
                      <w:color w:val="auto"/>
                      <w:szCs w:val="21"/>
                      <w:lang w:val="en-US" w:eastAsia="zh-CN"/>
                    </w:rPr>
                  </w:pPr>
                  <w:r>
                    <w:rPr>
                      <w:rFonts w:hint="eastAsia"/>
                      <w:szCs w:val="21"/>
                      <w:lang w:val="en-US" w:eastAsia="zh-CN"/>
                    </w:rPr>
                    <w:t>4-2-1</w:t>
                  </w:r>
                </w:p>
              </w:tc>
              <w:tc>
                <w:tcPr>
                  <w:tcW w:w="1433" w:type="dxa"/>
                  <w:tcBorders>
                    <w:tl2br w:val="nil"/>
                    <w:tr2bl w:val="nil"/>
                  </w:tcBorders>
                  <w:shd w:val="clear" w:color="auto" w:fill="auto"/>
                  <w:noWrap w:val="0"/>
                  <w:vAlign w:val="center"/>
                </w:tcPr>
                <w:p w14:paraId="337FF7EF">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olor w:val="000000"/>
                      <w:kern w:val="0"/>
                      <w:sz w:val="20"/>
                      <w:szCs w:val="20"/>
                      <w:lang w:val="en-US" w:eastAsia="zh-CN"/>
                    </w:rPr>
                    <w:t>＜</w:t>
                  </w:r>
                  <w:r>
                    <w:rPr>
                      <w:rFonts w:hint="eastAsia" w:cs="Times New Roman"/>
                      <w:color w:val="000000" w:themeColor="text1"/>
                      <w:kern w:val="0"/>
                      <w:sz w:val="20"/>
                      <w:szCs w:val="20"/>
                      <w:lang w:val="en-US" w:eastAsia="zh-CN" w:bidi="ar-SA"/>
                      <w14:textFill>
                        <w14:solidFill>
                          <w14:schemeClr w14:val="tx1"/>
                        </w14:solidFill>
                      </w14:textFill>
                    </w:rPr>
                    <w:t>0.2</w:t>
                  </w:r>
                  <w:r>
                    <w:rPr>
                      <w:rFonts w:hint="default" w:ascii="Arial" w:hAnsi="Arial" w:cs="Arial"/>
                      <w:color w:val="000000" w:themeColor="text1"/>
                      <w:kern w:val="0"/>
                      <w:sz w:val="20"/>
                      <w:szCs w:val="20"/>
                      <w:lang w:val="en-US" w:eastAsia="zh-CN" w:bidi="ar-SA"/>
                      <w14:textFill>
                        <w14:solidFill>
                          <w14:schemeClr w14:val="tx1"/>
                        </w14:solidFill>
                      </w14:textFill>
                    </w:rPr>
                    <w:t>×</w:t>
                  </w:r>
                  <w:r>
                    <w:rPr>
                      <w:rFonts w:hint="eastAsia" w:cs="Times New Roman"/>
                      <w:color w:val="000000" w:themeColor="text1"/>
                      <w:kern w:val="0"/>
                      <w:sz w:val="20"/>
                      <w:szCs w:val="20"/>
                      <w:lang w:val="en-US" w:eastAsia="zh-CN" w:bidi="ar-SA"/>
                      <w14:textFill>
                        <w14:solidFill>
                          <w14:schemeClr w14:val="tx1"/>
                        </w14:solidFill>
                      </w14:textFill>
                    </w:rPr>
                    <w:t>10</w:t>
                  </w:r>
                  <w:r>
                    <w:rPr>
                      <w:rFonts w:hint="eastAsia" w:cs="Times New Roman"/>
                      <w:color w:val="000000" w:themeColor="text1"/>
                      <w:kern w:val="0"/>
                      <w:sz w:val="20"/>
                      <w:szCs w:val="20"/>
                      <w:vertAlign w:val="superscript"/>
                      <w:lang w:val="en-US" w:eastAsia="zh-CN" w:bidi="ar-SA"/>
                      <w14:textFill>
                        <w14:solidFill>
                          <w14:schemeClr w14:val="tx1"/>
                        </w14:solidFill>
                      </w14:textFill>
                    </w:rPr>
                    <w:t>-3</w:t>
                  </w:r>
                </w:p>
              </w:tc>
              <w:tc>
                <w:tcPr>
                  <w:tcW w:w="1705" w:type="dxa"/>
                  <w:tcBorders>
                    <w:tl2br w:val="nil"/>
                    <w:tr2bl w:val="nil"/>
                  </w:tcBorders>
                  <w:shd w:val="clear" w:color="auto" w:fill="auto"/>
                  <w:noWrap w:val="0"/>
                  <w:vAlign w:val="center"/>
                </w:tcPr>
                <w:p w14:paraId="3977F1DB">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zCs w:val="21"/>
                      <w:lang w:val="en-US" w:eastAsia="zh-CN"/>
                    </w:rPr>
                    <w:t>0.037</w:t>
                  </w:r>
                </w:p>
              </w:tc>
              <w:tc>
                <w:tcPr>
                  <w:tcW w:w="1320" w:type="dxa"/>
                  <w:tcBorders>
                    <w:tl2br w:val="nil"/>
                    <w:tr2bl w:val="nil"/>
                  </w:tcBorders>
                  <w:shd w:val="clear" w:color="auto" w:fill="auto"/>
                  <w:noWrap w:val="0"/>
                  <w:vAlign w:val="center"/>
                </w:tcPr>
                <w:p w14:paraId="19D860FE">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＜10</w:t>
                  </w:r>
                </w:p>
              </w:tc>
            </w:tr>
            <w:tr w14:paraId="5B585BF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1339" w:type="dxa"/>
                  <w:vMerge w:val="continue"/>
                  <w:tcBorders>
                    <w:tl2br w:val="nil"/>
                    <w:tr2bl w:val="nil"/>
                  </w:tcBorders>
                  <w:noWrap w:val="0"/>
                  <w:vAlign w:val="center"/>
                </w:tcPr>
                <w:p w14:paraId="5C7FC928">
                  <w:pPr>
                    <w:spacing w:line="260" w:lineRule="exact"/>
                    <w:jc w:val="center"/>
                    <w:rPr>
                      <w:rFonts w:hint="default" w:ascii="Times New Roman" w:hAnsi="Times New Roman" w:eastAsia="宋体" w:cs="Times New Roman"/>
                      <w:color w:val="auto"/>
                      <w:szCs w:val="21"/>
                    </w:rPr>
                  </w:pPr>
                </w:p>
              </w:tc>
              <w:tc>
                <w:tcPr>
                  <w:tcW w:w="1375" w:type="dxa"/>
                  <w:vMerge w:val="continue"/>
                  <w:tcBorders>
                    <w:tl2br w:val="nil"/>
                    <w:tr2bl w:val="nil"/>
                  </w:tcBorders>
                  <w:noWrap w:val="0"/>
                  <w:vAlign w:val="center"/>
                </w:tcPr>
                <w:p w14:paraId="6FE82294">
                  <w:pPr>
                    <w:spacing w:line="260" w:lineRule="exact"/>
                    <w:jc w:val="center"/>
                    <w:rPr>
                      <w:rFonts w:hint="default" w:ascii="Times New Roman" w:hAnsi="Times New Roman" w:eastAsia="宋体" w:cs="Times New Roman"/>
                      <w:color w:val="auto"/>
                      <w:szCs w:val="21"/>
                    </w:rPr>
                  </w:pPr>
                </w:p>
              </w:tc>
              <w:tc>
                <w:tcPr>
                  <w:tcW w:w="1475" w:type="dxa"/>
                  <w:tcBorders>
                    <w:tl2br w:val="nil"/>
                    <w:tr2bl w:val="nil"/>
                  </w:tcBorders>
                  <w:noWrap w:val="0"/>
                  <w:vAlign w:val="center"/>
                </w:tcPr>
                <w:p w14:paraId="73CB1109">
                  <w:pPr>
                    <w:jc w:val="center"/>
                    <w:rPr>
                      <w:rFonts w:hint="default" w:ascii="Times New Roman" w:hAnsi="Times New Roman" w:cs="Times New Roman"/>
                      <w:color w:val="auto"/>
                      <w:szCs w:val="21"/>
                      <w:lang w:val="en-US" w:eastAsia="zh-CN"/>
                    </w:rPr>
                  </w:pPr>
                  <w:r>
                    <w:rPr>
                      <w:rFonts w:hint="eastAsia"/>
                      <w:szCs w:val="21"/>
                      <w:lang w:val="en-US" w:eastAsia="zh-CN"/>
                    </w:rPr>
                    <w:t>4-2-2</w:t>
                  </w:r>
                </w:p>
              </w:tc>
              <w:tc>
                <w:tcPr>
                  <w:tcW w:w="1433" w:type="dxa"/>
                  <w:tcBorders>
                    <w:tl2br w:val="nil"/>
                    <w:tr2bl w:val="nil"/>
                  </w:tcBorders>
                  <w:shd w:val="clear" w:color="auto" w:fill="auto"/>
                  <w:noWrap w:val="0"/>
                  <w:vAlign w:val="center"/>
                </w:tcPr>
                <w:p w14:paraId="5BB478AA">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olor w:val="000000"/>
                      <w:kern w:val="0"/>
                      <w:sz w:val="20"/>
                      <w:szCs w:val="20"/>
                      <w:lang w:val="en-US" w:eastAsia="zh-CN"/>
                    </w:rPr>
                    <w:t>＜</w:t>
                  </w:r>
                  <w:r>
                    <w:rPr>
                      <w:rFonts w:hint="eastAsia" w:cs="Times New Roman"/>
                      <w:color w:val="000000" w:themeColor="text1"/>
                      <w:kern w:val="0"/>
                      <w:sz w:val="20"/>
                      <w:szCs w:val="20"/>
                      <w:lang w:val="en-US" w:eastAsia="zh-CN" w:bidi="ar-SA"/>
                      <w14:textFill>
                        <w14:solidFill>
                          <w14:schemeClr w14:val="tx1"/>
                        </w14:solidFill>
                      </w14:textFill>
                    </w:rPr>
                    <w:t>0.2</w:t>
                  </w:r>
                  <w:r>
                    <w:rPr>
                      <w:rFonts w:hint="default" w:ascii="Arial" w:hAnsi="Arial" w:cs="Arial"/>
                      <w:color w:val="000000" w:themeColor="text1"/>
                      <w:kern w:val="0"/>
                      <w:sz w:val="20"/>
                      <w:szCs w:val="20"/>
                      <w:lang w:val="en-US" w:eastAsia="zh-CN" w:bidi="ar-SA"/>
                      <w14:textFill>
                        <w14:solidFill>
                          <w14:schemeClr w14:val="tx1"/>
                        </w14:solidFill>
                      </w14:textFill>
                    </w:rPr>
                    <w:t>×</w:t>
                  </w:r>
                  <w:r>
                    <w:rPr>
                      <w:rFonts w:hint="eastAsia" w:cs="Times New Roman"/>
                      <w:color w:val="000000" w:themeColor="text1"/>
                      <w:kern w:val="0"/>
                      <w:sz w:val="20"/>
                      <w:szCs w:val="20"/>
                      <w:lang w:val="en-US" w:eastAsia="zh-CN" w:bidi="ar-SA"/>
                      <w14:textFill>
                        <w14:solidFill>
                          <w14:schemeClr w14:val="tx1"/>
                        </w14:solidFill>
                      </w14:textFill>
                    </w:rPr>
                    <w:t>10</w:t>
                  </w:r>
                  <w:r>
                    <w:rPr>
                      <w:rFonts w:hint="eastAsia" w:cs="Times New Roman"/>
                      <w:color w:val="000000" w:themeColor="text1"/>
                      <w:kern w:val="0"/>
                      <w:sz w:val="20"/>
                      <w:szCs w:val="20"/>
                      <w:vertAlign w:val="superscript"/>
                      <w:lang w:val="en-US" w:eastAsia="zh-CN" w:bidi="ar-SA"/>
                      <w14:textFill>
                        <w14:solidFill>
                          <w14:schemeClr w14:val="tx1"/>
                        </w14:solidFill>
                      </w14:textFill>
                    </w:rPr>
                    <w:t>-3</w:t>
                  </w:r>
                </w:p>
              </w:tc>
              <w:tc>
                <w:tcPr>
                  <w:tcW w:w="1705" w:type="dxa"/>
                  <w:tcBorders>
                    <w:tl2br w:val="nil"/>
                    <w:tr2bl w:val="nil"/>
                  </w:tcBorders>
                  <w:shd w:val="clear" w:color="auto" w:fill="auto"/>
                  <w:noWrap w:val="0"/>
                  <w:vAlign w:val="center"/>
                </w:tcPr>
                <w:p w14:paraId="29EE300E">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zCs w:val="21"/>
                      <w:lang w:val="en-US" w:eastAsia="zh-CN"/>
                    </w:rPr>
                    <w:t>0.106</w:t>
                  </w:r>
                </w:p>
              </w:tc>
              <w:tc>
                <w:tcPr>
                  <w:tcW w:w="1320" w:type="dxa"/>
                  <w:tcBorders>
                    <w:tl2br w:val="nil"/>
                    <w:tr2bl w:val="nil"/>
                  </w:tcBorders>
                  <w:shd w:val="clear" w:color="auto" w:fill="auto"/>
                  <w:noWrap w:val="0"/>
                  <w:vAlign w:val="center"/>
                </w:tcPr>
                <w:p w14:paraId="77C8307D">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＜10</w:t>
                  </w:r>
                </w:p>
              </w:tc>
            </w:tr>
            <w:tr w14:paraId="79D94FF0">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1339" w:type="dxa"/>
                  <w:vMerge w:val="continue"/>
                  <w:tcBorders>
                    <w:tl2br w:val="nil"/>
                    <w:tr2bl w:val="nil"/>
                  </w:tcBorders>
                  <w:noWrap w:val="0"/>
                  <w:vAlign w:val="center"/>
                </w:tcPr>
                <w:p w14:paraId="491AAF49">
                  <w:pPr>
                    <w:spacing w:line="260" w:lineRule="exact"/>
                    <w:jc w:val="center"/>
                    <w:rPr>
                      <w:rFonts w:hint="default" w:ascii="Times New Roman" w:hAnsi="Times New Roman" w:eastAsia="宋体" w:cs="Times New Roman"/>
                      <w:color w:val="auto"/>
                      <w:szCs w:val="21"/>
                    </w:rPr>
                  </w:pPr>
                </w:p>
              </w:tc>
              <w:tc>
                <w:tcPr>
                  <w:tcW w:w="1375" w:type="dxa"/>
                  <w:vMerge w:val="continue"/>
                  <w:tcBorders>
                    <w:tl2br w:val="nil"/>
                    <w:tr2bl w:val="nil"/>
                  </w:tcBorders>
                  <w:noWrap w:val="0"/>
                  <w:vAlign w:val="center"/>
                </w:tcPr>
                <w:p w14:paraId="32E86CF5">
                  <w:pPr>
                    <w:spacing w:line="260" w:lineRule="exact"/>
                    <w:jc w:val="center"/>
                    <w:rPr>
                      <w:rFonts w:hint="default" w:ascii="Times New Roman" w:hAnsi="Times New Roman" w:eastAsia="宋体" w:cs="Times New Roman"/>
                      <w:color w:val="auto"/>
                      <w:szCs w:val="21"/>
                    </w:rPr>
                  </w:pPr>
                </w:p>
              </w:tc>
              <w:tc>
                <w:tcPr>
                  <w:tcW w:w="1475" w:type="dxa"/>
                  <w:tcBorders>
                    <w:tl2br w:val="nil"/>
                    <w:tr2bl w:val="nil"/>
                  </w:tcBorders>
                  <w:noWrap w:val="0"/>
                  <w:vAlign w:val="center"/>
                </w:tcPr>
                <w:p w14:paraId="330954B6">
                  <w:pPr>
                    <w:jc w:val="center"/>
                    <w:rPr>
                      <w:rFonts w:hint="default" w:ascii="Times New Roman" w:hAnsi="Times New Roman" w:eastAsia="宋体" w:cs="Times New Roman"/>
                      <w:color w:val="auto"/>
                      <w:szCs w:val="21"/>
                    </w:rPr>
                  </w:pPr>
                  <w:r>
                    <w:rPr>
                      <w:rFonts w:hint="eastAsia"/>
                      <w:szCs w:val="21"/>
                      <w:lang w:val="en-US" w:eastAsia="zh-CN"/>
                    </w:rPr>
                    <w:t>4-2-3</w:t>
                  </w:r>
                </w:p>
              </w:tc>
              <w:tc>
                <w:tcPr>
                  <w:tcW w:w="1433" w:type="dxa"/>
                  <w:tcBorders>
                    <w:tl2br w:val="nil"/>
                    <w:tr2bl w:val="nil"/>
                  </w:tcBorders>
                  <w:shd w:val="clear" w:color="auto" w:fill="auto"/>
                  <w:noWrap w:val="0"/>
                  <w:vAlign w:val="center"/>
                </w:tcPr>
                <w:p w14:paraId="6B374B85">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olor w:val="000000"/>
                      <w:kern w:val="0"/>
                      <w:sz w:val="20"/>
                      <w:szCs w:val="20"/>
                      <w:lang w:val="en-US" w:eastAsia="zh-CN"/>
                    </w:rPr>
                    <w:t>＜</w:t>
                  </w:r>
                  <w:r>
                    <w:rPr>
                      <w:rFonts w:hint="eastAsia" w:cs="Times New Roman"/>
                      <w:color w:val="000000" w:themeColor="text1"/>
                      <w:kern w:val="0"/>
                      <w:sz w:val="20"/>
                      <w:szCs w:val="20"/>
                      <w:lang w:val="en-US" w:eastAsia="zh-CN" w:bidi="ar-SA"/>
                      <w14:textFill>
                        <w14:solidFill>
                          <w14:schemeClr w14:val="tx1"/>
                        </w14:solidFill>
                      </w14:textFill>
                    </w:rPr>
                    <w:t>0.2</w:t>
                  </w:r>
                  <w:r>
                    <w:rPr>
                      <w:rFonts w:hint="default" w:ascii="Arial" w:hAnsi="Arial" w:cs="Arial"/>
                      <w:color w:val="000000" w:themeColor="text1"/>
                      <w:kern w:val="0"/>
                      <w:sz w:val="20"/>
                      <w:szCs w:val="20"/>
                      <w:lang w:val="en-US" w:eastAsia="zh-CN" w:bidi="ar-SA"/>
                      <w14:textFill>
                        <w14:solidFill>
                          <w14:schemeClr w14:val="tx1"/>
                        </w14:solidFill>
                      </w14:textFill>
                    </w:rPr>
                    <w:t>×</w:t>
                  </w:r>
                  <w:r>
                    <w:rPr>
                      <w:rFonts w:hint="eastAsia" w:cs="Times New Roman"/>
                      <w:color w:val="000000" w:themeColor="text1"/>
                      <w:kern w:val="0"/>
                      <w:sz w:val="20"/>
                      <w:szCs w:val="20"/>
                      <w:lang w:val="en-US" w:eastAsia="zh-CN" w:bidi="ar-SA"/>
                      <w14:textFill>
                        <w14:solidFill>
                          <w14:schemeClr w14:val="tx1"/>
                        </w14:solidFill>
                      </w14:textFill>
                    </w:rPr>
                    <w:t>10</w:t>
                  </w:r>
                  <w:r>
                    <w:rPr>
                      <w:rFonts w:hint="eastAsia" w:cs="Times New Roman"/>
                      <w:color w:val="000000" w:themeColor="text1"/>
                      <w:kern w:val="0"/>
                      <w:sz w:val="20"/>
                      <w:szCs w:val="20"/>
                      <w:vertAlign w:val="superscript"/>
                      <w:lang w:val="en-US" w:eastAsia="zh-CN" w:bidi="ar-SA"/>
                      <w14:textFill>
                        <w14:solidFill>
                          <w14:schemeClr w14:val="tx1"/>
                        </w14:solidFill>
                      </w14:textFill>
                    </w:rPr>
                    <w:t>-3</w:t>
                  </w:r>
                </w:p>
              </w:tc>
              <w:tc>
                <w:tcPr>
                  <w:tcW w:w="1705" w:type="dxa"/>
                  <w:tcBorders>
                    <w:tl2br w:val="nil"/>
                    <w:tr2bl w:val="nil"/>
                  </w:tcBorders>
                  <w:shd w:val="clear" w:color="auto" w:fill="auto"/>
                  <w:noWrap w:val="0"/>
                  <w:vAlign w:val="center"/>
                </w:tcPr>
                <w:p w14:paraId="3C30DB6C">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zCs w:val="21"/>
                      <w:lang w:val="en-US" w:eastAsia="zh-CN"/>
                    </w:rPr>
                    <w:t>0.086</w:t>
                  </w:r>
                </w:p>
              </w:tc>
              <w:tc>
                <w:tcPr>
                  <w:tcW w:w="1320" w:type="dxa"/>
                  <w:tcBorders>
                    <w:tl2br w:val="nil"/>
                    <w:tr2bl w:val="nil"/>
                  </w:tcBorders>
                  <w:shd w:val="clear" w:color="auto" w:fill="auto"/>
                  <w:noWrap w:val="0"/>
                  <w:vAlign w:val="center"/>
                </w:tcPr>
                <w:p w14:paraId="547305B2">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＜10</w:t>
                  </w:r>
                </w:p>
              </w:tc>
            </w:tr>
            <w:tr w14:paraId="14CC512F">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1339" w:type="dxa"/>
                  <w:vMerge w:val="continue"/>
                  <w:tcBorders>
                    <w:tl2br w:val="nil"/>
                    <w:tr2bl w:val="nil"/>
                  </w:tcBorders>
                  <w:noWrap w:val="0"/>
                  <w:vAlign w:val="center"/>
                </w:tcPr>
                <w:p w14:paraId="3427F0AE">
                  <w:pPr>
                    <w:spacing w:line="260" w:lineRule="exact"/>
                    <w:jc w:val="center"/>
                    <w:rPr>
                      <w:rFonts w:hint="default" w:ascii="Times New Roman" w:hAnsi="Times New Roman" w:eastAsia="宋体" w:cs="Times New Roman"/>
                      <w:color w:val="auto"/>
                      <w:szCs w:val="21"/>
                    </w:rPr>
                  </w:pPr>
                </w:p>
              </w:tc>
              <w:tc>
                <w:tcPr>
                  <w:tcW w:w="1375" w:type="dxa"/>
                  <w:vMerge w:val="continue"/>
                  <w:tcBorders>
                    <w:tl2br w:val="nil"/>
                    <w:tr2bl w:val="nil"/>
                  </w:tcBorders>
                  <w:noWrap w:val="0"/>
                  <w:vAlign w:val="center"/>
                </w:tcPr>
                <w:p w14:paraId="05DC8066">
                  <w:pPr>
                    <w:spacing w:line="260" w:lineRule="exact"/>
                    <w:jc w:val="center"/>
                    <w:rPr>
                      <w:rFonts w:hint="default" w:ascii="Times New Roman" w:hAnsi="Times New Roman" w:eastAsia="宋体" w:cs="Times New Roman"/>
                      <w:color w:val="auto"/>
                      <w:szCs w:val="21"/>
                    </w:rPr>
                  </w:pPr>
                </w:p>
              </w:tc>
              <w:tc>
                <w:tcPr>
                  <w:tcW w:w="1475" w:type="dxa"/>
                  <w:tcBorders>
                    <w:tl2br w:val="nil"/>
                    <w:tr2bl w:val="nil"/>
                  </w:tcBorders>
                  <w:noWrap w:val="0"/>
                  <w:vAlign w:val="center"/>
                </w:tcPr>
                <w:p w14:paraId="7759152D">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szCs w:val="21"/>
                      <w:lang w:val="en-US" w:eastAsia="zh-CN"/>
                    </w:rPr>
                    <w:t>4-2-4</w:t>
                  </w:r>
                </w:p>
              </w:tc>
              <w:tc>
                <w:tcPr>
                  <w:tcW w:w="1433" w:type="dxa"/>
                  <w:tcBorders>
                    <w:tl2br w:val="nil"/>
                    <w:tr2bl w:val="nil"/>
                  </w:tcBorders>
                  <w:shd w:val="clear" w:color="auto" w:fill="auto"/>
                  <w:noWrap w:val="0"/>
                  <w:vAlign w:val="center"/>
                </w:tcPr>
                <w:p w14:paraId="2DC381A5">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olor w:val="000000"/>
                      <w:kern w:val="0"/>
                      <w:sz w:val="20"/>
                      <w:szCs w:val="20"/>
                      <w:lang w:val="en-US" w:eastAsia="zh-CN"/>
                    </w:rPr>
                    <w:t>＜</w:t>
                  </w:r>
                  <w:r>
                    <w:rPr>
                      <w:rFonts w:hint="eastAsia" w:cs="Times New Roman"/>
                      <w:color w:val="000000" w:themeColor="text1"/>
                      <w:kern w:val="0"/>
                      <w:sz w:val="20"/>
                      <w:szCs w:val="20"/>
                      <w:lang w:val="en-US" w:eastAsia="zh-CN" w:bidi="ar-SA"/>
                      <w14:textFill>
                        <w14:solidFill>
                          <w14:schemeClr w14:val="tx1"/>
                        </w14:solidFill>
                      </w14:textFill>
                    </w:rPr>
                    <w:t>0.2</w:t>
                  </w:r>
                  <w:r>
                    <w:rPr>
                      <w:rFonts w:hint="default" w:ascii="Arial" w:hAnsi="Arial" w:cs="Arial"/>
                      <w:color w:val="000000" w:themeColor="text1"/>
                      <w:kern w:val="0"/>
                      <w:sz w:val="20"/>
                      <w:szCs w:val="20"/>
                      <w:lang w:val="en-US" w:eastAsia="zh-CN" w:bidi="ar-SA"/>
                      <w14:textFill>
                        <w14:solidFill>
                          <w14:schemeClr w14:val="tx1"/>
                        </w14:solidFill>
                      </w14:textFill>
                    </w:rPr>
                    <w:t>×</w:t>
                  </w:r>
                  <w:r>
                    <w:rPr>
                      <w:rFonts w:hint="eastAsia" w:cs="Times New Roman"/>
                      <w:color w:val="000000" w:themeColor="text1"/>
                      <w:kern w:val="0"/>
                      <w:sz w:val="20"/>
                      <w:szCs w:val="20"/>
                      <w:lang w:val="en-US" w:eastAsia="zh-CN" w:bidi="ar-SA"/>
                      <w14:textFill>
                        <w14:solidFill>
                          <w14:schemeClr w14:val="tx1"/>
                        </w14:solidFill>
                      </w14:textFill>
                    </w:rPr>
                    <w:t>10</w:t>
                  </w:r>
                  <w:r>
                    <w:rPr>
                      <w:rFonts w:hint="eastAsia" w:cs="Times New Roman"/>
                      <w:color w:val="000000" w:themeColor="text1"/>
                      <w:kern w:val="0"/>
                      <w:sz w:val="20"/>
                      <w:szCs w:val="20"/>
                      <w:vertAlign w:val="superscript"/>
                      <w:lang w:val="en-US" w:eastAsia="zh-CN" w:bidi="ar-SA"/>
                      <w14:textFill>
                        <w14:solidFill>
                          <w14:schemeClr w14:val="tx1"/>
                        </w14:solidFill>
                      </w14:textFill>
                    </w:rPr>
                    <w:t>-3</w:t>
                  </w:r>
                </w:p>
              </w:tc>
              <w:tc>
                <w:tcPr>
                  <w:tcW w:w="1705" w:type="dxa"/>
                  <w:tcBorders>
                    <w:tl2br w:val="nil"/>
                    <w:tr2bl w:val="nil"/>
                  </w:tcBorders>
                  <w:shd w:val="clear" w:color="auto" w:fill="auto"/>
                  <w:noWrap w:val="0"/>
                  <w:vAlign w:val="center"/>
                </w:tcPr>
                <w:p w14:paraId="59C8DE8D">
                  <w:pPr>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zCs w:val="21"/>
                      <w:lang w:val="en-US" w:eastAsia="zh-CN"/>
                    </w:rPr>
                    <w:t>0.098</w:t>
                  </w:r>
                </w:p>
              </w:tc>
              <w:tc>
                <w:tcPr>
                  <w:tcW w:w="1320" w:type="dxa"/>
                  <w:tcBorders>
                    <w:tl2br w:val="nil"/>
                    <w:tr2bl w:val="nil"/>
                  </w:tcBorders>
                  <w:shd w:val="clear" w:color="auto" w:fill="auto"/>
                  <w:noWrap w:val="0"/>
                  <w:vAlign w:val="center"/>
                </w:tcPr>
                <w:p w14:paraId="57B3EE1E">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＜10</w:t>
                  </w:r>
                </w:p>
              </w:tc>
            </w:tr>
            <w:tr w14:paraId="66894A06">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4189" w:type="dxa"/>
                  <w:gridSpan w:val="3"/>
                  <w:tcBorders>
                    <w:tl2br w:val="nil"/>
                    <w:tr2bl w:val="nil"/>
                  </w:tcBorders>
                  <w:noWrap w:val="0"/>
                  <w:vAlign w:val="center"/>
                </w:tcPr>
                <w:p w14:paraId="4E556E83">
                  <w:pPr>
                    <w:keepNext w:val="0"/>
                    <w:keepLines w:val="0"/>
                    <w:pageBreakBefore w:val="0"/>
                    <w:widowControl/>
                    <w:kinsoku/>
                    <w:wordWrap/>
                    <w:overflowPunct/>
                    <w:topLinePunct w:val="0"/>
                    <w:autoSpaceDE/>
                    <w:autoSpaceDN/>
                    <w:bidi w:val="0"/>
                    <w:adjustRightInd/>
                    <w:snapToGrid/>
                    <w:ind w:firstLine="211" w:firstLineChars="100"/>
                    <w:jc w:val="center"/>
                    <w:textAlignment w:val="auto"/>
                    <w:rPr>
                      <w:rFonts w:hint="default" w:ascii="Times New Roman" w:hAnsi="Times New Roman" w:eastAsia="宋体" w:cs="Times New Roman"/>
                      <w:b/>
                      <w:bCs/>
                      <w:color w:val="auto"/>
                      <w:szCs w:val="21"/>
                    </w:rPr>
                  </w:pPr>
                  <w:r>
                    <w:rPr>
                      <w:rFonts w:hint="default" w:ascii="Times New Roman" w:hAnsi="Times New Roman" w:cs="Times New Roman"/>
                      <w:b/>
                      <w:bCs/>
                      <w:color w:val="auto"/>
                      <w:sz w:val="21"/>
                      <w:szCs w:val="21"/>
                      <w:highlight w:val="none"/>
                      <w:lang w:eastAsia="zh-CN"/>
                    </w:rPr>
                    <w:t>最大值</w:t>
                  </w:r>
                </w:p>
              </w:tc>
              <w:tc>
                <w:tcPr>
                  <w:tcW w:w="1433" w:type="dxa"/>
                  <w:tcBorders>
                    <w:tl2br w:val="nil"/>
                    <w:tr2bl w:val="nil"/>
                  </w:tcBorders>
                  <w:shd w:val="clear" w:color="auto" w:fill="auto"/>
                  <w:noWrap w:val="0"/>
                  <w:vAlign w:val="center"/>
                </w:tcPr>
                <w:p w14:paraId="093CC53D">
                  <w:pPr>
                    <w:keepNext w:val="0"/>
                    <w:keepLines w:val="0"/>
                    <w:pageBreakBefore w:val="0"/>
                    <w:kinsoku/>
                    <w:wordWrap/>
                    <w:overflowPunct/>
                    <w:topLinePunct w:val="0"/>
                    <w:autoSpaceDE/>
                    <w:autoSpaceDN/>
                    <w:bidi w:val="0"/>
                    <w:adjustRightInd/>
                    <w:snapToGrid/>
                    <w:spacing w:line="260" w:lineRule="exact"/>
                    <w:ind w:firstLine="0" w:firstLineChars="0"/>
                    <w:jc w:val="center"/>
                    <w:textAlignment w:val="auto"/>
                    <w:rPr>
                      <w:rFonts w:hint="default" w:ascii="Times New Roman" w:hAnsi="Times New Roman" w:eastAsia="宋体" w:cs="Times New Roman"/>
                      <w:b/>
                      <w:bCs w:val="0"/>
                      <w:color w:val="auto"/>
                      <w:kern w:val="2"/>
                      <w:sz w:val="21"/>
                      <w:szCs w:val="21"/>
                      <w:lang w:val="en-US" w:eastAsia="zh-CN" w:bidi="ar-SA"/>
                    </w:rPr>
                  </w:pPr>
                  <w:r>
                    <w:rPr>
                      <w:rFonts w:hint="eastAsia"/>
                      <w:color w:val="000000"/>
                      <w:kern w:val="0"/>
                      <w:sz w:val="20"/>
                      <w:szCs w:val="20"/>
                      <w:lang w:val="en-US" w:eastAsia="zh-CN"/>
                    </w:rPr>
                    <w:t>/</w:t>
                  </w:r>
                </w:p>
              </w:tc>
              <w:tc>
                <w:tcPr>
                  <w:tcW w:w="1705" w:type="dxa"/>
                  <w:tcBorders>
                    <w:tl2br w:val="nil"/>
                    <w:tr2bl w:val="nil"/>
                  </w:tcBorders>
                  <w:noWrap w:val="0"/>
                  <w:vAlign w:val="center"/>
                </w:tcPr>
                <w:p w14:paraId="549412E2">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0.110</w:t>
                  </w:r>
                </w:p>
              </w:tc>
              <w:tc>
                <w:tcPr>
                  <w:tcW w:w="1320" w:type="dxa"/>
                  <w:tcBorders>
                    <w:tl2br w:val="nil"/>
                    <w:tr2bl w:val="nil"/>
                  </w:tcBorders>
                  <w:shd w:val="clear" w:color="auto" w:fill="auto"/>
                  <w:noWrap w:val="0"/>
                  <w:vAlign w:val="center"/>
                </w:tcPr>
                <w:p w14:paraId="792F3D08">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cs="Times New Roman"/>
                      <w:b/>
                      <w:bCs/>
                      <w:color w:val="auto"/>
                      <w:kern w:val="2"/>
                      <w:sz w:val="21"/>
                      <w:szCs w:val="21"/>
                      <w:highlight w:val="none"/>
                      <w:lang w:val="en-US" w:eastAsia="zh-CN" w:bidi="ar-SA"/>
                    </w:rPr>
                    <w:t>/</w:t>
                  </w:r>
                </w:p>
              </w:tc>
            </w:tr>
            <w:tr w14:paraId="012174C0">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4189" w:type="dxa"/>
                  <w:gridSpan w:val="3"/>
                  <w:tcBorders>
                    <w:tl2br w:val="nil"/>
                    <w:tr2bl w:val="nil"/>
                  </w:tcBorders>
                  <w:noWrap w:val="0"/>
                  <w:vAlign w:val="center"/>
                </w:tcPr>
                <w:p w14:paraId="461CD3DB">
                  <w:pPr>
                    <w:keepNext w:val="0"/>
                    <w:keepLines w:val="0"/>
                    <w:pageBreakBefore w:val="0"/>
                    <w:widowControl/>
                    <w:kinsoku/>
                    <w:wordWrap/>
                    <w:overflowPunct/>
                    <w:topLinePunct w:val="0"/>
                    <w:autoSpaceDE/>
                    <w:autoSpaceDN/>
                    <w:bidi w:val="0"/>
                    <w:adjustRightInd/>
                    <w:snapToGrid/>
                    <w:ind w:firstLine="210" w:firstLineChars="100"/>
                    <w:jc w:val="center"/>
                    <w:textAlignment w:val="auto"/>
                    <w:rPr>
                      <w:rFonts w:hint="default" w:ascii="Times New Roman" w:hAnsi="Times New Roman" w:eastAsia="宋体" w:cs="Times New Roman"/>
                      <w:b/>
                      <w:bCs/>
                      <w:color w:val="auto"/>
                      <w:szCs w:val="21"/>
                    </w:rPr>
                  </w:pPr>
                  <w:r>
                    <w:rPr>
                      <w:rFonts w:hint="default" w:ascii="Times New Roman" w:hAnsi="Times New Roman" w:eastAsia="宋体" w:cs="Times New Roman"/>
                      <w:color w:val="auto"/>
                      <w:lang w:val="en-US" w:eastAsia="zh-CN"/>
                    </w:rPr>
                    <w:t>（GB</w:t>
                  </w:r>
                  <w:r>
                    <w:rPr>
                      <w:rFonts w:hint="eastAsia" w:cs="Times New Roman"/>
                      <w:color w:val="auto"/>
                      <w:lang w:val="en-US" w:eastAsia="zh-CN"/>
                    </w:rPr>
                    <w:t>14554-1993</w:t>
                  </w:r>
                  <w:r>
                    <w:rPr>
                      <w:rFonts w:hint="default" w:ascii="Times New Roman" w:hAnsi="Times New Roman" w:eastAsia="宋体" w:cs="Times New Roman"/>
                      <w:color w:val="auto"/>
                      <w:lang w:val="en-US" w:eastAsia="zh-CN"/>
                    </w:rPr>
                    <w:t>）</w:t>
                  </w:r>
                  <w:r>
                    <w:rPr>
                      <w:rFonts w:hint="default" w:ascii="Times New Roman" w:hAnsi="Times New Roman" w:cs="Times New Roman"/>
                      <w:b/>
                      <w:bCs/>
                      <w:color w:val="auto"/>
                      <w:sz w:val="21"/>
                      <w:szCs w:val="21"/>
                      <w:highlight w:val="none"/>
                      <w:lang w:val="en-US" w:eastAsia="zh-CN"/>
                    </w:rPr>
                    <w:t>标准限值</w:t>
                  </w:r>
                </w:p>
              </w:tc>
              <w:tc>
                <w:tcPr>
                  <w:tcW w:w="1433" w:type="dxa"/>
                  <w:tcBorders>
                    <w:tl2br w:val="nil"/>
                    <w:tr2bl w:val="nil"/>
                  </w:tcBorders>
                  <w:shd w:val="clear" w:color="auto" w:fill="auto"/>
                  <w:noWrap w:val="0"/>
                  <w:vAlign w:val="center"/>
                </w:tcPr>
                <w:p w14:paraId="3913962F">
                  <w:pPr>
                    <w:keepNext w:val="0"/>
                    <w:keepLines w:val="0"/>
                    <w:pageBreakBefore w:val="0"/>
                    <w:kinsoku/>
                    <w:wordWrap/>
                    <w:overflowPunct/>
                    <w:topLinePunct w:val="0"/>
                    <w:autoSpaceDE/>
                    <w:autoSpaceDN/>
                    <w:bidi w:val="0"/>
                    <w:adjustRightInd/>
                    <w:snapToGrid/>
                    <w:spacing w:line="260" w:lineRule="exact"/>
                    <w:ind w:firstLine="0" w:firstLineChars="0"/>
                    <w:jc w:val="center"/>
                    <w:textAlignment w:val="auto"/>
                    <w:rPr>
                      <w:rFonts w:hint="default" w:ascii="Times New Roman" w:hAnsi="Times New Roman" w:eastAsia="宋体" w:cs="Times New Roman"/>
                      <w:b/>
                      <w:bCs w:val="0"/>
                      <w:color w:val="auto"/>
                      <w:kern w:val="2"/>
                      <w:sz w:val="21"/>
                      <w:szCs w:val="21"/>
                      <w:lang w:val="en-US" w:eastAsia="zh-CN" w:bidi="ar-SA"/>
                    </w:rPr>
                  </w:pPr>
                  <w:r>
                    <w:rPr>
                      <w:rFonts w:hint="eastAsia"/>
                      <w:b/>
                      <w:bCs/>
                      <w:color w:val="000000"/>
                      <w:sz w:val="20"/>
                      <w:szCs w:val="20"/>
                      <w:lang w:val="en-US" w:eastAsia="zh-CN"/>
                    </w:rPr>
                    <w:t>0.06</w:t>
                  </w:r>
                </w:p>
              </w:tc>
              <w:tc>
                <w:tcPr>
                  <w:tcW w:w="1705" w:type="dxa"/>
                  <w:tcBorders>
                    <w:tl2br w:val="nil"/>
                    <w:tr2bl w:val="nil"/>
                  </w:tcBorders>
                  <w:shd w:val="clear" w:color="auto" w:fill="auto"/>
                  <w:noWrap w:val="0"/>
                  <w:vAlign w:val="center"/>
                </w:tcPr>
                <w:p w14:paraId="18DA8EF3">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cs="Times New Roman"/>
                      <w:b/>
                      <w:bCs/>
                      <w:color w:val="auto"/>
                      <w:sz w:val="21"/>
                      <w:szCs w:val="21"/>
                      <w:highlight w:val="none"/>
                      <w:lang w:val="en-US" w:eastAsia="zh-CN"/>
                    </w:rPr>
                    <w:t>1.5</w:t>
                  </w:r>
                </w:p>
              </w:tc>
              <w:tc>
                <w:tcPr>
                  <w:tcW w:w="1320" w:type="dxa"/>
                  <w:tcBorders>
                    <w:tl2br w:val="nil"/>
                    <w:tr2bl w:val="nil"/>
                  </w:tcBorders>
                  <w:shd w:val="clear" w:color="auto" w:fill="auto"/>
                  <w:noWrap w:val="0"/>
                  <w:vAlign w:val="center"/>
                </w:tcPr>
                <w:p w14:paraId="1CA6DC7E">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20</w:t>
                  </w:r>
                </w:p>
              </w:tc>
            </w:tr>
            <w:tr w14:paraId="1F6E91CF">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72" w:hRule="atLeast"/>
                <w:jc w:val="center"/>
              </w:trPr>
              <w:tc>
                <w:tcPr>
                  <w:tcW w:w="4189" w:type="dxa"/>
                  <w:gridSpan w:val="3"/>
                  <w:tcBorders>
                    <w:tl2br w:val="nil"/>
                    <w:tr2bl w:val="nil"/>
                  </w:tcBorders>
                  <w:noWrap w:val="0"/>
                  <w:vAlign w:val="center"/>
                </w:tcPr>
                <w:p w14:paraId="69C6DD45">
                  <w:pPr>
                    <w:keepNext w:val="0"/>
                    <w:keepLines w:val="0"/>
                    <w:pageBreakBefore w:val="0"/>
                    <w:widowControl/>
                    <w:kinsoku/>
                    <w:wordWrap/>
                    <w:overflowPunct/>
                    <w:topLinePunct w:val="0"/>
                    <w:autoSpaceDE/>
                    <w:autoSpaceDN/>
                    <w:bidi w:val="0"/>
                    <w:adjustRightInd/>
                    <w:snapToGrid/>
                    <w:ind w:firstLine="211" w:firstLineChars="100"/>
                    <w:jc w:val="center"/>
                    <w:textAlignment w:val="auto"/>
                    <w:rPr>
                      <w:rFonts w:hint="default" w:ascii="Times New Roman" w:hAnsi="Times New Roman" w:eastAsia="宋体" w:cs="Times New Roman"/>
                      <w:b/>
                      <w:bCs/>
                      <w:color w:val="auto"/>
                      <w:szCs w:val="21"/>
                    </w:rPr>
                  </w:pPr>
                  <w:r>
                    <w:rPr>
                      <w:rFonts w:hint="default" w:ascii="Times New Roman" w:hAnsi="Times New Roman" w:cs="Times New Roman"/>
                      <w:b/>
                      <w:bCs/>
                      <w:color w:val="auto"/>
                      <w:sz w:val="21"/>
                      <w:szCs w:val="21"/>
                      <w:highlight w:val="none"/>
                      <w:lang w:val="en-US" w:eastAsia="zh-CN"/>
                    </w:rPr>
                    <w:t>达标情况</w:t>
                  </w:r>
                </w:p>
              </w:tc>
              <w:tc>
                <w:tcPr>
                  <w:tcW w:w="1433" w:type="dxa"/>
                  <w:tcBorders>
                    <w:tl2br w:val="nil"/>
                    <w:tr2bl w:val="nil"/>
                  </w:tcBorders>
                  <w:noWrap w:val="0"/>
                  <w:vAlign w:val="center"/>
                </w:tcPr>
                <w:p w14:paraId="4F701CFE">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b/>
                      <w:bCs/>
                      <w:color w:val="auto"/>
                      <w:sz w:val="21"/>
                      <w:szCs w:val="21"/>
                      <w:highlight w:val="none"/>
                      <w:lang w:val="en-US" w:eastAsia="zh-CN"/>
                    </w:rPr>
                  </w:pPr>
                  <w:r>
                    <w:rPr>
                      <w:rFonts w:hint="default" w:ascii="Times New Roman" w:hAnsi="Times New Roman" w:eastAsia="宋体" w:cs="Times New Roman"/>
                      <w:b/>
                      <w:bCs/>
                      <w:color w:val="auto"/>
                      <w:szCs w:val="21"/>
                    </w:rPr>
                    <w:t>达标</w:t>
                  </w:r>
                </w:p>
              </w:tc>
              <w:tc>
                <w:tcPr>
                  <w:tcW w:w="1705" w:type="dxa"/>
                  <w:tcBorders>
                    <w:tl2br w:val="nil"/>
                    <w:tr2bl w:val="nil"/>
                  </w:tcBorders>
                  <w:noWrap w:val="0"/>
                  <w:vAlign w:val="center"/>
                </w:tcPr>
                <w:p w14:paraId="40536751">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b/>
                      <w:bCs/>
                      <w:color w:val="auto"/>
                      <w:sz w:val="21"/>
                      <w:szCs w:val="21"/>
                      <w:highlight w:val="none"/>
                      <w:lang w:val="en-US" w:eastAsia="zh-CN"/>
                    </w:rPr>
                  </w:pPr>
                  <w:r>
                    <w:rPr>
                      <w:rFonts w:hint="default" w:ascii="Times New Roman" w:hAnsi="Times New Roman" w:eastAsia="宋体" w:cs="Times New Roman"/>
                      <w:b/>
                      <w:bCs/>
                      <w:color w:val="auto"/>
                      <w:szCs w:val="21"/>
                    </w:rPr>
                    <w:t>达标</w:t>
                  </w:r>
                </w:p>
              </w:tc>
              <w:tc>
                <w:tcPr>
                  <w:tcW w:w="1320" w:type="dxa"/>
                  <w:tcBorders>
                    <w:tl2br w:val="nil"/>
                    <w:tr2bl w:val="nil"/>
                  </w:tcBorders>
                  <w:noWrap w:val="0"/>
                  <w:vAlign w:val="center"/>
                </w:tcPr>
                <w:p w14:paraId="631E1F55">
                  <w:pPr>
                    <w:keepNext w:val="0"/>
                    <w:keepLines w:val="0"/>
                    <w:pageBreakBefore w:val="0"/>
                    <w:kinsoku/>
                    <w:wordWrap/>
                    <w:overflowPunct/>
                    <w:topLinePunct w:val="0"/>
                    <w:autoSpaceDE/>
                    <w:autoSpaceDN/>
                    <w:bidi w:val="0"/>
                    <w:adjustRightInd/>
                    <w:snapToGrid/>
                    <w:spacing w:line="260" w:lineRule="exact"/>
                    <w:ind w:firstLine="0" w:firstLineChars="0"/>
                    <w:jc w:val="center"/>
                    <w:textAlignment w:val="auto"/>
                    <w:rPr>
                      <w:rFonts w:hint="default" w:ascii="Times New Roman" w:hAnsi="Times New Roman" w:eastAsia="宋体" w:cs="Times New Roman"/>
                      <w:b/>
                      <w:bCs/>
                      <w:color w:val="auto"/>
                      <w:kern w:val="2"/>
                      <w:sz w:val="21"/>
                      <w:szCs w:val="21"/>
                      <w:lang w:val="en-US" w:eastAsia="zh-CN" w:bidi="ar-SA"/>
                    </w:rPr>
                  </w:pPr>
                  <w:r>
                    <w:rPr>
                      <w:rFonts w:hint="default" w:ascii="Times New Roman" w:hAnsi="Times New Roman" w:eastAsia="宋体" w:cs="Times New Roman"/>
                      <w:b/>
                      <w:bCs/>
                      <w:color w:val="auto"/>
                      <w:szCs w:val="21"/>
                    </w:rPr>
                    <w:t>达标</w:t>
                  </w:r>
                </w:p>
              </w:tc>
            </w:tr>
          </w:tbl>
          <w:p w14:paraId="15A4D7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val="en-US" w:eastAsia="zh-CN"/>
              </w:rPr>
              <w:t>验收监测期间</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eastAsia="zh-CN"/>
              </w:rPr>
              <w:t>本项目</w:t>
            </w:r>
            <w:r>
              <w:rPr>
                <w:rFonts w:hint="eastAsia" w:asciiTheme="majorEastAsia" w:hAnsiTheme="majorEastAsia" w:eastAsiaTheme="majorEastAsia" w:cstheme="majorEastAsia"/>
                <w:color w:val="auto"/>
                <w:sz w:val="24"/>
                <w:szCs w:val="24"/>
                <w:highlight w:val="none"/>
              </w:rPr>
              <w:t>厂界</w:t>
            </w:r>
            <w:r>
              <w:rPr>
                <w:rFonts w:hint="eastAsia" w:asciiTheme="majorEastAsia" w:hAnsiTheme="majorEastAsia" w:eastAsiaTheme="majorEastAsia" w:cstheme="majorEastAsia"/>
                <w:color w:val="auto"/>
                <w:sz w:val="24"/>
                <w:szCs w:val="24"/>
                <w:highlight w:val="none"/>
                <w:lang w:val="en-US" w:eastAsia="zh-CN"/>
              </w:rPr>
              <w:t>1#、2#、3#、4#监控点</w:t>
            </w:r>
            <w:r>
              <w:rPr>
                <w:rFonts w:hint="eastAsia" w:asciiTheme="majorEastAsia" w:hAnsiTheme="majorEastAsia" w:eastAsiaTheme="majorEastAsia" w:cstheme="majorEastAsia"/>
                <w:color w:val="auto"/>
                <w:sz w:val="24"/>
                <w:szCs w:val="24"/>
                <w:highlight w:val="none"/>
                <w:lang w:eastAsia="zh-CN"/>
              </w:rPr>
              <w:t>位</w:t>
            </w:r>
            <w:r>
              <w:rPr>
                <w:rFonts w:hint="eastAsia" w:asciiTheme="majorEastAsia" w:hAnsiTheme="majorEastAsia" w:eastAsiaTheme="majorEastAsia" w:cstheme="majorEastAsia"/>
                <w:color w:val="auto"/>
                <w:sz w:val="24"/>
                <w:szCs w:val="24"/>
                <w:highlight w:val="none"/>
                <w:vertAlign w:val="baseline"/>
                <w:lang w:val="en-US" w:eastAsia="zh-CN"/>
              </w:rPr>
              <w:t>氨</w:t>
            </w:r>
            <w:r>
              <w:rPr>
                <w:rFonts w:hint="eastAsia" w:asciiTheme="majorEastAsia" w:hAnsiTheme="majorEastAsia" w:eastAsiaTheme="majorEastAsia" w:cstheme="majorEastAsia"/>
                <w:color w:val="auto"/>
                <w:sz w:val="24"/>
                <w:szCs w:val="24"/>
                <w:highlight w:val="none"/>
                <w:lang w:val="en-US" w:eastAsia="zh-CN"/>
              </w:rPr>
              <w:t>小时值</w:t>
            </w:r>
            <w:r>
              <w:rPr>
                <w:rFonts w:hint="eastAsia" w:asciiTheme="majorEastAsia" w:hAnsiTheme="majorEastAsia" w:eastAsiaTheme="majorEastAsia" w:cstheme="majorEastAsia"/>
                <w:color w:val="auto"/>
                <w:sz w:val="24"/>
                <w:szCs w:val="24"/>
                <w:highlight w:val="none"/>
                <w:lang w:eastAsia="zh-CN"/>
              </w:rPr>
              <w:t>最大浓度为</w:t>
            </w:r>
            <w:r>
              <w:rPr>
                <w:rFonts w:hint="eastAsia" w:asciiTheme="majorEastAsia" w:hAnsiTheme="majorEastAsia" w:eastAsiaTheme="majorEastAsia" w:cstheme="majorEastAsia"/>
                <w:color w:val="auto"/>
                <w:sz w:val="24"/>
                <w:szCs w:val="24"/>
                <w:highlight w:val="none"/>
                <w:lang w:val="en-US" w:eastAsia="zh-CN"/>
              </w:rPr>
              <w:t>0.110mg</w:t>
            </w:r>
            <w:r>
              <w:rPr>
                <w:rFonts w:hint="eastAsia" w:asciiTheme="majorEastAsia" w:hAnsiTheme="majorEastAsia" w:eastAsiaTheme="majorEastAsia" w:cstheme="majorEastAsia"/>
                <w:color w:val="auto"/>
                <w:sz w:val="24"/>
                <w:szCs w:val="24"/>
                <w:highlight w:val="none"/>
                <w:lang w:eastAsia="zh-CN"/>
              </w:rPr>
              <w:t>/m</w:t>
            </w:r>
            <w:r>
              <w:rPr>
                <w:rFonts w:hint="eastAsia" w:asciiTheme="majorEastAsia" w:hAnsiTheme="majorEastAsia" w:eastAsiaTheme="majorEastAsia" w:cstheme="majorEastAsia"/>
                <w:color w:val="auto"/>
                <w:sz w:val="24"/>
                <w:szCs w:val="24"/>
                <w:highlight w:val="none"/>
                <w:vertAlign w:val="superscript"/>
                <w:lang w:eastAsia="zh-CN"/>
              </w:rPr>
              <w:t>3</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硫化氢</w:t>
            </w:r>
            <w:r>
              <w:rPr>
                <w:rFonts w:hint="eastAsia" w:asciiTheme="majorEastAsia" w:hAnsiTheme="majorEastAsia" w:eastAsiaTheme="majorEastAsia" w:cstheme="majorEastAsia"/>
                <w:color w:val="auto"/>
                <w:sz w:val="24"/>
                <w:szCs w:val="24"/>
                <w:highlight w:val="none"/>
                <w:lang w:eastAsia="zh-CN"/>
              </w:rPr>
              <w:t>浓度未检出，均满足《</w:t>
            </w:r>
            <w:r>
              <w:rPr>
                <w:rFonts w:hint="eastAsia" w:asciiTheme="majorEastAsia" w:hAnsiTheme="majorEastAsia" w:eastAsiaTheme="majorEastAsia" w:cstheme="majorEastAsia"/>
                <w:color w:val="auto"/>
                <w:sz w:val="24"/>
                <w:szCs w:val="24"/>
                <w:lang w:val="en-US" w:eastAsia="zh-CN"/>
              </w:rPr>
              <w:t>恶臭污染物排放标准》中（GB14554-1993）表1恶臭污染物厂界二级新改扩建标准值</w:t>
            </w:r>
            <w:r>
              <w:rPr>
                <w:rFonts w:hint="eastAsia" w:asciiTheme="majorEastAsia" w:hAnsiTheme="majorEastAsia" w:eastAsiaTheme="majorEastAsia" w:cstheme="majorEastAsia"/>
                <w:color w:val="auto"/>
                <w:sz w:val="24"/>
                <w:szCs w:val="24"/>
                <w:highlight w:val="none"/>
                <w:lang w:eastAsia="zh-CN"/>
              </w:rPr>
              <w:t>，臭气浓度未检出，均</w:t>
            </w:r>
            <w:r>
              <w:rPr>
                <w:rFonts w:hint="eastAsia" w:asciiTheme="majorEastAsia" w:hAnsiTheme="majorEastAsia" w:eastAsiaTheme="majorEastAsia" w:cstheme="majorEastAsia"/>
                <w:color w:val="auto"/>
                <w:sz w:val="24"/>
                <w:szCs w:val="24"/>
                <w:highlight w:val="none"/>
                <w:vertAlign w:val="baseline"/>
                <w:lang w:eastAsia="zh-CN"/>
              </w:rPr>
              <w:t>满足《恶臭污染物排放标准》（GB14554-93）表1排放限值</w:t>
            </w:r>
            <w:r>
              <w:rPr>
                <w:rFonts w:hint="eastAsia" w:asciiTheme="majorEastAsia" w:hAnsiTheme="majorEastAsia" w:eastAsiaTheme="majorEastAsia" w:cstheme="majorEastAsia"/>
                <w:color w:val="auto"/>
                <w:sz w:val="24"/>
                <w:szCs w:val="24"/>
                <w:highlight w:val="none"/>
                <w:lang w:eastAsia="zh-CN"/>
              </w:rPr>
              <w:t>。</w:t>
            </w:r>
          </w:p>
          <w:p w14:paraId="772DB162">
            <w:pPr>
              <w:spacing w:line="360" w:lineRule="auto"/>
              <w:ind w:firstLine="562" w:firstLineChars="200"/>
              <w:rPr>
                <w:rFonts w:hint="default" w:ascii="Times New Roman" w:hAnsi="Times New Roman" w:eastAsia="宋体" w:cs="Times New Roman"/>
                <w:color w:val="auto"/>
                <w:sz w:val="28"/>
                <w:szCs w:val="28"/>
                <w:highlight w:val="none"/>
              </w:rPr>
            </w:pPr>
            <w:r>
              <w:rPr>
                <w:rFonts w:hint="default" w:ascii="Times New Roman" w:hAnsi="Times New Roman" w:cs="Times New Roman"/>
                <w:b/>
                <w:bCs/>
                <w:color w:val="auto"/>
                <w:sz w:val="28"/>
                <w:szCs w:val="28"/>
              </w:rPr>
              <w:t>7.2.2有组织废气</w:t>
            </w:r>
          </w:p>
          <w:p w14:paraId="482F2D1A">
            <w:pPr>
              <w:ind w:firstLine="560" w:firstLineChars="200"/>
              <w:rPr>
                <w:rFonts w:hint="default" w:ascii="Times New Roman" w:hAnsi="Times New Roman" w:eastAsia="宋体" w:cs="Times New Roman"/>
                <w:b/>
                <w:color w:val="auto"/>
                <w:sz w:val="24"/>
                <w:highlight w:val="none"/>
              </w:rPr>
            </w:pPr>
            <w:r>
              <w:rPr>
                <w:rFonts w:hint="default" w:ascii="Times New Roman" w:hAnsi="Times New Roman" w:eastAsia="宋体" w:cs="Times New Roman"/>
                <w:color w:val="auto"/>
                <w:sz w:val="28"/>
                <w:szCs w:val="28"/>
                <w:highlight w:val="none"/>
                <w:lang w:eastAsia="zh-CN"/>
              </w:rPr>
              <w:t>本</w:t>
            </w:r>
            <w:r>
              <w:rPr>
                <w:rFonts w:hint="default" w:ascii="Times New Roman" w:hAnsi="Times New Roman" w:eastAsia="宋体" w:cs="Times New Roman"/>
                <w:color w:val="auto"/>
                <w:sz w:val="28"/>
                <w:szCs w:val="28"/>
                <w:highlight w:val="none"/>
              </w:rPr>
              <w:t>项</w:t>
            </w:r>
            <w:r>
              <w:rPr>
                <w:rFonts w:hint="default" w:ascii="Times New Roman" w:hAnsi="Times New Roman" w:eastAsia="宋体" w:cs="Times New Roman"/>
                <w:color w:val="auto"/>
                <w:sz w:val="28"/>
                <w:szCs w:val="28"/>
                <w:highlight w:val="none"/>
                <w:lang w:eastAsia="zh-CN"/>
              </w:rPr>
              <w:t>有组织</w:t>
            </w:r>
            <w:r>
              <w:rPr>
                <w:rFonts w:hint="default" w:ascii="Times New Roman" w:hAnsi="Times New Roman" w:cs="Times New Roman"/>
                <w:color w:val="auto"/>
                <w:sz w:val="28"/>
                <w:szCs w:val="28"/>
                <w:highlight w:val="none"/>
                <w:lang w:eastAsia="zh-CN"/>
              </w:rPr>
              <w:t>废气</w:t>
            </w:r>
            <w:r>
              <w:rPr>
                <w:rFonts w:hint="default" w:ascii="Times New Roman" w:hAnsi="Times New Roman" w:eastAsia="宋体" w:cs="Times New Roman"/>
                <w:color w:val="auto"/>
                <w:sz w:val="28"/>
                <w:szCs w:val="28"/>
                <w:highlight w:val="none"/>
              </w:rPr>
              <w:t>监测结果见表7-</w:t>
            </w:r>
            <w:r>
              <w:rPr>
                <w:rFonts w:hint="eastAsia" w:ascii="Times New Roman" w:hAnsi="Times New Roman" w:cs="Times New Roman"/>
                <w:color w:val="auto"/>
                <w:sz w:val="28"/>
                <w:szCs w:val="28"/>
                <w:highlight w:val="none"/>
                <w:lang w:val="en-US" w:eastAsia="zh-CN"/>
              </w:rPr>
              <w:t>4、7-5</w:t>
            </w:r>
            <w:r>
              <w:rPr>
                <w:rFonts w:hint="default" w:ascii="Times New Roman" w:hAnsi="Times New Roman" w:eastAsia="宋体" w:cs="Times New Roman"/>
                <w:color w:val="auto"/>
                <w:sz w:val="28"/>
                <w:szCs w:val="28"/>
                <w:highlight w:val="none"/>
              </w:rPr>
              <w:t>。</w:t>
            </w:r>
          </w:p>
          <w:p w14:paraId="2DA3B971">
            <w:pPr>
              <w:pStyle w:val="11"/>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表7-</w:t>
            </w:r>
            <w:r>
              <w:rPr>
                <w:rFonts w:hint="eastAsia" w:ascii="Times New Roman" w:hAnsi="Times New Roman" w:cs="Times New Roman"/>
                <w:b/>
                <w:color w:val="auto"/>
                <w:sz w:val="24"/>
                <w:highlight w:val="none"/>
                <w:lang w:val="en-US" w:eastAsia="zh-CN"/>
              </w:rPr>
              <w:t>4</w:t>
            </w:r>
            <w:r>
              <w:rPr>
                <w:rFonts w:hint="default" w:ascii="Times New Roman" w:hAnsi="Times New Roman" w:eastAsia="宋体" w:cs="Times New Roman"/>
                <w:b/>
                <w:color w:val="auto"/>
                <w:sz w:val="24"/>
                <w:highlight w:val="none"/>
              </w:rPr>
              <w:t xml:space="preserve">                  </w:t>
            </w:r>
            <w:r>
              <w:rPr>
                <w:rFonts w:hint="eastAsia" w:ascii="Times New Roman" w:hAnsi="Times New Roman" w:cs="Times New Roman"/>
                <w:b/>
                <w:color w:val="auto"/>
                <w:sz w:val="24"/>
                <w:highlight w:val="none"/>
                <w:lang w:val="en-US" w:eastAsia="zh-CN"/>
              </w:rPr>
              <w:t xml:space="preserve">  </w:t>
            </w:r>
            <w:r>
              <w:rPr>
                <w:rFonts w:hint="default" w:ascii="Times New Roman" w:hAnsi="Times New Roman" w:cs="Times New Roman"/>
                <w:b/>
                <w:color w:val="auto"/>
                <w:sz w:val="24"/>
                <w:highlight w:val="none"/>
                <w:lang w:eastAsia="zh-CN"/>
              </w:rPr>
              <w:t>有组织</w:t>
            </w:r>
            <w:r>
              <w:rPr>
                <w:rFonts w:hint="default" w:ascii="Times New Roman" w:hAnsi="Times New Roman" w:eastAsia="宋体" w:cs="Times New Roman"/>
                <w:b/>
                <w:color w:val="auto"/>
                <w:sz w:val="24"/>
                <w:highlight w:val="none"/>
              </w:rPr>
              <w:t>监测结果</w:t>
            </w:r>
          </w:p>
          <w:tbl>
            <w:tblPr>
              <w:tblStyle w:val="15"/>
              <w:tblW w:w="925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328"/>
              <w:gridCol w:w="2757"/>
              <w:gridCol w:w="1371"/>
              <w:gridCol w:w="1702"/>
              <w:gridCol w:w="2096"/>
            </w:tblGrid>
            <w:tr w14:paraId="6B9D71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18" w:hRule="exact"/>
                <w:jc w:val="center"/>
              </w:trPr>
              <w:tc>
                <w:tcPr>
                  <w:tcW w:w="1328" w:type="dxa"/>
                  <w:tcBorders>
                    <w:top w:val="single" w:color="auto" w:sz="4" w:space="0"/>
                    <w:left w:val="single" w:color="auto" w:sz="4" w:space="0"/>
                    <w:bottom w:val="single" w:color="auto" w:sz="4" w:space="0"/>
                    <w:right w:val="single" w:color="auto" w:sz="4" w:space="0"/>
                  </w:tcBorders>
                  <w:noWrap w:val="0"/>
                  <w:vAlign w:val="center"/>
                </w:tcPr>
                <w:p w14:paraId="29983ADA">
                  <w:pPr>
                    <w:jc w:val="both"/>
                    <w:rPr>
                      <w:rFonts w:hint="default" w:eastAsiaTheme="minorEastAsia"/>
                      <w:szCs w:val="21"/>
                      <w:lang w:val="en-US" w:eastAsia="zh-CN"/>
                    </w:rPr>
                  </w:pPr>
                  <w:r>
                    <w:rPr>
                      <w:rFonts w:hint="eastAsia"/>
                      <w:szCs w:val="21"/>
                      <w:lang w:val="en-US" w:eastAsia="zh-CN"/>
                    </w:rPr>
                    <w:t>监测点位</w:t>
                  </w:r>
                </w:p>
              </w:tc>
              <w:tc>
                <w:tcPr>
                  <w:tcW w:w="2757" w:type="dxa"/>
                  <w:tcBorders>
                    <w:top w:val="single" w:color="auto" w:sz="4" w:space="0"/>
                    <w:left w:val="single" w:color="auto" w:sz="4" w:space="0"/>
                    <w:bottom w:val="single" w:color="auto" w:sz="4" w:space="0"/>
                    <w:right w:val="single" w:color="auto" w:sz="4" w:space="0"/>
                  </w:tcBorders>
                  <w:noWrap w:val="0"/>
                  <w:vAlign w:val="center"/>
                </w:tcPr>
                <w:p w14:paraId="10D4B593">
                  <w:pPr>
                    <w:jc w:val="center"/>
                    <w:rPr>
                      <w:rFonts w:hint="default" w:eastAsiaTheme="minorEastAsia"/>
                      <w:szCs w:val="21"/>
                      <w:lang w:val="en-US" w:eastAsia="zh-CN"/>
                    </w:rPr>
                  </w:pPr>
                  <w:r>
                    <w:rPr>
                      <w:sz w:val="21"/>
                      <w:szCs w:val="21"/>
                    </w:rPr>
                    <w:t>待宰车间、屠宰车间、固废储存区</w:t>
                  </w:r>
                  <w:r>
                    <w:rPr>
                      <w:rFonts w:hint="eastAsia"/>
                      <w:sz w:val="21"/>
                      <w:szCs w:val="21"/>
                      <w:lang w:eastAsia="zh-CN"/>
                    </w:rPr>
                    <w:t>（</w:t>
                  </w:r>
                  <w:r>
                    <w:rPr>
                      <w:rFonts w:hint="eastAsia"/>
                      <w:sz w:val="21"/>
                      <w:szCs w:val="21"/>
                      <w:lang w:val="en-US" w:eastAsia="zh-CN"/>
                    </w:rPr>
                    <w:t>DA001）</w:t>
                  </w:r>
                  <w:r>
                    <w:rPr>
                      <w:rFonts w:hint="eastAsia"/>
                      <w:sz w:val="21"/>
                      <w:szCs w:val="21"/>
                      <w:lang w:eastAsia="zh-CN"/>
                    </w:rPr>
                    <w:t>、</w:t>
                  </w:r>
                  <w:r>
                    <w:rPr>
                      <w:rFonts w:hint="eastAsia"/>
                      <w:sz w:val="21"/>
                      <w:szCs w:val="21"/>
                      <w:lang w:val="en-US" w:eastAsia="zh-CN"/>
                    </w:rPr>
                    <w:t>污水处理站（DA002）</w:t>
                  </w:r>
                </w:p>
              </w:tc>
              <w:tc>
                <w:tcPr>
                  <w:tcW w:w="1371" w:type="dxa"/>
                  <w:tcBorders>
                    <w:top w:val="single" w:color="auto" w:sz="4" w:space="0"/>
                    <w:left w:val="single" w:color="auto" w:sz="4" w:space="0"/>
                    <w:bottom w:val="single" w:color="auto" w:sz="4" w:space="0"/>
                    <w:right w:val="single" w:color="auto" w:sz="4" w:space="0"/>
                  </w:tcBorders>
                  <w:noWrap w:val="0"/>
                  <w:vAlign w:val="center"/>
                </w:tcPr>
                <w:p w14:paraId="70B1A215">
                  <w:pPr>
                    <w:jc w:val="center"/>
                    <w:rPr>
                      <w:rFonts w:hint="default"/>
                      <w:bCs/>
                      <w:szCs w:val="21"/>
                      <w:lang w:val="en-US" w:eastAsia="zh-CN"/>
                    </w:rPr>
                  </w:pPr>
                  <w:r>
                    <w:rPr>
                      <w:rFonts w:hint="eastAsia"/>
                      <w:bCs/>
                      <w:szCs w:val="21"/>
                      <w:lang w:val="en-US" w:eastAsia="zh-CN"/>
                    </w:rPr>
                    <w:t>监测日期</w:t>
                  </w:r>
                </w:p>
              </w:tc>
              <w:tc>
                <w:tcPr>
                  <w:tcW w:w="3798" w:type="dxa"/>
                  <w:gridSpan w:val="2"/>
                  <w:tcBorders>
                    <w:top w:val="single" w:color="auto" w:sz="4" w:space="0"/>
                    <w:left w:val="single" w:color="auto" w:sz="4" w:space="0"/>
                    <w:bottom w:val="single" w:color="auto" w:sz="4" w:space="0"/>
                    <w:right w:val="single" w:color="auto" w:sz="4" w:space="0"/>
                  </w:tcBorders>
                  <w:noWrap w:val="0"/>
                  <w:vAlign w:val="center"/>
                </w:tcPr>
                <w:p w14:paraId="33432314">
                  <w:pPr>
                    <w:jc w:val="center"/>
                    <w:rPr>
                      <w:rFonts w:hint="default"/>
                      <w:bCs/>
                      <w:szCs w:val="21"/>
                      <w:lang w:val="en-US" w:eastAsia="zh-CN"/>
                    </w:rPr>
                  </w:pPr>
                  <w:r>
                    <w:rPr>
                      <w:rFonts w:hint="eastAsia"/>
                      <w:bCs/>
                      <w:szCs w:val="21"/>
                      <w:lang w:val="en-US" w:eastAsia="zh-CN"/>
                    </w:rPr>
                    <w:t>2025年6月27日</w:t>
                  </w:r>
                </w:p>
              </w:tc>
            </w:tr>
            <w:tr w14:paraId="1C73421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6" w:hRule="exact"/>
                <w:jc w:val="center"/>
              </w:trPr>
              <w:tc>
                <w:tcPr>
                  <w:tcW w:w="1328" w:type="dxa"/>
                  <w:tcBorders>
                    <w:top w:val="single" w:color="auto" w:sz="4" w:space="0"/>
                    <w:left w:val="single" w:color="auto" w:sz="4" w:space="0"/>
                    <w:bottom w:val="single" w:color="auto" w:sz="4" w:space="0"/>
                    <w:right w:val="single" w:color="auto" w:sz="4" w:space="0"/>
                  </w:tcBorders>
                  <w:noWrap w:val="0"/>
                  <w:vAlign w:val="center"/>
                </w:tcPr>
                <w:p w14:paraId="6DC9C889">
                  <w:pPr>
                    <w:jc w:val="center"/>
                    <w:rPr>
                      <w:szCs w:val="21"/>
                    </w:rPr>
                  </w:pPr>
                  <w:r>
                    <w:rPr>
                      <w:szCs w:val="21"/>
                    </w:rPr>
                    <w:t>采样地点</w:t>
                  </w:r>
                </w:p>
              </w:tc>
              <w:tc>
                <w:tcPr>
                  <w:tcW w:w="2757" w:type="dxa"/>
                  <w:tcBorders>
                    <w:top w:val="single" w:color="auto" w:sz="4" w:space="0"/>
                    <w:left w:val="single" w:color="auto" w:sz="4" w:space="0"/>
                    <w:bottom w:val="single" w:color="auto" w:sz="4" w:space="0"/>
                    <w:right w:val="single" w:color="auto" w:sz="4" w:space="0"/>
                  </w:tcBorders>
                  <w:noWrap w:val="0"/>
                  <w:vAlign w:val="center"/>
                </w:tcPr>
                <w:p w14:paraId="091036DB">
                  <w:pPr>
                    <w:jc w:val="center"/>
                    <w:rPr>
                      <w:szCs w:val="21"/>
                    </w:rPr>
                  </w:pPr>
                  <w:r>
                    <w:rPr>
                      <w:szCs w:val="21"/>
                    </w:rPr>
                    <w:t>采样编号</w:t>
                  </w:r>
                </w:p>
              </w:tc>
              <w:tc>
                <w:tcPr>
                  <w:tcW w:w="1371" w:type="dxa"/>
                  <w:tcBorders>
                    <w:top w:val="single" w:color="auto" w:sz="4" w:space="0"/>
                    <w:left w:val="single" w:color="auto" w:sz="4" w:space="0"/>
                    <w:bottom w:val="single" w:color="auto" w:sz="4" w:space="0"/>
                    <w:right w:val="single" w:color="auto" w:sz="4" w:space="0"/>
                  </w:tcBorders>
                  <w:noWrap w:val="0"/>
                  <w:vAlign w:val="center"/>
                </w:tcPr>
                <w:p w14:paraId="732B0A16">
                  <w:pPr>
                    <w:jc w:val="center"/>
                    <w:rPr>
                      <w:rFonts w:hint="eastAsia" w:eastAsia="宋体"/>
                      <w:bCs/>
                      <w:szCs w:val="21"/>
                      <w:lang w:eastAsia="zh-CN"/>
                    </w:rPr>
                  </w:pPr>
                  <w:r>
                    <w:rPr>
                      <w:rFonts w:hint="eastAsia"/>
                      <w:bCs/>
                      <w:szCs w:val="21"/>
                      <w:lang w:eastAsia="zh-CN"/>
                    </w:rPr>
                    <w:t>氨</w:t>
                  </w:r>
                  <w:r>
                    <w:rPr>
                      <w:szCs w:val="21"/>
                    </w:rPr>
                    <w:t>（</w:t>
                  </w:r>
                  <w:r>
                    <w:rPr>
                      <w:rFonts w:hint="eastAsia"/>
                      <w:szCs w:val="21"/>
                      <w:lang w:val="en-US" w:eastAsia="zh-CN"/>
                    </w:rPr>
                    <w:t>kg</w:t>
                  </w:r>
                  <w:r>
                    <w:rPr>
                      <w:szCs w:val="21"/>
                    </w:rPr>
                    <w:t>/</w:t>
                  </w:r>
                  <w:r>
                    <w:rPr>
                      <w:rFonts w:hint="eastAsia"/>
                      <w:szCs w:val="21"/>
                      <w:lang w:val="en-US" w:eastAsia="zh-CN"/>
                    </w:rPr>
                    <w:t>h</w:t>
                  </w:r>
                  <w:r>
                    <w:rPr>
                      <w:szCs w:val="21"/>
                    </w:rPr>
                    <w:t>）</w:t>
                  </w:r>
                </w:p>
              </w:tc>
              <w:tc>
                <w:tcPr>
                  <w:tcW w:w="1702" w:type="dxa"/>
                  <w:tcBorders>
                    <w:top w:val="single" w:color="auto" w:sz="4" w:space="0"/>
                    <w:left w:val="single" w:color="auto" w:sz="4" w:space="0"/>
                    <w:bottom w:val="single" w:color="auto" w:sz="4" w:space="0"/>
                    <w:right w:val="single" w:color="auto" w:sz="4" w:space="0"/>
                  </w:tcBorders>
                  <w:noWrap w:val="0"/>
                  <w:vAlign w:val="center"/>
                </w:tcPr>
                <w:p w14:paraId="3F03F6D7">
                  <w:pPr>
                    <w:jc w:val="center"/>
                    <w:rPr>
                      <w:rFonts w:hint="eastAsia" w:eastAsia="宋体"/>
                      <w:bCs/>
                      <w:szCs w:val="21"/>
                      <w:lang w:eastAsia="zh-CN"/>
                    </w:rPr>
                  </w:pPr>
                  <w:r>
                    <w:rPr>
                      <w:rFonts w:hint="eastAsia"/>
                      <w:bCs/>
                      <w:szCs w:val="21"/>
                      <w:lang w:eastAsia="zh-CN"/>
                    </w:rPr>
                    <w:t>硫化氢</w:t>
                  </w:r>
                  <w:r>
                    <w:rPr>
                      <w:szCs w:val="21"/>
                    </w:rPr>
                    <w:t>（</w:t>
                  </w:r>
                  <w:r>
                    <w:rPr>
                      <w:rFonts w:hint="eastAsia"/>
                      <w:szCs w:val="21"/>
                      <w:lang w:val="en-US" w:eastAsia="zh-CN"/>
                    </w:rPr>
                    <w:t>kg</w:t>
                  </w:r>
                  <w:r>
                    <w:rPr>
                      <w:szCs w:val="21"/>
                    </w:rPr>
                    <w:t>/</w:t>
                  </w:r>
                  <w:r>
                    <w:rPr>
                      <w:rFonts w:hint="eastAsia"/>
                      <w:szCs w:val="21"/>
                      <w:lang w:val="en-US" w:eastAsia="zh-CN"/>
                    </w:rPr>
                    <w:t>h</w:t>
                  </w:r>
                  <w:r>
                    <w:rPr>
                      <w:szCs w:val="21"/>
                    </w:rPr>
                    <w:t>）</w:t>
                  </w:r>
                </w:p>
              </w:tc>
              <w:tc>
                <w:tcPr>
                  <w:tcW w:w="2096" w:type="dxa"/>
                  <w:tcBorders>
                    <w:top w:val="single" w:color="auto" w:sz="4" w:space="0"/>
                    <w:left w:val="single" w:color="auto" w:sz="4" w:space="0"/>
                    <w:bottom w:val="single" w:color="auto" w:sz="4" w:space="0"/>
                    <w:right w:val="single" w:color="auto" w:sz="4" w:space="0"/>
                  </w:tcBorders>
                  <w:noWrap w:val="0"/>
                  <w:vAlign w:val="center"/>
                </w:tcPr>
                <w:p w14:paraId="174608F5">
                  <w:pPr>
                    <w:jc w:val="center"/>
                    <w:rPr>
                      <w:rFonts w:hint="default"/>
                      <w:bCs/>
                      <w:szCs w:val="21"/>
                      <w:lang w:val="en-US" w:eastAsia="zh-CN"/>
                    </w:rPr>
                  </w:pPr>
                  <w:r>
                    <w:rPr>
                      <w:rFonts w:hint="eastAsia"/>
                      <w:bCs/>
                      <w:szCs w:val="21"/>
                      <w:lang w:eastAsia="zh-CN"/>
                    </w:rPr>
                    <w:t>臭气浓度（无量纲）</w:t>
                  </w:r>
                </w:p>
              </w:tc>
            </w:tr>
            <w:tr w14:paraId="04F28E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328" w:type="dxa"/>
                  <w:vMerge w:val="restart"/>
                  <w:tcBorders>
                    <w:top w:val="single" w:color="auto" w:sz="4" w:space="0"/>
                    <w:left w:val="single" w:color="auto" w:sz="4" w:space="0"/>
                    <w:bottom w:val="single" w:color="auto" w:sz="4" w:space="0"/>
                    <w:right w:val="single" w:color="auto" w:sz="4" w:space="0"/>
                  </w:tcBorders>
                  <w:noWrap w:val="0"/>
                  <w:vAlign w:val="center"/>
                </w:tcPr>
                <w:p w14:paraId="0184ABFD">
                  <w:pPr>
                    <w:jc w:val="center"/>
                    <w:rPr>
                      <w:rFonts w:hint="default"/>
                      <w:lang w:val="en-US" w:eastAsia="zh-CN"/>
                    </w:rPr>
                  </w:pPr>
                  <w:r>
                    <w:rPr>
                      <w:rFonts w:hint="eastAsia"/>
                      <w:szCs w:val="21"/>
                      <w:lang w:val="en-US" w:eastAsia="zh-CN"/>
                    </w:rPr>
                    <w:t>废气排放口DA001</w:t>
                  </w:r>
                </w:p>
              </w:tc>
              <w:tc>
                <w:tcPr>
                  <w:tcW w:w="2757" w:type="dxa"/>
                  <w:tcBorders>
                    <w:top w:val="single" w:color="auto" w:sz="4" w:space="0"/>
                    <w:left w:val="single" w:color="auto" w:sz="4" w:space="0"/>
                    <w:bottom w:val="single" w:color="auto" w:sz="4" w:space="0"/>
                    <w:right w:val="single" w:color="auto" w:sz="4" w:space="0"/>
                  </w:tcBorders>
                  <w:noWrap w:val="0"/>
                  <w:vAlign w:val="center"/>
                </w:tcPr>
                <w:p w14:paraId="4198F50F">
                  <w:pPr>
                    <w:jc w:val="center"/>
                    <w:rPr>
                      <w:rFonts w:hint="default" w:eastAsia="宋体"/>
                      <w:szCs w:val="21"/>
                      <w:lang w:val="en-US" w:eastAsia="zh-CN"/>
                    </w:rPr>
                  </w:pPr>
                  <w:r>
                    <w:rPr>
                      <w:rFonts w:hint="eastAsia"/>
                      <w:szCs w:val="21"/>
                      <w:lang w:val="en-US" w:eastAsia="zh-CN"/>
                    </w:rPr>
                    <w:t>1-1-1</w:t>
                  </w:r>
                </w:p>
              </w:tc>
              <w:tc>
                <w:tcPr>
                  <w:tcW w:w="1371" w:type="dxa"/>
                  <w:tcBorders>
                    <w:top w:val="single" w:color="auto" w:sz="4" w:space="0"/>
                    <w:left w:val="single" w:color="auto" w:sz="4" w:space="0"/>
                    <w:bottom w:val="single" w:color="auto" w:sz="4" w:space="0"/>
                    <w:right w:val="single" w:color="auto" w:sz="4" w:space="0"/>
                  </w:tcBorders>
                  <w:noWrap w:val="0"/>
                  <w:vAlign w:val="center"/>
                </w:tcPr>
                <w:p w14:paraId="31104FD3">
                  <w:pPr>
                    <w:jc w:val="center"/>
                    <w:rPr>
                      <w:rFonts w:hint="default" w:ascii="Times New Roman" w:hAnsi="Times New Roman" w:eastAsia="宋体" w:cs="Times New Roman"/>
                      <w:szCs w:val="21"/>
                      <w:lang w:val="en-US" w:eastAsia="zh-CN"/>
                    </w:rPr>
                  </w:pPr>
                  <w:r>
                    <w:rPr>
                      <w:rFonts w:hint="eastAsia" w:cs="Times New Roman"/>
                      <w:szCs w:val="21"/>
                      <w:lang w:val="en-US" w:eastAsia="zh-CN"/>
                    </w:rPr>
                    <w:t>0.91</w:t>
                  </w:r>
                  <w:r>
                    <w:rPr>
                      <w:rFonts w:hint="default" w:ascii="Times New Roman" w:hAnsi="Times New Roman" w:eastAsia="宋体" w:cs="Times New Roman"/>
                      <w:szCs w:val="21"/>
                      <w:lang w:val="en-US" w:eastAsia="zh-CN"/>
                    </w:rPr>
                    <w:t>×</w:t>
                  </w:r>
                  <w:r>
                    <w:rPr>
                      <w:rFonts w:hint="eastAsia" w:ascii="Times New Roman" w:hAnsi="Times New Roman" w:eastAsia="宋体" w:cs="Times New Roman"/>
                      <w:szCs w:val="21"/>
                      <w:lang w:val="en-US" w:eastAsia="zh-CN"/>
                    </w:rPr>
                    <w:t>10</w:t>
                  </w:r>
                  <w:r>
                    <w:rPr>
                      <w:rFonts w:hint="eastAsia" w:ascii="Times New Roman" w:hAnsi="Times New Roman" w:eastAsia="宋体" w:cs="Times New Roman"/>
                      <w:szCs w:val="21"/>
                      <w:vertAlign w:val="superscript"/>
                      <w:lang w:val="en-US" w:eastAsia="zh-CN"/>
                    </w:rPr>
                    <w:t>-3</w:t>
                  </w:r>
                </w:p>
              </w:tc>
              <w:tc>
                <w:tcPr>
                  <w:tcW w:w="1702" w:type="dxa"/>
                  <w:tcBorders>
                    <w:top w:val="single" w:color="auto" w:sz="4" w:space="0"/>
                    <w:left w:val="single" w:color="auto" w:sz="4" w:space="0"/>
                    <w:bottom w:val="single" w:color="auto" w:sz="4" w:space="0"/>
                    <w:right w:val="single" w:color="auto" w:sz="4" w:space="0"/>
                  </w:tcBorders>
                  <w:noWrap w:val="0"/>
                  <w:vAlign w:val="center"/>
                </w:tcPr>
                <w:p w14:paraId="52E54CB9">
                  <w:pPr>
                    <w:jc w:val="center"/>
                    <w:rPr>
                      <w:rFonts w:hint="default" w:ascii="Times New Roman" w:hAnsi="Times New Roman" w:eastAsia="宋体" w:cs="Times New Roman"/>
                      <w:szCs w:val="21"/>
                      <w:lang w:val="en-US" w:eastAsia="zh-CN"/>
                    </w:rPr>
                  </w:pPr>
                  <w:r>
                    <w:rPr>
                      <w:rFonts w:hint="eastAsia" w:cs="Times New Roman"/>
                      <w:szCs w:val="21"/>
                      <w:lang w:val="en-US" w:eastAsia="zh-CN"/>
                    </w:rPr>
                    <w:t>0.00523</w:t>
                  </w:r>
                </w:p>
              </w:tc>
              <w:tc>
                <w:tcPr>
                  <w:tcW w:w="2096" w:type="dxa"/>
                  <w:tcBorders>
                    <w:top w:val="single" w:color="auto" w:sz="4" w:space="0"/>
                    <w:left w:val="single" w:color="auto" w:sz="4" w:space="0"/>
                    <w:bottom w:val="single" w:color="auto" w:sz="4" w:space="0"/>
                    <w:right w:val="single" w:color="auto" w:sz="4" w:space="0"/>
                  </w:tcBorders>
                  <w:noWrap w:val="0"/>
                  <w:vAlign w:val="center"/>
                </w:tcPr>
                <w:p w14:paraId="57158C61">
                  <w:pPr>
                    <w:jc w:val="center"/>
                    <w:rPr>
                      <w:rFonts w:hint="default" w:ascii="Times New Roman" w:hAnsi="Times New Roman" w:eastAsia="宋体" w:cs="Times New Roman"/>
                      <w:szCs w:val="21"/>
                      <w:lang w:val="en-US" w:eastAsia="zh-CN"/>
                    </w:rPr>
                  </w:pPr>
                  <w:r>
                    <w:rPr>
                      <w:rFonts w:hint="eastAsia" w:cs="Times New Roman"/>
                      <w:szCs w:val="21"/>
                      <w:lang w:val="en-US" w:eastAsia="zh-CN"/>
                    </w:rPr>
                    <w:t>550</w:t>
                  </w:r>
                </w:p>
              </w:tc>
            </w:tr>
            <w:tr w14:paraId="1BA05D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328" w:type="dxa"/>
                  <w:vMerge w:val="continue"/>
                  <w:tcBorders>
                    <w:top w:val="single" w:color="auto" w:sz="4" w:space="0"/>
                    <w:left w:val="single" w:color="auto" w:sz="4" w:space="0"/>
                    <w:bottom w:val="single" w:color="auto" w:sz="4" w:space="0"/>
                    <w:right w:val="single" w:color="auto" w:sz="4" w:space="0"/>
                  </w:tcBorders>
                  <w:noWrap w:val="0"/>
                  <w:vAlign w:val="center"/>
                </w:tcPr>
                <w:p w14:paraId="5C659F0B">
                  <w:pPr>
                    <w:jc w:val="center"/>
                    <w:rPr>
                      <w:rFonts w:hint="default"/>
                      <w:szCs w:val="21"/>
                      <w:lang w:val="en-US" w:eastAsia="zh-CN"/>
                    </w:rPr>
                  </w:pPr>
                </w:p>
              </w:tc>
              <w:tc>
                <w:tcPr>
                  <w:tcW w:w="2757" w:type="dxa"/>
                  <w:tcBorders>
                    <w:top w:val="single" w:color="auto" w:sz="4" w:space="0"/>
                    <w:left w:val="single" w:color="auto" w:sz="4" w:space="0"/>
                    <w:bottom w:val="single" w:color="auto" w:sz="4" w:space="0"/>
                    <w:right w:val="single" w:color="auto" w:sz="4" w:space="0"/>
                  </w:tcBorders>
                  <w:noWrap w:val="0"/>
                  <w:vAlign w:val="center"/>
                </w:tcPr>
                <w:p w14:paraId="39F8A87D">
                  <w:pPr>
                    <w:jc w:val="center"/>
                    <w:rPr>
                      <w:rFonts w:hint="default"/>
                      <w:szCs w:val="21"/>
                      <w:lang w:val="en-US" w:eastAsia="zh-CN"/>
                    </w:rPr>
                  </w:pPr>
                  <w:r>
                    <w:rPr>
                      <w:rFonts w:hint="eastAsia"/>
                      <w:szCs w:val="21"/>
                      <w:lang w:val="en-US" w:eastAsia="zh-CN"/>
                    </w:rPr>
                    <w:t>1-1-2</w:t>
                  </w:r>
                </w:p>
              </w:tc>
              <w:tc>
                <w:tcPr>
                  <w:tcW w:w="1371" w:type="dxa"/>
                  <w:tcBorders>
                    <w:top w:val="single" w:color="auto" w:sz="4" w:space="0"/>
                    <w:left w:val="single" w:color="auto" w:sz="4" w:space="0"/>
                    <w:bottom w:val="single" w:color="auto" w:sz="4" w:space="0"/>
                    <w:right w:val="single" w:color="auto" w:sz="4" w:space="0"/>
                  </w:tcBorders>
                  <w:noWrap w:val="0"/>
                  <w:vAlign w:val="center"/>
                </w:tcPr>
                <w:p w14:paraId="0285B77F">
                  <w:pPr>
                    <w:jc w:val="center"/>
                    <w:rPr>
                      <w:rFonts w:hint="default" w:ascii="Times New Roman" w:hAnsi="Times New Roman" w:eastAsia="宋体" w:cs="Times New Roman"/>
                      <w:szCs w:val="21"/>
                      <w:lang w:val="en-US" w:eastAsia="zh-CN"/>
                    </w:rPr>
                  </w:pPr>
                  <w:r>
                    <w:rPr>
                      <w:rFonts w:hint="eastAsia" w:cs="Times New Roman"/>
                      <w:szCs w:val="21"/>
                      <w:lang w:val="en-US" w:eastAsia="zh-CN"/>
                    </w:rPr>
                    <w:t>0.76</w:t>
                  </w:r>
                  <w:r>
                    <w:rPr>
                      <w:rFonts w:hint="default" w:ascii="Times New Roman" w:hAnsi="Times New Roman" w:eastAsia="宋体" w:cs="Times New Roman"/>
                      <w:szCs w:val="21"/>
                      <w:lang w:val="en-US" w:eastAsia="zh-CN"/>
                    </w:rPr>
                    <w:t>×</w:t>
                  </w:r>
                  <w:r>
                    <w:rPr>
                      <w:rFonts w:hint="eastAsia" w:ascii="Times New Roman" w:hAnsi="Times New Roman" w:eastAsia="宋体" w:cs="Times New Roman"/>
                      <w:szCs w:val="21"/>
                      <w:lang w:val="en-US" w:eastAsia="zh-CN"/>
                    </w:rPr>
                    <w:t>10</w:t>
                  </w:r>
                  <w:r>
                    <w:rPr>
                      <w:rFonts w:hint="eastAsia" w:ascii="Times New Roman" w:hAnsi="Times New Roman" w:eastAsia="宋体" w:cs="Times New Roman"/>
                      <w:szCs w:val="21"/>
                      <w:vertAlign w:val="superscript"/>
                      <w:lang w:val="en-US" w:eastAsia="zh-CN"/>
                    </w:rPr>
                    <w:t>-3</w:t>
                  </w:r>
                </w:p>
              </w:tc>
              <w:tc>
                <w:tcPr>
                  <w:tcW w:w="1702" w:type="dxa"/>
                  <w:tcBorders>
                    <w:top w:val="single" w:color="auto" w:sz="4" w:space="0"/>
                    <w:left w:val="single" w:color="auto" w:sz="4" w:space="0"/>
                    <w:bottom w:val="single" w:color="auto" w:sz="4" w:space="0"/>
                    <w:right w:val="single" w:color="auto" w:sz="4" w:space="0"/>
                  </w:tcBorders>
                  <w:noWrap w:val="0"/>
                  <w:vAlign w:val="center"/>
                </w:tcPr>
                <w:p w14:paraId="19CAD414">
                  <w:pPr>
                    <w:jc w:val="center"/>
                    <w:rPr>
                      <w:rFonts w:hint="default" w:ascii="Times New Roman" w:hAnsi="Times New Roman" w:eastAsia="宋体" w:cs="Times New Roman"/>
                      <w:szCs w:val="21"/>
                      <w:lang w:val="en-US" w:eastAsia="zh-CN"/>
                    </w:rPr>
                  </w:pPr>
                  <w:r>
                    <w:rPr>
                      <w:rFonts w:hint="eastAsia" w:cs="Times New Roman"/>
                      <w:szCs w:val="21"/>
                      <w:lang w:val="en-US" w:eastAsia="zh-CN"/>
                    </w:rPr>
                    <w:t>0.00712</w:t>
                  </w:r>
                </w:p>
              </w:tc>
              <w:tc>
                <w:tcPr>
                  <w:tcW w:w="2096" w:type="dxa"/>
                  <w:tcBorders>
                    <w:top w:val="single" w:color="auto" w:sz="4" w:space="0"/>
                    <w:left w:val="single" w:color="auto" w:sz="4" w:space="0"/>
                    <w:bottom w:val="single" w:color="auto" w:sz="4" w:space="0"/>
                    <w:right w:val="single" w:color="auto" w:sz="4" w:space="0"/>
                  </w:tcBorders>
                  <w:noWrap w:val="0"/>
                  <w:vAlign w:val="center"/>
                </w:tcPr>
                <w:p w14:paraId="4EC6CEC9">
                  <w:pPr>
                    <w:jc w:val="center"/>
                    <w:rPr>
                      <w:rFonts w:hint="default" w:ascii="Times New Roman" w:hAnsi="Times New Roman" w:eastAsia="宋体" w:cs="Times New Roman"/>
                      <w:szCs w:val="21"/>
                      <w:lang w:val="en-US" w:eastAsia="zh-CN"/>
                    </w:rPr>
                  </w:pPr>
                  <w:r>
                    <w:rPr>
                      <w:rFonts w:hint="eastAsia" w:cs="Times New Roman"/>
                      <w:szCs w:val="21"/>
                      <w:lang w:val="en-US" w:eastAsia="zh-CN"/>
                    </w:rPr>
                    <w:t>741</w:t>
                  </w:r>
                </w:p>
              </w:tc>
            </w:tr>
            <w:tr w14:paraId="0A35C6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328" w:type="dxa"/>
                  <w:vMerge w:val="continue"/>
                  <w:tcBorders>
                    <w:top w:val="single" w:color="auto" w:sz="4" w:space="0"/>
                    <w:left w:val="single" w:color="auto" w:sz="4" w:space="0"/>
                    <w:bottom w:val="single" w:color="auto" w:sz="4" w:space="0"/>
                    <w:right w:val="single" w:color="auto" w:sz="4" w:space="0"/>
                  </w:tcBorders>
                  <w:noWrap w:val="0"/>
                  <w:vAlign w:val="center"/>
                </w:tcPr>
                <w:p w14:paraId="660116CB">
                  <w:pPr>
                    <w:jc w:val="center"/>
                    <w:rPr>
                      <w:rFonts w:hint="eastAsia"/>
                      <w:szCs w:val="21"/>
                      <w:lang w:val="en-US" w:eastAsia="zh-CN"/>
                    </w:rPr>
                  </w:pPr>
                  <w:bookmarkStart w:id="16" w:name="OLE_LINK8" w:colFirst="1" w:colLast="1"/>
                </w:p>
              </w:tc>
              <w:tc>
                <w:tcPr>
                  <w:tcW w:w="2757" w:type="dxa"/>
                  <w:tcBorders>
                    <w:top w:val="single" w:color="auto" w:sz="4" w:space="0"/>
                    <w:left w:val="single" w:color="auto" w:sz="4" w:space="0"/>
                    <w:bottom w:val="single" w:color="auto" w:sz="4" w:space="0"/>
                    <w:right w:val="single" w:color="auto" w:sz="4" w:space="0"/>
                  </w:tcBorders>
                  <w:noWrap w:val="0"/>
                  <w:vAlign w:val="center"/>
                </w:tcPr>
                <w:p w14:paraId="69638396">
                  <w:pPr>
                    <w:jc w:val="center"/>
                    <w:rPr>
                      <w:rFonts w:hint="eastAsia"/>
                      <w:szCs w:val="21"/>
                      <w:lang w:val="en-US" w:eastAsia="zh-CN"/>
                    </w:rPr>
                  </w:pPr>
                  <w:r>
                    <w:rPr>
                      <w:rFonts w:hint="eastAsia"/>
                      <w:szCs w:val="21"/>
                      <w:lang w:val="en-US" w:eastAsia="zh-CN"/>
                    </w:rPr>
                    <w:t>1-1-3</w:t>
                  </w:r>
                </w:p>
              </w:tc>
              <w:tc>
                <w:tcPr>
                  <w:tcW w:w="1371" w:type="dxa"/>
                  <w:tcBorders>
                    <w:top w:val="single" w:color="auto" w:sz="4" w:space="0"/>
                    <w:left w:val="single" w:color="auto" w:sz="4" w:space="0"/>
                    <w:bottom w:val="single" w:color="auto" w:sz="4" w:space="0"/>
                    <w:right w:val="single" w:color="auto" w:sz="4" w:space="0"/>
                  </w:tcBorders>
                  <w:noWrap w:val="0"/>
                  <w:vAlign w:val="center"/>
                </w:tcPr>
                <w:p w14:paraId="3407E97F">
                  <w:pPr>
                    <w:jc w:val="center"/>
                    <w:rPr>
                      <w:rFonts w:hint="eastAsia" w:ascii="Times New Roman" w:hAnsi="Times New Roman" w:eastAsia="宋体" w:cs="Times New Roman"/>
                      <w:szCs w:val="21"/>
                      <w:lang w:val="en-US" w:eastAsia="zh-CN"/>
                    </w:rPr>
                  </w:pPr>
                  <w:r>
                    <w:rPr>
                      <w:rFonts w:hint="eastAsia" w:cs="Times New Roman"/>
                      <w:szCs w:val="21"/>
                      <w:lang w:val="en-US" w:eastAsia="zh-CN"/>
                    </w:rPr>
                    <w:t>1.22</w:t>
                  </w:r>
                  <w:r>
                    <w:rPr>
                      <w:rFonts w:hint="default" w:ascii="Times New Roman" w:hAnsi="Times New Roman" w:eastAsia="宋体" w:cs="Times New Roman"/>
                      <w:szCs w:val="21"/>
                      <w:lang w:val="en-US" w:eastAsia="zh-CN"/>
                    </w:rPr>
                    <w:t>×</w:t>
                  </w:r>
                  <w:r>
                    <w:rPr>
                      <w:rFonts w:hint="eastAsia" w:ascii="Times New Roman" w:hAnsi="Times New Roman" w:eastAsia="宋体" w:cs="Times New Roman"/>
                      <w:szCs w:val="21"/>
                      <w:lang w:val="en-US" w:eastAsia="zh-CN"/>
                    </w:rPr>
                    <w:t>10</w:t>
                  </w:r>
                  <w:r>
                    <w:rPr>
                      <w:rFonts w:hint="eastAsia" w:ascii="Times New Roman" w:hAnsi="Times New Roman" w:eastAsia="宋体" w:cs="Times New Roman"/>
                      <w:szCs w:val="21"/>
                      <w:vertAlign w:val="superscript"/>
                      <w:lang w:val="en-US" w:eastAsia="zh-CN"/>
                    </w:rPr>
                    <w:t>-3</w:t>
                  </w:r>
                </w:p>
              </w:tc>
              <w:tc>
                <w:tcPr>
                  <w:tcW w:w="1702" w:type="dxa"/>
                  <w:tcBorders>
                    <w:top w:val="single" w:color="auto" w:sz="4" w:space="0"/>
                    <w:left w:val="single" w:color="auto" w:sz="4" w:space="0"/>
                    <w:bottom w:val="single" w:color="auto" w:sz="4" w:space="0"/>
                    <w:right w:val="single" w:color="auto" w:sz="4" w:space="0"/>
                  </w:tcBorders>
                  <w:noWrap w:val="0"/>
                  <w:vAlign w:val="center"/>
                </w:tcPr>
                <w:p w14:paraId="74EBACF6">
                  <w:pPr>
                    <w:jc w:val="center"/>
                    <w:rPr>
                      <w:rFonts w:hint="default" w:ascii="Times New Roman" w:hAnsi="Times New Roman" w:eastAsia="宋体" w:cs="Times New Roman"/>
                      <w:szCs w:val="21"/>
                      <w:lang w:val="en-US" w:eastAsia="zh-CN"/>
                    </w:rPr>
                  </w:pPr>
                  <w:r>
                    <w:rPr>
                      <w:rFonts w:hint="eastAsia" w:cs="Times New Roman"/>
                      <w:szCs w:val="21"/>
                      <w:lang w:val="en-US" w:eastAsia="zh-CN"/>
                    </w:rPr>
                    <w:t>0.00202</w:t>
                  </w:r>
                </w:p>
              </w:tc>
              <w:tc>
                <w:tcPr>
                  <w:tcW w:w="2096" w:type="dxa"/>
                  <w:tcBorders>
                    <w:top w:val="single" w:color="auto" w:sz="4" w:space="0"/>
                    <w:left w:val="single" w:color="auto" w:sz="4" w:space="0"/>
                    <w:bottom w:val="single" w:color="auto" w:sz="4" w:space="0"/>
                    <w:right w:val="single" w:color="auto" w:sz="4" w:space="0"/>
                  </w:tcBorders>
                  <w:noWrap w:val="0"/>
                  <w:vAlign w:val="center"/>
                </w:tcPr>
                <w:p w14:paraId="59C9E7D8">
                  <w:pPr>
                    <w:jc w:val="center"/>
                    <w:rPr>
                      <w:rFonts w:hint="default" w:ascii="Times New Roman" w:hAnsi="Times New Roman" w:eastAsia="宋体" w:cs="Times New Roman"/>
                      <w:szCs w:val="21"/>
                      <w:lang w:val="en-US" w:eastAsia="zh-CN"/>
                    </w:rPr>
                  </w:pPr>
                  <w:r>
                    <w:rPr>
                      <w:rFonts w:hint="eastAsia" w:cs="Times New Roman"/>
                      <w:szCs w:val="21"/>
                      <w:lang w:val="en-US" w:eastAsia="zh-CN"/>
                    </w:rPr>
                    <w:t>1122</w:t>
                  </w:r>
                </w:p>
              </w:tc>
            </w:tr>
            <w:tr w14:paraId="032B92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328" w:type="dxa"/>
                  <w:vMerge w:val="restart"/>
                  <w:tcBorders>
                    <w:top w:val="single" w:color="auto" w:sz="4" w:space="0"/>
                    <w:left w:val="single" w:color="auto" w:sz="4" w:space="0"/>
                    <w:bottom w:val="single" w:color="auto" w:sz="4" w:space="0"/>
                    <w:right w:val="single" w:color="auto" w:sz="4" w:space="0"/>
                  </w:tcBorders>
                  <w:noWrap w:val="0"/>
                  <w:vAlign w:val="center"/>
                </w:tcPr>
                <w:p w14:paraId="68F62D4F">
                  <w:pPr>
                    <w:jc w:val="center"/>
                    <w:rPr>
                      <w:rFonts w:hint="eastAsia"/>
                      <w:szCs w:val="21"/>
                      <w:lang w:val="en-US" w:eastAsia="zh-CN"/>
                    </w:rPr>
                  </w:pPr>
                  <w:r>
                    <w:rPr>
                      <w:rFonts w:hint="eastAsia"/>
                      <w:szCs w:val="21"/>
                      <w:lang w:val="en-US" w:eastAsia="zh-CN"/>
                    </w:rPr>
                    <w:t>废气排放口DA002</w:t>
                  </w:r>
                </w:p>
              </w:tc>
              <w:tc>
                <w:tcPr>
                  <w:tcW w:w="2757" w:type="dxa"/>
                  <w:tcBorders>
                    <w:top w:val="single" w:color="auto" w:sz="4" w:space="0"/>
                    <w:left w:val="single" w:color="auto" w:sz="4" w:space="0"/>
                    <w:bottom w:val="single" w:color="auto" w:sz="4" w:space="0"/>
                    <w:right w:val="single" w:color="auto" w:sz="4" w:space="0"/>
                  </w:tcBorders>
                  <w:noWrap w:val="0"/>
                  <w:vAlign w:val="center"/>
                </w:tcPr>
                <w:p w14:paraId="34105E0E">
                  <w:pPr>
                    <w:jc w:val="center"/>
                    <w:rPr>
                      <w:rFonts w:hint="eastAsia"/>
                      <w:szCs w:val="21"/>
                      <w:lang w:val="en-US" w:eastAsia="zh-CN"/>
                    </w:rPr>
                  </w:pPr>
                  <w:r>
                    <w:rPr>
                      <w:rFonts w:hint="eastAsia"/>
                      <w:szCs w:val="21"/>
                      <w:lang w:val="en-US" w:eastAsia="zh-CN"/>
                    </w:rPr>
                    <w:t>2-1-1</w:t>
                  </w:r>
                </w:p>
              </w:tc>
              <w:tc>
                <w:tcPr>
                  <w:tcW w:w="1371" w:type="dxa"/>
                  <w:tcBorders>
                    <w:top w:val="single" w:color="auto" w:sz="4" w:space="0"/>
                    <w:left w:val="single" w:color="auto" w:sz="4" w:space="0"/>
                    <w:bottom w:val="single" w:color="auto" w:sz="4" w:space="0"/>
                    <w:right w:val="single" w:color="auto" w:sz="4" w:space="0"/>
                  </w:tcBorders>
                  <w:noWrap w:val="0"/>
                  <w:vAlign w:val="center"/>
                </w:tcPr>
                <w:p w14:paraId="5F33225B">
                  <w:pPr>
                    <w:jc w:val="center"/>
                    <w:rPr>
                      <w:rFonts w:hint="eastAsia" w:cs="Times New Roman"/>
                      <w:szCs w:val="21"/>
                      <w:lang w:val="en-US" w:eastAsia="zh-CN"/>
                    </w:rPr>
                  </w:pPr>
                  <w:r>
                    <w:rPr>
                      <w:rFonts w:hint="eastAsia" w:cs="Times New Roman"/>
                      <w:szCs w:val="21"/>
                      <w:lang w:val="en-US" w:eastAsia="zh-CN"/>
                    </w:rPr>
                    <w:t>1.06</w:t>
                  </w:r>
                  <w:r>
                    <w:rPr>
                      <w:rFonts w:hint="default" w:ascii="Times New Roman" w:hAnsi="Times New Roman" w:eastAsia="宋体" w:cs="Times New Roman"/>
                      <w:szCs w:val="21"/>
                      <w:lang w:val="en-US" w:eastAsia="zh-CN"/>
                    </w:rPr>
                    <w:t>×</w:t>
                  </w:r>
                  <w:r>
                    <w:rPr>
                      <w:rFonts w:hint="eastAsia" w:ascii="Times New Roman" w:hAnsi="Times New Roman" w:eastAsia="宋体" w:cs="Times New Roman"/>
                      <w:szCs w:val="21"/>
                      <w:lang w:val="en-US" w:eastAsia="zh-CN"/>
                    </w:rPr>
                    <w:t>10</w:t>
                  </w:r>
                  <w:r>
                    <w:rPr>
                      <w:rFonts w:hint="eastAsia" w:ascii="Times New Roman" w:hAnsi="Times New Roman" w:eastAsia="宋体" w:cs="Times New Roman"/>
                      <w:szCs w:val="21"/>
                      <w:vertAlign w:val="superscript"/>
                      <w:lang w:val="en-US" w:eastAsia="zh-CN"/>
                    </w:rPr>
                    <w:t>-3</w:t>
                  </w:r>
                </w:p>
              </w:tc>
              <w:tc>
                <w:tcPr>
                  <w:tcW w:w="1702" w:type="dxa"/>
                  <w:tcBorders>
                    <w:top w:val="single" w:color="auto" w:sz="4" w:space="0"/>
                    <w:left w:val="single" w:color="auto" w:sz="4" w:space="0"/>
                    <w:bottom w:val="single" w:color="auto" w:sz="4" w:space="0"/>
                    <w:right w:val="single" w:color="auto" w:sz="4" w:space="0"/>
                  </w:tcBorders>
                  <w:noWrap w:val="0"/>
                  <w:vAlign w:val="center"/>
                </w:tcPr>
                <w:p w14:paraId="51963CF6">
                  <w:pPr>
                    <w:jc w:val="center"/>
                    <w:rPr>
                      <w:rFonts w:hint="default" w:ascii="Times New Roman" w:hAnsi="Times New Roman" w:eastAsia="宋体" w:cs="Times New Roman"/>
                      <w:szCs w:val="21"/>
                      <w:lang w:val="en-US" w:eastAsia="zh-CN"/>
                    </w:rPr>
                  </w:pPr>
                  <w:r>
                    <w:rPr>
                      <w:rFonts w:hint="eastAsia" w:cs="Times New Roman"/>
                      <w:szCs w:val="21"/>
                      <w:lang w:val="en-US" w:eastAsia="zh-CN"/>
                    </w:rPr>
                    <w:t>0.00614</w:t>
                  </w:r>
                </w:p>
              </w:tc>
              <w:tc>
                <w:tcPr>
                  <w:tcW w:w="2096" w:type="dxa"/>
                  <w:tcBorders>
                    <w:top w:val="single" w:color="auto" w:sz="4" w:space="0"/>
                    <w:left w:val="single" w:color="auto" w:sz="4" w:space="0"/>
                    <w:bottom w:val="single" w:color="auto" w:sz="4" w:space="0"/>
                    <w:right w:val="single" w:color="auto" w:sz="4" w:space="0"/>
                  </w:tcBorders>
                  <w:noWrap w:val="0"/>
                  <w:vAlign w:val="center"/>
                </w:tcPr>
                <w:p w14:paraId="44044146">
                  <w:pPr>
                    <w:jc w:val="center"/>
                    <w:rPr>
                      <w:rFonts w:hint="default" w:cs="Times New Roman"/>
                      <w:szCs w:val="21"/>
                      <w:lang w:val="en-US" w:eastAsia="zh-CN"/>
                    </w:rPr>
                  </w:pPr>
                  <w:r>
                    <w:rPr>
                      <w:rFonts w:hint="eastAsia" w:cs="Times New Roman"/>
                      <w:szCs w:val="21"/>
                      <w:lang w:val="en-US" w:eastAsia="zh-CN"/>
                    </w:rPr>
                    <w:t>1122</w:t>
                  </w:r>
                </w:p>
              </w:tc>
            </w:tr>
            <w:tr w14:paraId="411C36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328" w:type="dxa"/>
                  <w:vMerge w:val="continue"/>
                  <w:tcBorders>
                    <w:top w:val="single" w:color="auto" w:sz="4" w:space="0"/>
                    <w:left w:val="single" w:color="auto" w:sz="4" w:space="0"/>
                    <w:bottom w:val="single" w:color="auto" w:sz="4" w:space="0"/>
                    <w:right w:val="single" w:color="auto" w:sz="4" w:space="0"/>
                  </w:tcBorders>
                  <w:noWrap w:val="0"/>
                  <w:vAlign w:val="center"/>
                </w:tcPr>
                <w:p w14:paraId="3ACB68A0">
                  <w:pPr>
                    <w:jc w:val="center"/>
                    <w:rPr>
                      <w:rFonts w:hint="eastAsia"/>
                      <w:szCs w:val="21"/>
                      <w:lang w:val="en-US" w:eastAsia="zh-CN"/>
                    </w:rPr>
                  </w:pPr>
                </w:p>
              </w:tc>
              <w:tc>
                <w:tcPr>
                  <w:tcW w:w="2757" w:type="dxa"/>
                  <w:tcBorders>
                    <w:top w:val="single" w:color="auto" w:sz="4" w:space="0"/>
                    <w:left w:val="single" w:color="auto" w:sz="4" w:space="0"/>
                    <w:bottom w:val="single" w:color="auto" w:sz="4" w:space="0"/>
                    <w:right w:val="single" w:color="auto" w:sz="4" w:space="0"/>
                  </w:tcBorders>
                  <w:noWrap w:val="0"/>
                  <w:vAlign w:val="center"/>
                </w:tcPr>
                <w:p w14:paraId="6A6098F0">
                  <w:pPr>
                    <w:jc w:val="center"/>
                    <w:rPr>
                      <w:rFonts w:hint="eastAsia"/>
                      <w:szCs w:val="21"/>
                      <w:lang w:val="en-US" w:eastAsia="zh-CN"/>
                    </w:rPr>
                  </w:pPr>
                  <w:r>
                    <w:rPr>
                      <w:rFonts w:hint="eastAsia"/>
                      <w:szCs w:val="21"/>
                      <w:lang w:val="en-US" w:eastAsia="zh-CN"/>
                    </w:rPr>
                    <w:t>2-1-2</w:t>
                  </w:r>
                </w:p>
              </w:tc>
              <w:tc>
                <w:tcPr>
                  <w:tcW w:w="1371" w:type="dxa"/>
                  <w:tcBorders>
                    <w:top w:val="single" w:color="auto" w:sz="4" w:space="0"/>
                    <w:left w:val="single" w:color="auto" w:sz="4" w:space="0"/>
                    <w:bottom w:val="single" w:color="auto" w:sz="4" w:space="0"/>
                    <w:right w:val="single" w:color="auto" w:sz="4" w:space="0"/>
                  </w:tcBorders>
                  <w:noWrap w:val="0"/>
                  <w:vAlign w:val="center"/>
                </w:tcPr>
                <w:p w14:paraId="59D8B797">
                  <w:pPr>
                    <w:jc w:val="center"/>
                    <w:rPr>
                      <w:rFonts w:hint="eastAsia" w:cs="Times New Roman"/>
                      <w:szCs w:val="21"/>
                      <w:lang w:val="en-US" w:eastAsia="zh-CN"/>
                    </w:rPr>
                  </w:pPr>
                  <w:r>
                    <w:rPr>
                      <w:rFonts w:hint="eastAsia" w:cs="Times New Roman"/>
                      <w:szCs w:val="21"/>
                      <w:lang w:val="en-US" w:eastAsia="zh-CN"/>
                    </w:rPr>
                    <w:t>1.40</w:t>
                  </w:r>
                  <w:r>
                    <w:rPr>
                      <w:rFonts w:hint="default" w:ascii="Times New Roman" w:hAnsi="Times New Roman" w:eastAsia="宋体" w:cs="Times New Roman"/>
                      <w:szCs w:val="21"/>
                      <w:lang w:val="en-US" w:eastAsia="zh-CN"/>
                    </w:rPr>
                    <w:t>×</w:t>
                  </w:r>
                  <w:r>
                    <w:rPr>
                      <w:rFonts w:hint="eastAsia" w:ascii="Times New Roman" w:hAnsi="Times New Roman" w:eastAsia="宋体" w:cs="Times New Roman"/>
                      <w:szCs w:val="21"/>
                      <w:lang w:val="en-US" w:eastAsia="zh-CN"/>
                    </w:rPr>
                    <w:t>10</w:t>
                  </w:r>
                  <w:r>
                    <w:rPr>
                      <w:rFonts w:hint="eastAsia" w:ascii="Times New Roman" w:hAnsi="Times New Roman" w:eastAsia="宋体" w:cs="Times New Roman"/>
                      <w:szCs w:val="21"/>
                      <w:vertAlign w:val="superscript"/>
                      <w:lang w:val="en-US" w:eastAsia="zh-CN"/>
                    </w:rPr>
                    <w:t>-3</w:t>
                  </w:r>
                </w:p>
              </w:tc>
              <w:tc>
                <w:tcPr>
                  <w:tcW w:w="1702" w:type="dxa"/>
                  <w:tcBorders>
                    <w:top w:val="single" w:color="auto" w:sz="4" w:space="0"/>
                    <w:left w:val="single" w:color="auto" w:sz="4" w:space="0"/>
                    <w:bottom w:val="single" w:color="auto" w:sz="4" w:space="0"/>
                    <w:right w:val="single" w:color="auto" w:sz="4" w:space="0"/>
                  </w:tcBorders>
                  <w:noWrap w:val="0"/>
                  <w:vAlign w:val="center"/>
                </w:tcPr>
                <w:p w14:paraId="66F6CD90">
                  <w:pPr>
                    <w:jc w:val="center"/>
                    <w:rPr>
                      <w:rFonts w:hint="default" w:ascii="Times New Roman" w:hAnsi="Times New Roman" w:eastAsia="宋体" w:cs="Times New Roman"/>
                      <w:szCs w:val="21"/>
                      <w:lang w:val="en-US" w:eastAsia="zh-CN"/>
                    </w:rPr>
                  </w:pPr>
                  <w:r>
                    <w:rPr>
                      <w:rFonts w:hint="eastAsia" w:cs="Times New Roman"/>
                      <w:szCs w:val="21"/>
                      <w:lang w:val="en-US" w:eastAsia="zh-CN"/>
                    </w:rPr>
                    <w:t>0.00546</w:t>
                  </w:r>
                </w:p>
              </w:tc>
              <w:tc>
                <w:tcPr>
                  <w:tcW w:w="2096" w:type="dxa"/>
                  <w:tcBorders>
                    <w:top w:val="single" w:color="auto" w:sz="4" w:space="0"/>
                    <w:left w:val="single" w:color="auto" w:sz="4" w:space="0"/>
                    <w:bottom w:val="single" w:color="auto" w:sz="4" w:space="0"/>
                    <w:right w:val="single" w:color="auto" w:sz="4" w:space="0"/>
                  </w:tcBorders>
                  <w:noWrap w:val="0"/>
                  <w:vAlign w:val="center"/>
                </w:tcPr>
                <w:p w14:paraId="05E5E5C9">
                  <w:pPr>
                    <w:jc w:val="center"/>
                    <w:rPr>
                      <w:rFonts w:hint="default" w:cs="Times New Roman"/>
                      <w:szCs w:val="21"/>
                      <w:lang w:val="en-US" w:eastAsia="zh-CN"/>
                    </w:rPr>
                  </w:pPr>
                  <w:r>
                    <w:rPr>
                      <w:rFonts w:hint="eastAsia" w:cs="Times New Roman"/>
                      <w:szCs w:val="21"/>
                      <w:lang w:val="en-US" w:eastAsia="zh-CN"/>
                    </w:rPr>
                    <w:t>977</w:t>
                  </w:r>
                </w:p>
              </w:tc>
            </w:tr>
            <w:tr w14:paraId="256E56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1328" w:type="dxa"/>
                  <w:vMerge w:val="continue"/>
                  <w:tcBorders>
                    <w:top w:val="single" w:color="auto" w:sz="4" w:space="0"/>
                    <w:left w:val="single" w:color="auto" w:sz="4" w:space="0"/>
                    <w:right w:val="single" w:color="auto" w:sz="4" w:space="0"/>
                  </w:tcBorders>
                  <w:noWrap w:val="0"/>
                  <w:vAlign w:val="center"/>
                </w:tcPr>
                <w:p w14:paraId="3A8A93D5">
                  <w:pPr>
                    <w:jc w:val="center"/>
                    <w:rPr>
                      <w:rFonts w:hint="eastAsia"/>
                      <w:szCs w:val="21"/>
                      <w:lang w:val="en-US" w:eastAsia="zh-CN"/>
                    </w:rPr>
                  </w:pPr>
                </w:p>
              </w:tc>
              <w:tc>
                <w:tcPr>
                  <w:tcW w:w="2757" w:type="dxa"/>
                  <w:tcBorders>
                    <w:top w:val="single" w:color="auto" w:sz="4" w:space="0"/>
                    <w:left w:val="single" w:color="auto" w:sz="4" w:space="0"/>
                    <w:right w:val="single" w:color="auto" w:sz="4" w:space="0"/>
                  </w:tcBorders>
                  <w:noWrap w:val="0"/>
                  <w:vAlign w:val="center"/>
                </w:tcPr>
                <w:p w14:paraId="28DEDB5B">
                  <w:pPr>
                    <w:jc w:val="center"/>
                    <w:rPr>
                      <w:rFonts w:hint="eastAsia"/>
                      <w:szCs w:val="21"/>
                      <w:lang w:val="en-US" w:eastAsia="zh-CN"/>
                    </w:rPr>
                  </w:pPr>
                  <w:r>
                    <w:rPr>
                      <w:rFonts w:hint="eastAsia"/>
                      <w:szCs w:val="21"/>
                      <w:lang w:val="en-US" w:eastAsia="zh-CN"/>
                    </w:rPr>
                    <w:t>2-1-3</w:t>
                  </w:r>
                </w:p>
              </w:tc>
              <w:tc>
                <w:tcPr>
                  <w:tcW w:w="1371" w:type="dxa"/>
                  <w:tcBorders>
                    <w:top w:val="single" w:color="auto" w:sz="4" w:space="0"/>
                    <w:left w:val="single" w:color="auto" w:sz="4" w:space="0"/>
                    <w:bottom w:val="single" w:color="auto" w:sz="4" w:space="0"/>
                    <w:right w:val="single" w:color="auto" w:sz="4" w:space="0"/>
                  </w:tcBorders>
                  <w:noWrap w:val="0"/>
                  <w:vAlign w:val="center"/>
                </w:tcPr>
                <w:p w14:paraId="6196DDA4">
                  <w:pPr>
                    <w:jc w:val="center"/>
                    <w:rPr>
                      <w:rFonts w:hint="eastAsia" w:cs="Times New Roman"/>
                      <w:szCs w:val="21"/>
                      <w:lang w:val="en-US" w:eastAsia="zh-CN"/>
                    </w:rPr>
                  </w:pPr>
                  <w:r>
                    <w:rPr>
                      <w:rFonts w:hint="eastAsia" w:cs="Times New Roman"/>
                      <w:szCs w:val="21"/>
                      <w:lang w:val="en-US" w:eastAsia="zh-CN"/>
                    </w:rPr>
                    <w:t>0.83</w:t>
                  </w:r>
                  <w:r>
                    <w:rPr>
                      <w:rFonts w:hint="default" w:ascii="Times New Roman" w:hAnsi="Times New Roman" w:eastAsia="宋体" w:cs="Times New Roman"/>
                      <w:szCs w:val="21"/>
                      <w:lang w:val="en-US" w:eastAsia="zh-CN"/>
                    </w:rPr>
                    <w:t>×</w:t>
                  </w:r>
                  <w:r>
                    <w:rPr>
                      <w:rFonts w:hint="eastAsia" w:ascii="Times New Roman" w:hAnsi="Times New Roman" w:eastAsia="宋体" w:cs="Times New Roman"/>
                      <w:szCs w:val="21"/>
                      <w:lang w:val="en-US" w:eastAsia="zh-CN"/>
                    </w:rPr>
                    <w:t>10</w:t>
                  </w:r>
                  <w:r>
                    <w:rPr>
                      <w:rFonts w:hint="eastAsia" w:ascii="Times New Roman" w:hAnsi="Times New Roman" w:eastAsia="宋体" w:cs="Times New Roman"/>
                      <w:szCs w:val="21"/>
                      <w:vertAlign w:val="superscript"/>
                      <w:lang w:val="en-US" w:eastAsia="zh-CN"/>
                    </w:rPr>
                    <w:t>-3</w:t>
                  </w:r>
                </w:p>
              </w:tc>
              <w:tc>
                <w:tcPr>
                  <w:tcW w:w="1702" w:type="dxa"/>
                  <w:tcBorders>
                    <w:top w:val="single" w:color="auto" w:sz="4" w:space="0"/>
                    <w:left w:val="single" w:color="auto" w:sz="4" w:space="0"/>
                    <w:bottom w:val="single" w:color="auto" w:sz="4" w:space="0"/>
                    <w:right w:val="single" w:color="auto" w:sz="4" w:space="0"/>
                  </w:tcBorders>
                  <w:noWrap w:val="0"/>
                  <w:vAlign w:val="center"/>
                </w:tcPr>
                <w:p w14:paraId="4B1DA417">
                  <w:pPr>
                    <w:jc w:val="center"/>
                    <w:rPr>
                      <w:rFonts w:hint="default" w:ascii="Times New Roman" w:hAnsi="Times New Roman" w:eastAsia="宋体" w:cs="Times New Roman"/>
                      <w:szCs w:val="21"/>
                      <w:lang w:val="en-US" w:eastAsia="zh-CN"/>
                    </w:rPr>
                  </w:pPr>
                  <w:r>
                    <w:rPr>
                      <w:rFonts w:hint="eastAsia" w:cs="Times New Roman"/>
                      <w:szCs w:val="21"/>
                      <w:lang w:val="en-US" w:eastAsia="zh-CN"/>
                    </w:rPr>
                    <w:t>0.00568</w:t>
                  </w:r>
                </w:p>
              </w:tc>
              <w:tc>
                <w:tcPr>
                  <w:tcW w:w="2096" w:type="dxa"/>
                  <w:tcBorders>
                    <w:top w:val="single" w:color="auto" w:sz="4" w:space="0"/>
                    <w:left w:val="single" w:color="auto" w:sz="4" w:space="0"/>
                    <w:bottom w:val="single" w:color="auto" w:sz="4" w:space="0"/>
                    <w:right w:val="single" w:color="auto" w:sz="4" w:space="0"/>
                  </w:tcBorders>
                  <w:noWrap w:val="0"/>
                  <w:vAlign w:val="center"/>
                </w:tcPr>
                <w:p w14:paraId="270D495E">
                  <w:pPr>
                    <w:jc w:val="center"/>
                    <w:rPr>
                      <w:rFonts w:hint="default" w:cs="Times New Roman"/>
                      <w:szCs w:val="21"/>
                      <w:lang w:val="en-US" w:eastAsia="zh-CN"/>
                    </w:rPr>
                  </w:pPr>
                  <w:r>
                    <w:rPr>
                      <w:rFonts w:hint="eastAsia" w:cs="Times New Roman"/>
                      <w:szCs w:val="21"/>
                      <w:lang w:val="en-US" w:eastAsia="zh-CN"/>
                    </w:rPr>
                    <w:t>851</w:t>
                  </w:r>
                </w:p>
              </w:tc>
            </w:tr>
            <w:bookmarkEnd w:id="16"/>
            <w:tr w14:paraId="4F2720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18" w:hRule="exact"/>
                <w:jc w:val="center"/>
              </w:trPr>
              <w:tc>
                <w:tcPr>
                  <w:tcW w:w="1328" w:type="dxa"/>
                  <w:tcBorders>
                    <w:left w:val="single" w:color="auto" w:sz="4" w:space="0"/>
                    <w:right w:val="single" w:color="auto" w:sz="4" w:space="0"/>
                  </w:tcBorders>
                  <w:noWrap w:val="0"/>
                  <w:vAlign w:val="center"/>
                </w:tcPr>
                <w:p w14:paraId="1D46F74C">
                  <w:pPr>
                    <w:jc w:val="both"/>
                    <w:rPr>
                      <w:rFonts w:hint="default" w:eastAsiaTheme="minorEastAsia"/>
                      <w:szCs w:val="21"/>
                      <w:lang w:val="en-US" w:eastAsia="zh-CN"/>
                    </w:rPr>
                  </w:pPr>
                  <w:r>
                    <w:rPr>
                      <w:rFonts w:hint="eastAsia"/>
                      <w:szCs w:val="21"/>
                      <w:lang w:val="en-US" w:eastAsia="zh-CN"/>
                    </w:rPr>
                    <w:t>监测点位</w:t>
                  </w:r>
                </w:p>
              </w:tc>
              <w:tc>
                <w:tcPr>
                  <w:tcW w:w="2757" w:type="dxa"/>
                  <w:tcBorders>
                    <w:left w:val="single" w:color="auto" w:sz="2" w:space="0"/>
                    <w:right w:val="single" w:color="auto" w:sz="4" w:space="0"/>
                  </w:tcBorders>
                  <w:noWrap w:val="0"/>
                  <w:vAlign w:val="center"/>
                </w:tcPr>
                <w:p w14:paraId="647E122A">
                  <w:pPr>
                    <w:jc w:val="center"/>
                    <w:rPr>
                      <w:rFonts w:hint="default" w:eastAsiaTheme="minorEastAsia"/>
                      <w:szCs w:val="21"/>
                      <w:lang w:val="en-US" w:eastAsia="zh-CN"/>
                    </w:rPr>
                  </w:pPr>
                  <w:r>
                    <w:rPr>
                      <w:sz w:val="21"/>
                      <w:szCs w:val="21"/>
                    </w:rPr>
                    <w:t>待宰车间、屠宰车间、固废储存区</w:t>
                  </w:r>
                  <w:r>
                    <w:rPr>
                      <w:rFonts w:hint="eastAsia"/>
                      <w:sz w:val="21"/>
                      <w:szCs w:val="21"/>
                      <w:lang w:eastAsia="zh-CN"/>
                    </w:rPr>
                    <w:t>（</w:t>
                  </w:r>
                  <w:r>
                    <w:rPr>
                      <w:rFonts w:hint="eastAsia"/>
                      <w:sz w:val="21"/>
                      <w:szCs w:val="21"/>
                      <w:lang w:val="en-US" w:eastAsia="zh-CN"/>
                    </w:rPr>
                    <w:t>DA001）</w:t>
                  </w:r>
                  <w:r>
                    <w:rPr>
                      <w:rFonts w:hint="eastAsia"/>
                      <w:sz w:val="21"/>
                      <w:szCs w:val="21"/>
                      <w:lang w:eastAsia="zh-CN"/>
                    </w:rPr>
                    <w:t>、</w:t>
                  </w:r>
                  <w:r>
                    <w:rPr>
                      <w:rFonts w:hint="eastAsia"/>
                      <w:sz w:val="21"/>
                      <w:szCs w:val="21"/>
                      <w:lang w:val="en-US" w:eastAsia="zh-CN"/>
                    </w:rPr>
                    <w:t>污水处理站（DA002）</w:t>
                  </w:r>
                </w:p>
              </w:tc>
              <w:tc>
                <w:tcPr>
                  <w:tcW w:w="1371" w:type="dxa"/>
                  <w:tcBorders>
                    <w:left w:val="single" w:color="auto" w:sz="4" w:space="0"/>
                    <w:right w:val="single" w:color="auto" w:sz="4" w:space="0"/>
                  </w:tcBorders>
                  <w:noWrap w:val="0"/>
                  <w:vAlign w:val="center"/>
                </w:tcPr>
                <w:p w14:paraId="7A5A79C9">
                  <w:pPr>
                    <w:jc w:val="center"/>
                    <w:rPr>
                      <w:rFonts w:hint="default"/>
                      <w:bCs/>
                      <w:szCs w:val="21"/>
                      <w:lang w:val="en-US" w:eastAsia="zh-CN"/>
                    </w:rPr>
                  </w:pPr>
                  <w:r>
                    <w:rPr>
                      <w:rFonts w:hint="eastAsia"/>
                      <w:bCs/>
                      <w:szCs w:val="21"/>
                      <w:lang w:val="en-US" w:eastAsia="zh-CN"/>
                    </w:rPr>
                    <w:t>监测日期</w:t>
                  </w:r>
                </w:p>
              </w:tc>
              <w:tc>
                <w:tcPr>
                  <w:tcW w:w="3798" w:type="dxa"/>
                  <w:gridSpan w:val="2"/>
                  <w:tcBorders>
                    <w:left w:val="single" w:color="auto" w:sz="4" w:space="0"/>
                    <w:right w:val="single" w:color="auto" w:sz="4" w:space="0"/>
                  </w:tcBorders>
                  <w:noWrap w:val="0"/>
                  <w:vAlign w:val="center"/>
                </w:tcPr>
                <w:p w14:paraId="4DDD6062">
                  <w:pPr>
                    <w:jc w:val="center"/>
                    <w:rPr>
                      <w:rFonts w:hint="default"/>
                      <w:bCs/>
                      <w:szCs w:val="21"/>
                      <w:lang w:val="en-US" w:eastAsia="zh-CN"/>
                    </w:rPr>
                  </w:pPr>
                  <w:r>
                    <w:rPr>
                      <w:rFonts w:hint="eastAsia"/>
                      <w:bCs/>
                      <w:szCs w:val="21"/>
                      <w:lang w:val="en-US" w:eastAsia="zh-CN"/>
                    </w:rPr>
                    <w:t>2025年6月28日</w:t>
                  </w:r>
                </w:p>
              </w:tc>
            </w:tr>
            <w:tr w14:paraId="4A7BDB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6" w:hRule="exact"/>
                <w:jc w:val="center"/>
              </w:trPr>
              <w:tc>
                <w:tcPr>
                  <w:tcW w:w="1328" w:type="dxa"/>
                  <w:tcBorders>
                    <w:left w:val="single" w:color="auto" w:sz="4" w:space="0"/>
                    <w:right w:val="single" w:color="auto" w:sz="4" w:space="0"/>
                  </w:tcBorders>
                  <w:noWrap w:val="0"/>
                  <w:vAlign w:val="center"/>
                </w:tcPr>
                <w:p w14:paraId="69DCCF59">
                  <w:pPr>
                    <w:jc w:val="center"/>
                    <w:rPr>
                      <w:szCs w:val="21"/>
                    </w:rPr>
                  </w:pPr>
                  <w:r>
                    <w:rPr>
                      <w:szCs w:val="21"/>
                    </w:rPr>
                    <w:t>采样地点</w:t>
                  </w:r>
                </w:p>
              </w:tc>
              <w:tc>
                <w:tcPr>
                  <w:tcW w:w="2757" w:type="dxa"/>
                  <w:tcBorders>
                    <w:left w:val="single" w:color="auto" w:sz="2" w:space="0"/>
                    <w:right w:val="single" w:color="auto" w:sz="4" w:space="0"/>
                  </w:tcBorders>
                  <w:noWrap w:val="0"/>
                  <w:vAlign w:val="center"/>
                </w:tcPr>
                <w:p w14:paraId="3BF9D78C">
                  <w:pPr>
                    <w:jc w:val="center"/>
                    <w:rPr>
                      <w:szCs w:val="21"/>
                    </w:rPr>
                  </w:pPr>
                  <w:r>
                    <w:rPr>
                      <w:szCs w:val="21"/>
                    </w:rPr>
                    <w:t>采样编号</w:t>
                  </w:r>
                </w:p>
              </w:tc>
              <w:tc>
                <w:tcPr>
                  <w:tcW w:w="1371" w:type="dxa"/>
                  <w:tcBorders>
                    <w:left w:val="single" w:color="auto" w:sz="4" w:space="0"/>
                    <w:right w:val="single" w:color="auto" w:sz="4" w:space="0"/>
                  </w:tcBorders>
                  <w:noWrap w:val="0"/>
                  <w:vAlign w:val="center"/>
                </w:tcPr>
                <w:p w14:paraId="3183C6CD">
                  <w:pPr>
                    <w:jc w:val="center"/>
                    <w:rPr>
                      <w:rFonts w:hint="eastAsia" w:eastAsia="宋体"/>
                      <w:bCs/>
                      <w:szCs w:val="21"/>
                      <w:lang w:eastAsia="zh-CN"/>
                    </w:rPr>
                  </w:pPr>
                  <w:r>
                    <w:rPr>
                      <w:rFonts w:hint="eastAsia"/>
                      <w:bCs/>
                      <w:szCs w:val="21"/>
                      <w:lang w:eastAsia="zh-CN"/>
                    </w:rPr>
                    <w:t>氨</w:t>
                  </w:r>
                  <w:r>
                    <w:rPr>
                      <w:szCs w:val="21"/>
                    </w:rPr>
                    <w:t>（</w:t>
                  </w:r>
                  <w:r>
                    <w:rPr>
                      <w:rFonts w:hint="eastAsia"/>
                      <w:szCs w:val="21"/>
                      <w:lang w:val="en-US" w:eastAsia="zh-CN"/>
                    </w:rPr>
                    <w:t>kg</w:t>
                  </w:r>
                  <w:r>
                    <w:rPr>
                      <w:szCs w:val="21"/>
                    </w:rPr>
                    <w:t>/</w:t>
                  </w:r>
                  <w:r>
                    <w:rPr>
                      <w:rFonts w:hint="eastAsia"/>
                      <w:szCs w:val="21"/>
                      <w:lang w:val="en-US" w:eastAsia="zh-CN"/>
                    </w:rPr>
                    <w:t>h</w:t>
                  </w:r>
                  <w:r>
                    <w:rPr>
                      <w:szCs w:val="21"/>
                    </w:rPr>
                    <w:t>）</w:t>
                  </w:r>
                </w:p>
              </w:tc>
              <w:tc>
                <w:tcPr>
                  <w:tcW w:w="1702" w:type="dxa"/>
                  <w:tcBorders>
                    <w:left w:val="single" w:color="auto" w:sz="4" w:space="0"/>
                    <w:right w:val="single" w:color="auto" w:sz="4" w:space="0"/>
                  </w:tcBorders>
                  <w:noWrap w:val="0"/>
                  <w:vAlign w:val="center"/>
                </w:tcPr>
                <w:p w14:paraId="5A0800EC">
                  <w:pPr>
                    <w:jc w:val="center"/>
                    <w:rPr>
                      <w:rFonts w:hint="eastAsia" w:eastAsia="宋体"/>
                      <w:bCs/>
                      <w:szCs w:val="21"/>
                      <w:lang w:eastAsia="zh-CN"/>
                    </w:rPr>
                  </w:pPr>
                  <w:r>
                    <w:rPr>
                      <w:rFonts w:hint="eastAsia"/>
                      <w:bCs/>
                      <w:szCs w:val="21"/>
                      <w:lang w:eastAsia="zh-CN"/>
                    </w:rPr>
                    <w:t>硫化氢</w:t>
                  </w:r>
                  <w:r>
                    <w:rPr>
                      <w:szCs w:val="21"/>
                    </w:rPr>
                    <w:t>（</w:t>
                  </w:r>
                  <w:r>
                    <w:rPr>
                      <w:rFonts w:hint="eastAsia"/>
                      <w:szCs w:val="21"/>
                      <w:lang w:val="en-US" w:eastAsia="zh-CN"/>
                    </w:rPr>
                    <w:t>kg</w:t>
                  </w:r>
                  <w:r>
                    <w:rPr>
                      <w:szCs w:val="21"/>
                    </w:rPr>
                    <w:t>/</w:t>
                  </w:r>
                  <w:r>
                    <w:rPr>
                      <w:rFonts w:hint="eastAsia"/>
                      <w:szCs w:val="21"/>
                      <w:lang w:val="en-US" w:eastAsia="zh-CN"/>
                    </w:rPr>
                    <w:t>h</w:t>
                  </w:r>
                  <w:r>
                    <w:rPr>
                      <w:szCs w:val="21"/>
                    </w:rPr>
                    <w:t>）</w:t>
                  </w:r>
                </w:p>
              </w:tc>
              <w:tc>
                <w:tcPr>
                  <w:tcW w:w="2096" w:type="dxa"/>
                  <w:tcBorders>
                    <w:left w:val="single" w:color="auto" w:sz="4" w:space="0"/>
                    <w:right w:val="single" w:color="auto" w:sz="4" w:space="0"/>
                  </w:tcBorders>
                  <w:noWrap w:val="0"/>
                  <w:vAlign w:val="center"/>
                </w:tcPr>
                <w:p w14:paraId="12BBF401">
                  <w:pPr>
                    <w:jc w:val="center"/>
                    <w:rPr>
                      <w:rFonts w:hint="default"/>
                      <w:bCs/>
                      <w:szCs w:val="21"/>
                      <w:lang w:val="en-US" w:eastAsia="zh-CN"/>
                    </w:rPr>
                  </w:pPr>
                  <w:r>
                    <w:rPr>
                      <w:rFonts w:hint="eastAsia"/>
                      <w:bCs/>
                      <w:szCs w:val="21"/>
                      <w:lang w:eastAsia="zh-CN"/>
                    </w:rPr>
                    <w:t>臭气浓度（无量纲）</w:t>
                  </w:r>
                </w:p>
              </w:tc>
            </w:tr>
            <w:tr w14:paraId="325781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328" w:type="dxa"/>
                  <w:vMerge w:val="restart"/>
                  <w:tcBorders>
                    <w:top w:val="single" w:color="auto" w:sz="4" w:space="0"/>
                    <w:left w:val="single" w:color="auto" w:sz="4" w:space="0"/>
                    <w:right w:val="single" w:color="auto" w:sz="4" w:space="0"/>
                  </w:tcBorders>
                  <w:noWrap w:val="0"/>
                  <w:vAlign w:val="center"/>
                </w:tcPr>
                <w:p w14:paraId="43754204">
                  <w:pPr>
                    <w:jc w:val="center"/>
                    <w:rPr>
                      <w:rFonts w:hint="default"/>
                      <w:lang w:val="en-US" w:eastAsia="zh-CN"/>
                    </w:rPr>
                  </w:pPr>
                  <w:r>
                    <w:rPr>
                      <w:rFonts w:hint="eastAsia"/>
                      <w:szCs w:val="21"/>
                      <w:lang w:val="en-US" w:eastAsia="zh-CN"/>
                    </w:rPr>
                    <w:t>废气排放口DA001</w:t>
                  </w:r>
                </w:p>
              </w:tc>
              <w:tc>
                <w:tcPr>
                  <w:tcW w:w="2757" w:type="dxa"/>
                  <w:tcBorders>
                    <w:top w:val="single" w:color="auto" w:sz="4" w:space="0"/>
                    <w:left w:val="single" w:color="auto" w:sz="2" w:space="0"/>
                    <w:right w:val="single" w:color="auto" w:sz="4" w:space="0"/>
                  </w:tcBorders>
                  <w:noWrap w:val="0"/>
                  <w:vAlign w:val="center"/>
                </w:tcPr>
                <w:p w14:paraId="2780AE30">
                  <w:pPr>
                    <w:jc w:val="center"/>
                    <w:rPr>
                      <w:rFonts w:hint="default" w:eastAsia="宋体"/>
                      <w:szCs w:val="21"/>
                      <w:lang w:val="en-US" w:eastAsia="zh-CN"/>
                    </w:rPr>
                  </w:pPr>
                  <w:r>
                    <w:rPr>
                      <w:rFonts w:hint="eastAsia"/>
                      <w:szCs w:val="21"/>
                      <w:lang w:val="en-US" w:eastAsia="zh-CN"/>
                    </w:rPr>
                    <w:t>1-2-1</w:t>
                  </w:r>
                </w:p>
              </w:tc>
              <w:tc>
                <w:tcPr>
                  <w:tcW w:w="1371" w:type="dxa"/>
                  <w:tcBorders>
                    <w:top w:val="single" w:color="auto" w:sz="4" w:space="0"/>
                    <w:left w:val="single" w:color="auto" w:sz="4" w:space="0"/>
                    <w:bottom w:val="single" w:color="auto" w:sz="4" w:space="0"/>
                    <w:right w:val="single" w:color="auto" w:sz="4" w:space="0"/>
                  </w:tcBorders>
                  <w:noWrap w:val="0"/>
                  <w:vAlign w:val="center"/>
                </w:tcPr>
                <w:p w14:paraId="38930C11">
                  <w:pPr>
                    <w:jc w:val="center"/>
                    <w:rPr>
                      <w:rFonts w:hint="default" w:ascii="Times New Roman" w:hAnsi="Times New Roman" w:eastAsia="宋体" w:cs="Times New Roman"/>
                      <w:szCs w:val="21"/>
                      <w:lang w:val="en-US" w:eastAsia="zh-CN"/>
                    </w:rPr>
                  </w:pPr>
                  <w:r>
                    <w:rPr>
                      <w:rFonts w:hint="eastAsia" w:cs="Times New Roman"/>
                      <w:szCs w:val="21"/>
                      <w:lang w:val="en-US" w:eastAsia="zh-CN"/>
                    </w:rPr>
                    <w:t>0.89</w:t>
                  </w:r>
                  <w:r>
                    <w:rPr>
                      <w:rFonts w:hint="default" w:ascii="Times New Roman" w:hAnsi="Times New Roman" w:eastAsia="宋体" w:cs="Times New Roman"/>
                      <w:szCs w:val="21"/>
                      <w:lang w:val="en-US" w:eastAsia="zh-CN"/>
                    </w:rPr>
                    <w:t>×</w:t>
                  </w:r>
                  <w:r>
                    <w:rPr>
                      <w:rFonts w:hint="eastAsia" w:ascii="Times New Roman" w:hAnsi="Times New Roman" w:eastAsia="宋体" w:cs="Times New Roman"/>
                      <w:szCs w:val="21"/>
                      <w:lang w:val="en-US" w:eastAsia="zh-CN"/>
                    </w:rPr>
                    <w:t>10</w:t>
                  </w:r>
                  <w:r>
                    <w:rPr>
                      <w:rFonts w:hint="eastAsia" w:ascii="Times New Roman" w:hAnsi="Times New Roman" w:eastAsia="宋体" w:cs="Times New Roman"/>
                      <w:szCs w:val="21"/>
                      <w:vertAlign w:val="superscript"/>
                      <w:lang w:val="en-US" w:eastAsia="zh-CN"/>
                    </w:rPr>
                    <w:t>-3</w:t>
                  </w:r>
                </w:p>
              </w:tc>
              <w:tc>
                <w:tcPr>
                  <w:tcW w:w="1702" w:type="dxa"/>
                  <w:tcBorders>
                    <w:top w:val="single" w:color="auto" w:sz="4" w:space="0"/>
                    <w:left w:val="single" w:color="auto" w:sz="4" w:space="0"/>
                    <w:bottom w:val="single" w:color="auto" w:sz="4" w:space="0"/>
                    <w:right w:val="single" w:color="auto" w:sz="4" w:space="0"/>
                  </w:tcBorders>
                  <w:noWrap w:val="0"/>
                  <w:vAlign w:val="center"/>
                </w:tcPr>
                <w:p w14:paraId="72F796AE">
                  <w:pPr>
                    <w:jc w:val="center"/>
                    <w:rPr>
                      <w:rFonts w:hint="default" w:ascii="Times New Roman" w:hAnsi="Times New Roman" w:eastAsia="宋体" w:cs="Times New Roman"/>
                      <w:szCs w:val="21"/>
                      <w:lang w:val="en-US" w:eastAsia="zh-CN"/>
                    </w:rPr>
                  </w:pPr>
                  <w:r>
                    <w:rPr>
                      <w:rFonts w:hint="eastAsia" w:cs="Times New Roman"/>
                      <w:szCs w:val="21"/>
                      <w:lang w:val="en-US" w:eastAsia="zh-CN"/>
                    </w:rPr>
                    <w:t>0.00421</w:t>
                  </w:r>
                </w:p>
              </w:tc>
              <w:tc>
                <w:tcPr>
                  <w:tcW w:w="2096" w:type="dxa"/>
                  <w:tcBorders>
                    <w:top w:val="single" w:color="auto" w:sz="4" w:space="0"/>
                    <w:left w:val="single" w:color="auto" w:sz="4" w:space="0"/>
                    <w:bottom w:val="single" w:color="auto" w:sz="4" w:space="0"/>
                    <w:right w:val="single" w:color="auto" w:sz="4" w:space="0"/>
                  </w:tcBorders>
                  <w:noWrap w:val="0"/>
                  <w:vAlign w:val="center"/>
                </w:tcPr>
                <w:p w14:paraId="6F5F5914">
                  <w:pPr>
                    <w:jc w:val="center"/>
                    <w:rPr>
                      <w:rFonts w:hint="default" w:ascii="Times New Roman" w:hAnsi="Times New Roman" w:eastAsia="宋体" w:cs="Times New Roman"/>
                      <w:szCs w:val="21"/>
                      <w:lang w:val="en-US" w:eastAsia="zh-CN"/>
                    </w:rPr>
                  </w:pPr>
                  <w:r>
                    <w:rPr>
                      <w:rFonts w:hint="eastAsia" w:cs="Times New Roman"/>
                      <w:szCs w:val="21"/>
                      <w:lang w:val="en-US" w:eastAsia="zh-CN"/>
                    </w:rPr>
                    <w:t>977</w:t>
                  </w:r>
                </w:p>
              </w:tc>
            </w:tr>
            <w:tr w14:paraId="63392E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328" w:type="dxa"/>
                  <w:vMerge w:val="continue"/>
                  <w:tcBorders>
                    <w:left w:val="single" w:color="auto" w:sz="4" w:space="0"/>
                    <w:right w:val="single" w:color="auto" w:sz="4" w:space="0"/>
                  </w:tcBorders>
                  <w:noWrap w:val="0"/>
                  <w:vAlign w:val="center"/>
                </w:tcPr>
                <w:p w14:paraId="329A0DE7">
                  <w:pPr>
                    <w:jc w:val="center"/>
                    <w:rPr>
                      <w:rFonts w:hint="default"/>
                      <w:szCs w:val="21"/>
                      <w:lang w:val="en-US" w:eastAsia="zh-CN"/>
                    </w:rPr>
                  </w:pPr>
                </w:p>
              </w:tc>
              <w:tc>
                <w:tcPr>
                  <w:tcW w:w="2757" w:type="dxa"/>
                  <w:tcBorders>
                    <w:top w:val="single" w:color="auto" w:sz="4" w:space="0"/>
                    <w:left w:val="single" w:color="auto" w:sz="2" w:space="0"/>
                    <w:right w:val="single" w:color="auto" w:sz="4" w:space="0"/>
                  </w:tcBorders>
                  <w:noWrap w:val="0"/>
                  <w:vAlign w:val="center"/>
                </w:tcPr>
                <w:p w14:paraId="4009A259">
                  <w:pPr>
                    <w:jc w:val="center"/>
                    <w:rPr>
                      <w:rFonts w:hint="default"/>
                      <w:szCs w:val="21"/>
                      <w:lang w:val="en-US" w:eastAsia="zh-CN"/>
                    </w:rPr>
                  </w:pPr>
                  <w:r>
                    <w:rPr>
                      <w:rFonts w:hint="eastAsia"/>
                      <w:szCs w:val="21"/>
                      <w:lang w:val="en-US" w:eastAsia="zh-CN"/>
                    </w:rPr>
                    <w:t>1-2-2</w:t>
                  </w:r>
                </w:p>
              </w:tc>
              <w:tc>
                <w:tcPr>
                  <w:tcW w:w="1371" w:type="dxa"/>
                  <w:tcBorders>
                    <w:top w:val="nil"/>
                    <w:left w:val="single" w:color="auto" w:sz="4" w:space="0"/>
                    <w:bottom w:val="single" w:color="auto" w:sz="4" w:space="0"/>
                    <w:right w:val="single" w:color="auto" w:sz="4" w:space="0"/>
                  </w:tcBorders>
                  <w:noWrap w:val="0"/>
                  <w:vAlign w:val="center"/>
                </w:tcPr>
                <w:p w14:paraId="23671F03">
                  <w:pPr>
                    <w:jc w:val="center"/>
                    <w:rPr>
                      <w:rFonts w:hint="default" w:ascii="Times New Roman" w:hAnsi="Times New Roman" w:eastAsia="宋体" w:cs="Times New Roman"/>
                      <w:szCs w:val="21"/>
                      <w:lang w:val="en-US" w:eastAsia="zh-CN"/>
                    </w:rPr>
                  </w:pPr>
                  <w:r>
                    <w:rPr>
                      <w:rFonts w:hint="eastAsia" w:cs="Times New Roman"/>
                      <w:szCs w:val="21"/>
                      <w:lang w:val="en-US" w:eastAsia="zh-CN"/>
                    </w:rPr>
                    <w:t>0.74</w:t>
                  </w:r>
                  <w:r>
                    <w:rPr>
                      <w:rFonts w:hint="default" w:ascii="Times New Roman" w:hAnsi="Times New Roman" w:eastAsia="宋体" w:cs="Times New Roman"/>
                      <w:szCs w:val="21"/>
                      <w:lang w:val="en-US" w:eastAsia="zh-CN"/>
                    </w:rPr>
                    <w:t>×</w:t>
                  </w:r>
                  <w:r>
                    <w:rPr>
                      <w:rFonts w:hint="eastAsia" w:ascii="Times New Roman" w:hAnsi="Times New Roman" w:eastAsia="宋体" w:cs="Times New Roman"/>
                      <w:szCs w:val="21"/>
                      <w:lang w:val="en-US" w:eastAsia="zh-CN"/>
                    </w:rPr>
                    <w:t>10</w:t>
                  </w:r>
                  <w:r>
                    <w:rPr>
                      <w:rFonts w:hint="eastAsia" w:ascii="Times New Roman" w:hAnsi="Times New Roman" w:eastAsia="宋体" w:cs="Times New Roman"/>
                      <w:szCs w:val="21"/>
                      <w:vertAlign w:val="superscript"/>
                      <w:lang w:val="en-US" w:eastAsia="zh-CN"/>
                    </w:rPr>
                    <w:t>-3</w:t>
                  </w:r>
                </w:p>
              </w:tc>
              <w:tc>
                <w:tcPr>
                  <w:tcW w:w="1702" w:type="dxa"/>
                  <w:tcBorders>
                    <w:top w:val="nil"/>
                    <w:left w:val="single" w:color="auto" w:sz="4" w:space="0"/>
                    <w:bottom w:val="single" w:color="auto" w:sz="4" w:space="0"/>
                    <w:right w:val="single" w:color="auto" w:sz="4" w:space="0"/>
                  </w:tcBorders>
                  <w:noWrap w:val="0"/>
                  <w:vAlign w:val="center"/>
                </w:tcPr>
                <w:p w14:paraId="4C378D6E">
                  <w:pPr>
                    <w:jc w:val="center"/>
                    <w:rPr>
                      <w:rFonts w:hint="default" w:ascii="Times New Roman" w:hAnsi="Times New Roman" w:eastAsia="宋体" w:cs="Times New Roman"/>
                      <w:szCs w:val="21"/>
                      <w:lang w:val="en-US" w:eastAsia="zh-CN"/>
                    </w:rPr>
                  </w:pPr>
                  <w:r>
                    <w:rPr>
                      <w:rFonts w:hint="eastAsia" w:cs="Times New Roman"/>
                      <w:szCs w:val="21"/>
                      <w:lang w:val="en-US" w:eastAsia="zh-CN"/>
                    </w:rPr>
                    <w:t>0.00476</w:t>
                  </w:r>
                </w:p>
              </w:tc>
              <w:tc>
                <w:tcPr>
                  <w:tcW w:w="2096" w:type="dxa"/>
                  <w:tcBorders>
                    <w:top w:val="nil"/>
                    <w:left w:val="single" w:color="auto" w:sz="4" w:space="0"/>
                    <w:bottom w:val="single" w:color="auto" w:sz="4" w:space="0"/>
                    <w:right w:val="single" w:color="auto" w:sz="4" w:space="0"/>
                  </w:tcBorders>
                  <w:noWrap w:val="0"/>
                  <w:vAlign w:val="center"/>
                </w:tcPr>
                <w:p w14:paraId="190B87CF">
                  <w:pPr>
                    <w:jc w:val="center"/>
                    <w:rPr>
                      <w:rFonts w:hint="default" w:ascii="Times New Roman" w:hAnsi="Times New Roman" w:eastAsia="宋体" w:cs="Times New Roman"/>
                      <w:szCs w:val="21"/>
                      <w:lang w:val="en-US" w:eastAsia="zh-CN"/>
                    </w:rPr>
                  </w:pPr>
                  <w:r>
                    <w:rPr>
                      <w:rFonts w:hint="eastAsia" w:cs="Times New Roman"/>
                      <w:szCs w:val="21"/>
                      <w:lang w:val="en-US" w:eastAsia="zh-CN"/>
                    </w:rPr>
                    <w:t>851</w:t>
                  </w:r>
                </w:p>
              </w:tc>
            </w:tr>
            <w:tr w14:paraId="376FAE73">
              <w:tblPrEx>
                <w:tblCellMar>
                  <w:top w:w="0" w:type="dxa"/>
                  <w:left w:w="108" w:type="dxa"/>
                  <w:bottom w:w="0" w:type="dxa"/>
                  <w:right w:w="108" w:type="dxa"/>
                </w:tblCellMar>
              </w:tblPrEx>
              <w:trPr>
                <w:trHeight w:val="433" w:hRule="atLeast"/>
                <w:jc w:val="center"/>
              </w:trPr>
              <w:tc>
                <w:tcPr>
                  <w:tcW w:w="1328" w:type="dxa"/>
                  <w:vMerge w:val="continue"/>
                  <w:tcBorders>
                    <w:left w:val="single" w:color="auto" w:sz="4" w:space="0"/>
                    <w:right w:val="single" w:color="auto" w:sz="4" w:space="0"/>
                  </w:tcBorders>
                  <w:noWrap w:val="0"/>
                  <w:vAlign w:val="center"/>
                </w:tcPr>
                <w:p w14:paraId="2F03B25D">
                  <w:pPr>
                    <w:jc w:val="center"/>
                    <w:rPr>
                      <w:rFonts w:hint="eastAsia"/>
                      <w:szCs w:val="21"/>
                      <w:lang w:val="en-US" w:eastAsia="zh-CN"/>
                    </w:rPr>
                  </w:pPr>
                </w:p>
              </w:tc>
              <w:tc>
                <w:tcPr>
                  <w:tcW w:w="2757" w:type="dxa"/>
                  <w:tcBorders>
                    <w:top w:val="single" w:color="auto" w:sz="4" w:space="0"/>
                    <w:left w:val="single" w:color="auto" w:sz="2" w:space="0"/>
                    <w:right w:val="single" w:color="auto" w:sz="4" w:space="0"/>
                  </w:tcBorders>
                  <w:noWrap w:val="0"/>
                  <w:vAlign w:val="center"/>
                </w:tcPr>
                <w:p w14:paraId="79787E5A">
                  <w:pPr>
                    <w:jc w:val="center"/>
                    <w:rPr>
                      <w:rFonts w:hint="eastAsia"/>
                      <w:szCs w:val="21"/>
                      <w:lang w:val="en-US" w:eastAsia="zh-CN"/>
                    </w:rPr>
                  </w:pPr>
                  <w:r>
                    <w:rPr>
                      <w:rFonts w:hint="eastAsia"/>
                      <w:szCs w:val="21"/>
                      <w:lang w:val="en-US" w:eastAsia="zh-CN"/>
                    </w:rPr>
                    <w:t>1-2-3</w:t>
                  </w:r>
                </w:p>
              </w:tc>
              <w:tc>
                <w:tcPr>
                  <w:tcW w:w="1371" w:type="dxa"/>
                  <w:tcBorders>
                    <w:top w:val="nil"/>
                    <w:left w:val="single" w:color="auto" w:sz="4" w:space="0"/>
                    <w:bottom w:val="single" w:color="auto" w:sz="4" w:space="0"/>
                    <w:right w:val="single" w:color="auto" w:sz="4" w:space="0"/>
                  </w:tcBorders>
                  <w:noWrap w:val="0"/>
                  <w:vAlign w:val="center"/>
                </w:tcPr>
                <w:p w14:paraId="2EA583BD">
                  <w:pPr>
                    <w:jc w:val="center"/>
                    <w:rPr>
                      <w:rFonts w:hint="eastAsia" w:ascii="Times New Roman" w:hAnsi="Times New Roman" w:eastAsia="宋体" w:cs="Times New Roman"/>
                      <w:szCs w:val="21"/>
                      <w:lang w:val="en-US" w:eastAsia="zh-CN"/>
                    </w:rPr>
                  </w:pPr>
                  <w:r>
                    <w:rPr>
                      <w:rFonts w:hint="eastAsia" w:cs="Times New Roman"/>
                      <w:szCs w:val="21"/>
                      <w:lang w:val="en-US" w:eastAsia="zh-CN"/>
                    </w:rPr>
                    <w:t>1.06</w:t>
                  </w:r>
                  <w:r>
                    <w:rPr>
                      <w:rFonts w:hint="default" w:ascii="Times New Roman" w:hAnsi="Times New Roman" w:eastAsia="宋体" w:cs="Times New Roman"/>
                      <w:szCs w:val="21"/>
                      <w:lang w:val="en-US" w:eastAsia="zh-CN"/>
                    </w:rPr>
                    <w:t>×</w:t>
                  </w:r>
                  <w:r>
                    <w:rPr>
                      <w:rFonts w:hint="eastAsia" w:ascii="Times New Roman" w:hAnsi="Times New Roman" w:eastAsia="宋体" w:cs="Times New Roman"/>
                      <w:szCs w:val="21"/>
                      <w:lang w:val="en-US" w:eastAsia="zh-CN"/>
                    </w:rPr>
                    <w:t>10</w:t>
                  </w:r>
                  <w:r>
                    <w:rPr>
                      <w:rFonts w:hint="eastAsia" w:ascii="Times New Roman" w:hAnsi="Times New Roman" w:eastAsia="宋体" w:cs="Times New Roman"/>
                      <w:szCs w:val="21"/>
                      <w:vertAlign w:val="superscript"/>
                      <w:lang w:val="en-US" w:eastAsia="zh-CN"/>
                    </w:rPr>
                    <w:t>-3</w:t>
                  </w:r>
                </w:p>
              </w:tc>
              <w:tc>
                <w:tcPr>
                  <w:tcW w:w="1702" w:type="dxa"/>
                  <w:tcBorders>
                    <w:top w:val="nil"/>
                    <w:left w:val="single" w:color="auto" w:sz="4" w:space="0"/>
                    <w:bottom w:val="single" w:color="auto" w:sz="4" w:space="0"/>
                    <w:right w:val="single" w:color="auto" w:sz="4" w:space="0"/>
                  </w:tcBorders>
                  <w:noWrap w:val="0"/>
                  <w:vAlign w:val="center"/>
                </w:tcPr>
                <w:p w14:paraId="55A7F85B">
                  <w:pPr>
                    <w:jc w:val="center"/>
                    <w:rPr>
                      <w:rFonts w:hint="default" w:ascii="Times New Roman" w:hAnsi="Times New Roman" w:eastAsia="宋体" w:cs="Times New Roman"/>
                      <w:szCs w:val="21"/>
                      <w:lang w:val="en-US" w:eastAsia="zh-CN"/>
                    </w:rPr>
                  </w:pPr>
                  <w:r>
                    <w:rPr>
                      <w:rFonts w:hint="eastAsia" w:cs="Times New Roman"/>
                      <w:szCs w:val="21"/>
                      <w:lang w:val="en-US" w:eastAsia="zh-CN"/>
                    </w:rPr>
                    <w:t>0.00744</w:t>
                  </w:r>
                </w:p>
              </w:tc>
              <w:tc>
                <w:tcPr>
                  <w:tcW w:w="2096" w:type="dxa"/>
                  <w:tcBorders>
                    <w:top w:val="nil"/>
                    <w:left w:val="single" w:color="auto" w:sz="4" w:space="0"/>
                    <w:bottom w:val="single" w:color="auto" w:sz="4" w:space="0"/>
                    <w:right w:val="single" w:color="auto" w:sz="4" w:space="0"/>
                  </w:tcBorders>
                  <w:noWrap w:val="0"/>
                  <w:vAlign w:val="center"/>
                </w:tcPr>
                <w:p w14:paraId="0DECB582">
                  <w:pPr>
                    <w:jc w:val="center"/>
                    <w:rPr>
                      <w:rFonts w:hint="default" w:ascii="Times New Roman" w:hAnsi="Times New Roman" w:eastAsia="宋体" w:cs="Times New Roman"/>
                      <w:szCs w:val="21"/>
                      <w:lang w:val="en-US" w:eastAsia="zh-CN"/>
                    </w:rPr>
                  </w:pPr>
                  <w:r>
                    <w:rPr>
                      <w:rFonts w:hint="eastAsia" w:cs="Times New Roman"/>
                      <w:szCs w:val="21"/>
                      <w:lang w:val="en-US" w:eastAsia="zh-CN"/>
                    </w:rPr>
                    <w:t>724</w:t>
                  </w:r>
                </w:p>
              </w:tc>
            </w:tr>
            <w:tr w14:paraId="31649C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328" w:type="dxa"/>
                  <w:vMerge w:val="restart"/>
                  <w:tcBorders>
                    <w:left w:val="single" w:color="auto" w:sz="4" w:space="0"/>
                    <w:right w:val="single" w:color="auto" w:sz="4" w:space="0"/>
                  </w:tcBorders>
                  <w:noWrap w:val="0"/>
                  <w:vAlign w:val="center"/>
                </w:tcPr>
                <w:p w14:paraId="4AB64614">
                  <w:pPr>
                    <w:jc w:val="center"/>
                    <w:rPr>
                      <w:rFonts w:hint="eastAsia"/>
                      <w:szCs w:val="21"/>
                      <w:lang w:val="en-US" w:eastAsia="zh-CN"/>
                    </w:rPr>
                  </w:pPr>
                  <w:r>
                    <w:rPr>
                      <w:rFonts w:hint="eastAsia"/>
                      <w:szCs w:val="21"/>
                      <w:lang w:val="en-US" w:eastAsia="zh-CN"/>
                    </w:rPr>
                    <w:t>废气排放口DA002</w:t>
                  </w:r>
                </w:p>
              </w:tc>
              <w:tc>
                <w:tcPr>
                  <w:tcW w:w="2757" w:type="dxa"/>
                  <w:tcBorders>
                    <w:top w:val="single" w:color="auto" w:sz="4" w:space="0"/>
                    <w:left w:val="single" w:color="auto" w:sz="2" w:space="0"/>
                    <w:right w:val="single" w:color="auto" w:sz="4" w:space="0"/>
                  </w:tcBorders>
                  <w:noWrap w:val="0"/>
                  <w:vAlign w:val="center"/>
                </w:tcPr>
                <w:p w14:paraId="3354D724">
                  <w:pPr>
                    <w:jc w:val="center"/>
                    <w:rPr>
                      <w:rFonts w:hint="eastAsia"/>
                      <w:szCs w:val="21"/>
                      <w:lang w:val="en-US" w:eastAsia="zh-CN"/>
                    </w:rPr>
                  </w:pPr>
                  <w:r>
                    <w:rPr>
                      <w:rFonts w:hint="eastAsia"/>
                      <w:szCs w:val="21"/>
                      <w:lang w:val="en-US" w:eastAsia="zh-CN"/>
                    </w:rPr>
                    <w:t>2-2-1</w:t>
                  </w:r>
                </w:p>
              </w:tc>
              <w:tc>
                <w:tcPr>
                  <w:tcW w:w="1371" w:type="dxa"/>
                  <w:tcBorders>
                    <w:top w:val="nil"/>
                    <w:left w:val="single" w:color="auto" w:sz="4" w:space="0"/>
                    <w:bottom w:val="single" w:color="auto" w:sz="4" w:space="0"/>
                    <w:right w:val="single" w:color="auto" w:sz="4" w:space="0"/>
                  </w:tcBorders>
                  <w:noWrap w:val="0"/>
                  <w:vAlign w:val="center"/>
                </w:tcPr>
                <w:p w14:paraId="4782B5AE">
                  <w:pPr>
                    <w:jc w:val="center"/>
                    <w:rPr>
                      <w:rFonts w:hint="eastAsia" w:cs="Times New Roman"/>
                      <w:szCs w:val="21"/>
                      <w:lang w:val="en-US" w:eastAsia="zh-CN"/>
                    </w:rPr>
                  </w:pPr>
                  <w:r>
                    <w:rPr>
                      <w:rFonts w:hint="eastAsia" w:cs="Times New Roman"/>
                      <w:szCs w:val="21"/>
                      <w:lang w:val="en-US" w:eastAsia="zh-CN"/>
                    </w:rPr>
                    <w:t>1.12</w:t>
                  </w:r>
                  <w:r>
                    <w:rPr>
                      <w:rFonts w:hint="default" w:ascii="Times New Roman" w:hAnsi="Times New Roman" w:eastAsia="宋体" w:cs="Times New Roman"/>
                      <w:szCs w:val="21"/>
                      <w:lang w:val="en-US" w:eastAsia="zh-CN"/>
                    </w:rPr>
                    <w:t>×</w:t>
                  </w:r>
                  <w:r>
                    <w:rPr>
                      <w:rFonts w:hint="eastAsia" w:ascii="Times New Roman" w:hAnsi="Times New Roman" w:eastAsia="宋体" w:cs="Times New Roman"/>
                      <w:szCs w:val="21"/>
                      <w:lang w:val="en-US" w:eastAsia="zh-CN"/>
                    </w:rPr>
                    <w:t>10</w:t>
                  </w:r>
                  <w:r>
                    <w:rPr>
                      <w:rFonts w:hint="eastAsia" w:ascii="Times New Roman" w:hAnsi="Times New Roman" w:eastAsia="宋体" w:cs="Times New Roman"/>
                      <w:szCs w:val="21"/>
                      <w:vertAlign w:val="superscript"/>
                      <w:lang w:val="en-US" w:eastAsia="zh-CN"/>
                    </w:rPr>
                    <w:t>-3</w:t>
                  </w:r>
                </w:p>
              </w:tc>
              <w:tc>
                <w:tcPr>
                  <w:tcW w:w="1702" w:type="dxa"/>
                  <w:tcBorders>
                    <w:top w:val="nil"/>
                    <w:left w:val="single" w:color="auto" w:sz="4" w:space="0"/>
                    <w:bottom w:val="single" w:color="auto" w:sz="4" w:space="0"/>
                    <w:right w:val="single" w:color="auto" w:sz="4" w:space="0"/>
                  </w:tcBorders>
                  <w:noWrap w:val="0"/>
                  <w:vAlign w:val="center"/>
                </w:tcPr>
                <w:p w14:paraId="5B460E33">
                  <w:pPr>
                    <w:jc w:val="center"/>
                    <w:rPr>
                      <w:rFonts w:hint="default" w:ascii="Times New Roman" w:hAnsi="Times New Roman" w:eastAsia="宋体" w:cs="Times New Roman"/>
                      <w:szCs w:val="21"/>
                      <w:lang w:val="en-US" w:eastAsia="zh-CN"/>
                    </w:rPr>
                  </w:pPr>
                  <w:r>
                    <w:rPr>
                      <w:rFonts w:hint="eastAsia" w:cs="Times New Roman"/>
                      <w:szCs w:val="21"/>
                      <w:lang w:val="en-US" w:eastAsia="zh-CN"/>
                    </w:rPr>
                    <w:t>0.00049</w:t>
                  </w:r>
                </w:p>
              </w:tc>
              <w:tc>
                <w:tcPr>
                  <w:tcW w:w="2096" w:type="dxa"/>
                  <w:tcBorders>
                    <w:top w:val="nil"/>
                    <w:left w:val="single" w:color="auto" w:sz="4" w:space="0"/>
                    <w:bottom w:val="single" w:color="auto" w:sz="4" w:space="0"/>
                    <w:right w:val="single" w:color="auto" w:sz="4" w:space="0"/>
                  </w:tcBorders>
                  <w:noWrap w:val="0"/>
                  <w:vAlign w:val="center"/>
                </w:tcPr>
                <w:p w14:paraId="4788AA64">
                  <w:pPr>
                    <w:jc w:val="center"/>
                    <w:rPr>
                      <w:rFonts w:hint="default" w:cs="Times New Roman"/>
                      <w:szCs w:val="21"/>
                      <w:lang w:val="en-US" w:eastAsia="zh-CN"/>
                    </w:rPr>
                  </w:pPr>
                  <w:r>
                    <w:rPr>
                      <w:rFonts w:hint="eastAsia" w:cs="Times New Roman"/>
                      <w:szCs w:val="21"/>
                      <w:lang w:val="en-US" w:eastAsia="zh-CN"/>
                    </w:rPr>
                    <w:t>851</w:t>
                  </w:r>
                </w:p>
              </w:tc>
            </w:tr>
            <w:tr w14:paraId="1797AF5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328" w:type="dxa"/>
                  <w:vMerge w:val="continue"/>
                  <w:tcBorders>
                    <w:left w:val="single" w:color="auto" w:sz="4" w:space="0"/>
                    <w:right w:val="single" w:color="auto" w:sz="4" w:space="0"/>
                  </w:tcBorders>
                  <w:noWrap w:val="0"/>
                  <w:vAlign w:val="center"/>
                </w:tcPr>
                <w:p w14:paraId="3B516EFA">
                  <w:pPr>
                    <w:jc w:val="center"/>
                    <w:rPr>
                      <w:rFonts w:hint="eastAsia"/>
                      <w:szCs w:val="21"/>
                      <w:lang w:val="en-US" w:eastAsia="zh-CN"/>
                    </w:rPr>
                  </w:pPr>
                </w:p>
              </w:tc>
              <w:tc>
                <w:tcPr>
                  <w:tcW w:w="2757" w:type="dxa"/>
                  <w:tcBorders>
                    <w:top w:val="single" w:color="auto" w:sz="4" w:space="0"/>
                    <w:left w:val="single" w:color="auto" w:sz="2" w:space="0"/>
                    <w:right w:val="single" w:color="auto" w:sz="4" w:space="0"/>
                  </w:tcBorders>
                  <w:noWrap w:val="0"/>
                  <w:vAlign w:val="center"/>
                </w:tcPr>
                <w:p w14:paraId="768B285A">
                  <w:pPr>
                    <w:jc w:val="center"/>
                    <w:rPr>
                      <w:rFonts w:hint="eastAsia"/>
                      <w:szCs w:val="21"/>
                      <w:lang w:val="en-US" w:eastAsia="zh-CN"/>
                    </w:rPr>
                  </w:pPr>
                  <w:r>
                    <w:rPr>
                      <w:rFonts w:hint="eastAsia"/>
                      <w:szCs w:val="21"/>
                      <w:lang w:val="en-US" w:eastAsia="zh-CN"/>
                    </w:rPr>
                    <w:t>2-2-2</w:t>
                  </w:r>
                </w:p>
              </w:tc>
              <w:tc>
                <w:tcPr>
                  <w:tcW w:w="1371" w:type="dxa"/>
                  <w:tcBorders>
                    <w:top w:val="nil"/>
                    <w:left w:val="single" w:color="auto" w:sz="4" w:space="0"/>
                    <w:bottom w:val="single" w:color="auto" w:sz="4" w:space="0"/>
                    <w:right w:val="single" w:color="auto" w:sz="4" w:space="0"/>
                  </w:tcBorders>
                  <w:noWrap w:val="0"/>
                  <w:vAlign w:val="center"/>
                </w:tcPr>
                <w:p w14:paraId="09C1095D">
                  <w:pPr>
                    <w:jc w:val="center"/>
                    <w:rPr>
                      <w:rFonts w:hint="eastAsia" w:cs="Times New Roman"/>
                      <w:szCs w:val="21"/>
                      <w:lang w:val="en-US" w:eastAsia="zh-CN"/>
                    </w:rPr>
                  </w:pPr>
                  <w:r>
                    <w:rPr>
                      <w:rFonts w:hint="eastAsia" w:cs="Times New Roman"/>
                      <w:szCs w:val="21"/>
                      <w:lang w:val="en-US" w:eastAsia="zh-CN"/>
                    </w:rPr>
                    <w:t>0.69</w:t>
                  </w:r>
                  <w:r>
                    <w:rPr>
                      <w:rFonts w:hint="default" w:ascii="Times New Roman" w:hAnsi="Times New Roman" w:eastAsia="宋体" w:cs="Times New Roman"/>
                      <w:szCs w:val="21"/>
                      <w:lang w:val="en-US" w:eastAsia="zh-CN"/>
                    </w:rPr>
                    <w:t>×</w:t>
                  </w:r>
                  <w:r>
                    <w:rPr>
                      <w:rFonts w:hint="eastAsia" w:ascii="Times New Roman" w:hAnsi="Times New Roman" w:eastAsia="宋体" w:cs="Times New Roman"/>
                      <w:szCs w:val="21"/>
                      <w:lang w:val="en-US" w:eastAsia="zh-CN"/>
                    </w:rPr>
                    <w:t>10</w:t>
                  </w:r>
                  <w:r>
                    <w:rPr>
                      <w:rFonts w:hint="eastAsia" w:ascii="Times New Roman" w:hAnsi="Times New Roman" w:eastAsia="宋体" w:cs="Times New Roman"/>
                      <w:szCs w:val="21"/>
                      <w:vertAlign w:val="superscript"/>
                      <w:lang w:val="en-US" w:eastAsia="zh-CN"/>
                    </w:rPr>
                    <w:t>-3</w:t>
                  </w:r>
                </w:p>
              </w:tc>
              <w:tc>
                <w:tcPr>
                  <w:tcW w:w="1702" w:type="dxa"/>
                  <w:tcBorders>
                    <w:top w:val="nil"/>
                    <w:left w:val="single" w:color="auto" w:sz="4" w:space="0"/>
                    <w:bottom w:val="single" w:color="auto" w:sz="4" w:space="0"/>
                    <w:right w:val="single" w:color="auto" w:sz="4" w:space="0"/>
                  </w:tcBorders>
                  <w:noWrap w:val="0"/>
                  <w:vAlign w:val="center"/>
                </w:tcPr>
                <w:p w14:paraId="57D04D20">
                  <w:pPr>
                    <w:jc w:val="center"/>
                    <w:rPr>
                      <w:rFonts w:hint="default" w:ascii="Times New Roman" w:hAnsi="Times New Roman" w:eastAsia="宋体" w:cs="Times New Roman"/>
                      <w:szCs w:val="21"/>
                      <w:lang w:val="en-US" w:eastAsia="zh-CN"/>
                    </w:rPr>
                  </w:pPr>
                  <w:r>
                    <w:rPr>
                      <w:rFonts w:hint="eastAsia" w:cs="Times New Roman"/>
                      <w:szCs w:val="21"/>
                      <w:lang w:val="en-US" w:eastAsia="zh-CN"/>
                    </w:rPr>
                    <w:t>0.00330</w:t>
                  </w:r>
                </w:p>
              </w:tc>
              <w:tc>
                <w:tcPr>
                  <w:tcW w:w="2096" w:type="dxa"/>
                  <w:tcBorders>
                    <w:top w:val="nil"/>
                    <w:left w:val="single" w:color="auto" w:sz="4" w:space="0"/>
                    <w:bottom w:val="single" w:color="auto" w:sz="4" w:space="0"/>
                    <w:right w:val="single" w:color="auto" w:sz="4" w:space="0"/>
                  </w:tcBorders>
                  <w:noWrap w:val="0"/>
                  <w:vAlign w:val="center"/>
                </w:tcPr>
                <w:p w14:paraId="34041350">
                  <w:pPr>
                    <w:jc w:val="center"/>
                    <w:rPr>
                      <w:rFonts w:hint="default" w:cs="Times New Roman"/>
                      <w:szCs w:val="21"/>
                      <w:lang w:val="en-US" w:eastAsia="zh-CN"/>
                    </w:rPr>
                  </w:pPr>
                  <w:r>
                    <w:rPr>
                      <w:rFonts w:hint="eastAsia" w:cs="Times New Roman"/>
                      <w:szCs w:val="21"/>
                      <w:lang w:val="en-US" w:eastAsia="zh-CN"/>
                    </w:rPr>
                    <w:t>851</w:t>
                  </w:r>
                </w:p>
              </w:tc>
            </w:tr>
            <w:tr w14:paraId="1456326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1328" w:type="dxa"/>
                  <w:vMerge w:val="continue"/>
                  <w:tcBorders>
                    <w:left w:val="single" w:color="auto" w:sz="4" w:space="0"/>
                    <w:bottom w:val="single" w:color="auto" w:sz="4" w:space="0"/>
                    <w:right w:val="single" w:color="auto" w:sz="4" w:space="0"/>
                  </w:tcBorders>
                  <w:noWrap w:val="0"/>
                  <w:vAlign w:val="center"/>
                </w:tcPr>
                <w:p w14:paraId="57D52610">
                  <w:pPr>
                    <w:jc w:val="center"/>
                    <w:rPr>
                      <w:rFonts w:hint="eastAsia"/>
                      <w:szCs w:val="21"/>
                      <w:lang w:val="en-US" w:eastAsia="zh-CN"/>
                    </w:rPr>
                  </w:pPr>
                </w:p>
              </w:tc>
              <w:tc>
                <w:tcPr>
                  <w:tcW w:w="2757" w:type="dxa"/>
                  <w:tcBorders>
                    <w:top w:val="single" w:color="auto" w:sz="4" w:space="0"/>
                    <w:left w:val="single" w:color="auto" w:sz="2" w:space="0"/>
                    <w:bottom w:val="single" w:color="auto" w:sz="4" w:space="0"/>
                    <w:right w:val="single" w:color="auto" w:sz="4" w:space="0"/>
                  </w:tcBorders>
                  <w:noWrap w:val="0"/>
                  <w:vAlign w:val="center"/>
                </w:tcPr>
                <w:p w14:paraId="1BBD5F1F">
                  <w:pPr>
                    <w:jc w:val="center"/>
                    <w:rPr>
                      <w:rFonts w:hint="eastAsia"/>
                      <w:szCs w:val="21"/>
                      <w:lang w:val="en-US" w:eastAsia="zh-CN"/>
                    </w:rPr>
                  </w:pPr>
                  <w:r>
                    <w:rPr>
                      <w:rFonts w:hint="eastAsia"/>
                      <w:szCs w:val="21"/>
                      <w:lang w:val="en-US" w:eastAsia="zh-CN"/>
                    </w:rPr>
                    <w:t>2-2-3</w:t>
                  </w:r>
                </w:p>
              </w:tc>
              <w:tc>
                <w:tcPr>
                  <w:tcW w:w="1371" w:type="dxa"/>
                  <w:tcBorders>
                    <w:top w:val="nil"/>
                    <w:left w:val="single" w:color="auto" w:sz="4" w:space="0"/>
                    <w:bottom w:val="single" w:color="auto" w:sz="4" w:space="0"/>
                    <w:right w:val="single" w:color="auto" w:sz="4" w:space="0"/>
                  </w:tcBorders>
                  <w:noWrap w:val="0"/>
                  <w:vAlign w:val="center"/>
                </w:tcPr>
                <w:p w14:paraId="7DA6A7AF">
                  <w:pPr>
                    <w:jc w:val="center"/>
                    <w:rPr>
                      <w:rFonts w:hint="eastAsia" w:cs="Times New Roman"/>
                      <w:szCs w:val="21"/>
                      <w:lang w:val="en-US" w:eastAsia="zh-CN"/>
                    </w:rPr>
                  </w:pPr>
                  <w:r>
                    <w:rPr>
                      <w:rFonts w:hint="eastAsia" w:cs="Times New Roman"/>
                      <w:szCs w:val="21"/>
                      <w:lang w:val="en-US" w:eastAsia="zh-CN"/>
                    </w:rPr>
                    <w:t>0.88</w:t>
                  </w:r>
                  <w:r>
                    <w:rPr>
                      <w:rFonts w:hint="default" w:ascii="Times New Roman" w:hAnsi="Times New Roman" w:eastAsia="宋体" w:cs="Times New Roman"/>
                      <w:szCs w:val="21"/>
                      <w:lang w:val="en-US" w:eastAsia="zh-CN"/>
                    </w:rPr>
                    <w:t>×</w:t>
                  </w:r>
                  <w:r>
                    <w:rPr>
                      <w:rFonts w:hint="eastAsia" w:ascii="Times New Roman" w:hAnsi="Times New Roman" w:eastAsia="宋体" w:cs="Times New Roman"/>
                      <w:szCs w:val="21"/>
                      <w:lang w:val="en-US" w:eastAsia="zh-CN"/>
                    </w:rPr>
                    <w:t>10</w:t>
                  </w:r>
                  <w:r>
                    <w:rPr>
                      <w:rFonts w:hint="eastAsia" w:ascii="Times New Roman" w:hAnsi="Times New Roman" w:eastAsia="宋体" w:cs="Times New Roman"/>
                      <w:szCs w:val="21"/>
                      <w:vertAlign w:val="superscript"/>
                      <w:lang w:val="en-US" w:eastAsia="zh-CN"/>
                    </w:rPr>
                    <w:t>-3</w:t>
                  </w:r>
                </w:p>
              </w:tc>
              <w:tc>
                <w:tcPr>
                  <w:tcW w:w="1702" w:type="dxa"/>
                  <w:tcBorders>
                    <w:top w:val="nil"/>
                    <w:left w:val="single" w:color="auto" w:sz="4" w:space="0"/>
                    <w:bottom w:val="single" w:color="auto" w:sz="4" w:space="0"/>
                    <w:right w:val="single" w:color="auto" w:sz="4" w:space="0"/>
                  </w:tcBorders>
                  <w:noWrap w:val="0"/>
                  <w:vAlign w:val="center"/>
                </w:tcPr>
                <w:p w14:paraId="312F6154">
                  <w:pPr>
                    <w:jc w:val="center"/>
                    <w:rPr>
                      <w:rFonts w:hint="default" w:ascii="Times New Roman" w:hAnsi="Times New Roman" w:eastAsia="宋体" w:cs="Times New Roman"/>
                      <w:szCs w:val="21"/>
                      <w:lang w:val="en-US" w:eastAsia="zh-CN"/>
                    </w:rPr>
                  </w:pPr>
                  <w:r>
                    <w:rPr>
                      <w:rFonts w:hint="eastAsia" w:cs="Times New Roman"/>
                      <w:szCs w:val="21"/>
                      <w:lang w:val="en-US" w:eastAsia="zh-CN"/>
                    </w:rPr>
                    <w:t>0.00484</w:t>
                  </w:r>
                </w:p>
              </w:tc>
              <w:tc>
                <w:tcPr>
                  <w:tcW w:w="2096" w:type="dxa"/>
                  <w:tcBorders>
                    <w:top w:val="nil"/>
                    <w:left w:val="single" w:color="auto" w:sz="4" w:space="0"/>
                    <w:bottom w:val="single" w:color="auto" w:sz="4" w:space="0"/>
                    <w:right w:val="single" w:color="auto" w:sz="4" w:space="0"/>
                  </w:tcBorders>
                  <w:noWrap w:val="0"/>
                  <w:vAlign w:val="center"/>
                </w:tcPr>
                <w:p w14:paraId="32AB4924">
                  <w:pPr>
                    <w:jc w:val="center"/>
                    <w:rPr>
                      <w:rFonts w:hint="default" w:cs="Times New Roman"/>
                      <w:szCs w:val="21"/>
                      <w:lang w:val="en-US" w:eastAsia="zh-CN"/>
                    </w:rPr>
                  </w:pPr>
                  <w:r>
                    <w:rPr>
                      <w:rFonts w:hint="eastAsia" w:cs="Times New Roman"/>
                      <w:szCs w:val="21"/>
                      <w:lang w:val="en-US" w:eastAsia="zh-CN"/>
                    </w:rPr>
                    <w:t>724</w:t>
                  </w:r>
                </w:p>
              </w:tc>
            </w:tr>
            <w:tr w14:paraId="50BEFB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4085" w:type="dxa"/>
                  <w:gridSpan w:val="2"/>
                  <w:tcBorders>
                    <w:top w:val="single" w:color="auto" w:sz="4" w:space="0"/>
                    <w:left w:val="single" w:color="auto" w:sz="4" w:space="0"/>
                    <w:bottom w:val="single" w:color="auto" w:sz="4" w:space="0"/>
                    <w:right w:val="single" w:color="auto" w:sz="4" w:space="0"/>
                  </w:tcBorders>
                  <w:noWrap w:val="0"/>
                  <w:vAlign w:val="center"/>
                </w:tcPr>
                <w:p w14:paraId="28A8527C">
                  <w:pPr>
                    <w:keepNext w:val="0"/>
                    <w:keepLines w:val="0"/>
                    <w:pageBreakBefore w:val="0"/>
                    <w:widowControl/>
                    <w:kinsoku/>
                    <w:wordWrap/>
                    <w:overflowPunct/>
                    <w:topLinePunct w:val="0"/>
                    <w:autoSpaceDE/>
                    <w:autoSpaceDN/>
                    <w:bidi w:val="0"/>
                    <w:adjustRightInd/>
                    <w:snapToGrid/>
                    <w:ind w:firstLine="211" w:firstLineChars="100"/>
                    <w:jc w:val="center"/>
                    <w:textAlignment w:val="auto"/>
                    <w:rPr>
                      <w:rFonts w:hint="eastAsia"/>
                      <w:szCs w:val="21"/>
                      <w:lang w:val="en-US" w:eastAsia="zh-CN"/>
                    </w:rPr>
                  </w:pPr>
                  <w:r>
                    <w:rPr>
                      <w:rFonts w:hint="default" w:ascii="Times New Roman" w:hAnsi="Times New Roman" w:cs="Times New Roman"/>
                      <w:b/>
                      <w:bCs/>
                      <w:color w:val="auto"/>
                      <w:sz w:val="21"/>
                      <w:szCs w:val="21"/>
                      <w:highlight w:val="none"/>
                      <w:lang w:eastAsia="zh-CN"/>
                    </w:rPr>
                    <w:t>最大值</w:t>
                  </w:r>
                </w:p>
              </w:tc>
              <w:tc>
                <w:tcPr>
                  <w:tcW w:w="1371" w:type="dxa"/>
                  <w:tcBorders>
                    <w:top w:val="single" w:color="auto" w:sz="4" w:space="0"/>
                    <w:left w:val="single" w:color="auto" w:sz="4" w:space="0"/>
                    <w:bottom w:val="single" w:color="auto" w:sz="4" w:space="0"/>
                    <w:right w:val="single" w:color="auto" w:sz="4" w:space="0"/>
                  </w:tcBorders>
                  <w:noWrap w:val="0"/>
                  <w:vAlign w:val="center"/>
                </w:tcPr>
                <w:p w14:paraId="4C9E9DB7">
                  <w:pPr>
                    <w:keepNext w:val="0"/>
                    <w:keepLines w:val="0"/>
                    <w:pageBreakBefore w:val="0"/>
                    <w:kinsoku/>
                    <w:wordWrap/>
                    <w:overflowPunct/>
                    <w:topLinePunct w:val="0"/>
                    <w:autoSpaceDE/>
                    <w:autoSpaceDN/>
                    <w:bidi w:val="0"/>
                    <w:adjustRightInd/>
                    <w:snapToGrid/>
                    <w:spacing w:line="260" w:lineRule="exact"/>
                    <w:ind w:firstLine="0" w:firstLineChars="0"/>
                    <w:jc w:val="center"/>
                    <w:textAlignment w:val="auto"/>
                    <w:rPr>
                      <w:rFonts w:hint="eastAsia" w:cs="Times New Roman"/>
                      <w:szCs w:val="21"/>
                      <w:lang w:val="en-US" w:eastAsia="zh-CN"/>
                    </w:rPr>
                  </w:pPr>
                  <w:r>
                    <w:rPr>
                      <w:rFonts w:hint="eastAsia" w:cs="Times New Roman"/>
                      <w:szCs w:val="21"/>
                      <w:lang w:val="en-US" w:eastAsia="zh-CN"/>
                    </w:rPr>
                    <w:t>1.40</w:t>
                  </w:r>
                  <w:r>
                    <w:rPr>
                      <w:rFonts w:hint="default" w:ascii="Times New Roman" w:hAnsi="Times New Roman" w:eastAsia="宋体" w:cs="Times New Roman"/>
                      <w:szCs w:val="21"/>
                      <w:lang w:val="en-US" w:eastAsia="zh-CN"/>
                    </w:rPr>
                    <w:t>×</w:t>
                  </w:r>
                  <w:r>
                    <w:rPr>
                      <w:rFonts w:hint="eastAsia" w:ascii="Times New Roman" w:hAnsi="Times New Roman" w:eastAsia="宋体" w:cs="Times New Roman"/>
                      <w:szCs w:val="21"/>
                      <w:lang w:val="en-US" w:eastAsia="zh-CN"/>
                    </w:rPr>
                    <w:t>10</w:t>
                  </w:r>
                  <w:r>
                    <w:rPr>
                      <w:rFonts w:hint="eastAsia" w:ascii="Times New Roman" w:hAnsi="Times New Roman" w:eastAsia="宋体" w:cs="Times New Roman"/>
                      <w:szCs w:val="21"/>
                      <w:vertAlign w:val="superscript"/>
                      <w:lang w:val="en-US" w:eastAsia="zh-CN"/>
                    </w:rPr>
                    <w:t>-3</w:t>
                  </w:r>
                </w:p>
              </w:tc>
              <w:tc>
                <w:tcPr>
                  <w:tcW w:w="1702" w:type="dxa"/>
                  <w:tcBorders>
                    <w:top w:val="single" w:color="auto" w:sz="4" w:space="0"/>
                    <w:left w:val="single" w:color="auto" w:sz="4" w:space="0"/>
                    <w:bottom w:val="single" w:color="auto" w:sz="4" w:space="0"/>
                    <w:right w:val="single" w:color="auto" w:sz="4" w:space="0"/>
                  </w:tcBorders>
                  <w:noWrap w:val="0"/>
                  <w:vAlign w:val="center"/>
                </w:tcPr>
                <w:p w14:paraId="76BC579D">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hint="eastAsia" w:cs="Times New Roman"/>
                      <w:szCs w:val="21"/>
                      <w:lang w:val="en-US" w:eastAsia="zh-CN"/>
                    </w:rPr>
                  </w:pPr>
                  <w:r>
                    <w:rPr>
                      <w:rFonts w:hint="eastAsia" w:cs="Times New Roman"/>
                      <w:szCs w:val="21"/>
                      <w:lang w:val="en-US" w:eastAsia="zh-CN"/>
                    </w:rPr>
                    <w:t>0.00744</w:t>
                  </w:r>
                </w:p>
              </w:tc>
              <w:tc>
                <w:tcPr>
                  <w:tcW w:w="2096" w:type="dxa"/>
                  <w:tcBorders>
                    <w:top w:val="single" w:color="auto" w:sz="4" w:space="0"/>
                    <w:left w:val="single" w:color="auto" w:sz="4" w:space="0"/>
                    <w:bottom w:val="single" w:color="auto" w:sz="4" w:space="0"/>
                    <w:right w:val="single" w:color="auto" w:sz="4" w:space="0"/>
                  </w:tcBorders>
                  <w:noWrap w:val="0"/>
                  <w:vAlign w:val="center"/>
                </w:tcPr>
                <w:p w14:paraId="2C5BAC32">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hint="default" w:cs="Times New Roman"/>
                      <w:szCs w:val="21"/>
                      <w:lang w:val="en-US" w:eastAsia="zh-CN"/>
                    </w:rPr>
                  </w:pPr>
                  <w:r>
                    <w:rPr>
                      <w:rFonts w:hint="eastAsia" w:ascii="Times New Roman" w:hAnsi="Times New Roman" w:cs="Times New Roman"/>
                      <w:b/>
                      <w:bCs/>
                      <w:color w:val="auto"/>
                      <w:kern w:val="2"/>
                      <w:sz w:val="21"/>
                      <w:szCs w:val="21"/>
                      <w:highlight w:val="none"/>
                      <w:lang w:val="en-US" w:eastAsia="zh-CN" w:bidi="ar-SA"/>
                    </w:rPr>
                    <w:t>1122</w:t>
                  </w:r>
                </w:p>
              </w:tc>
            </w:tr>
            <w:tr w14:paraId="5DF0508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4085" w:type="dxa"/>
                  <w:gridSpan w:val="2"/>
                  <w:tcBorders>
                    <w:top w:val="single" w:color="auto" w:sz="4" w:space="0"/>
                    <w:left w:val="single" w:color="auto" w:sz="4" w:space="0"/>
                    <w:bottom w:val="single" w:color="auto" w:sz="4" w:space="0"/>
                    <w:right w:val="single" w:color="auto" w:sz="4" w:space="0"/>
                  </w:tcBorders>
                  <w:noWrap w:val="0"/>
                  <w:vAlign w:val="center"/>
                </w:tcPr>
                <w:p w14:paraId="6F6C698C">
                  <w:pPr>
                    <w:keepNext w:val="0"/>
                    <w:keepLines w:val="0"/>
                    <w:pageBreakBefore w:val="0"/>
                    <w:widowControl/>
                    <w:kinsoku/>
                    <w:wordWrap/>
                    <w:overflowPunct/>
                    <w:topLinePunct w:val="0"/>
                    <w:autoSpaceDE/>
                    <w:autoSpaceDN/>
                    <w:bidi w:val="0"/>
                    <w:adjustRightInd/>
                    <w:snapToGrid/>
                    <w:ind w:firstLine="211" w:firstLineChars="100"/>
                    <w:jc w:val="center"/>
                    <w:textAlignment w:val="auto"/>
                    <w:rPr>
                      <w:rFonts w:hint="eastAsia"/>
                      <w:szCs w:val="21"/>
                      <w:lang w:val="en-US" w:eastAsia="zh-CN"/>
                    </w:rPr>
                  </w:pPr>
                  <w:r>
                    <w:rPr>
                      <w:rFonts w:hint="eastAsia" w:ascii="Times New Roman" w:hAnsi="Times New Roman" w:cs="Times New Roman"/>
                      <w:b/>
                      <w:bCs/>
                      <w:color w:val="auto"/>
                      <w:sz w:val="21"/>
                      <w:szCs w:val="21"/>
                      <w:highlight w:val="none"/>
                      <w:lang w:val="en-US" w:eastAsia="zh-CN"/>
                    </w:rPr>
                    <w:t>（GB14554-93)表2</w:t>
                  </w:r>
                  <w:r>
                    <w:rPr>
                      <w:rFonts w:hint="default" w:ascii="Times New Roman" w:hAnsi="Times New Roman" w:cs="Times New Roman"/>
                      <w:b/>
                      <w:bCs/>
                      <w:color w:val="auto"/>
                      <w:sz w:val="21"/>
                      <w:szCs w:val="21"/>
                      <w:highlight w:val="none"/>
                      <w:lang w:val="en-US" w:eastAsia="zh-CN"/>
                    </w:rPr>
                    <w:t>标准限值</w:t>
                  </w:r>
                </w:p>
              </w:tc>
              <w:tc>
                <w:tcPr>
                  <w:tcW w:w="1371" w:type="dxa"/>
                  <w:tcBorders>
                    <w:top w:val="single" w:color="auto" w:sz="4" w:space="0"/>
                    <w:left w:val="single" w:color="auto" w:sz="4" w:space="0"/>
                    <w:bottom w:val="single" w:color="auto" w:sz="4" w:space="0"/>
                    <w:right w:val="single" w:color="auto" w:sz="4" w:space="0"/>
                  </w:tcBorders>
                  <w:noWrap w:val="0"/>
                  <w:vAlign w:val="center"/>
                </w:tcPr>
                <w:p w14:paraId="4B8C6577">
                  <w:pPr>
                    <w:keepNext w:val="0"/>
                    <w:keepLines w:val="0"/>
                    <w:widowControl/>
                    <w:suppressLineNumbers w:val="0"/>
                    <w:jc w:val="center"/>
                    <w:textAlignment w:val="center"/>
                    <w:rPr>
                      <w:rFonts w:hint="default" w:cs="Times New Roman"/>
                      <w:szCs w:val="21"/>
                      <w:lang w:val="en-US" w:eastAsia="zh-CN"/>
                    </w:rPr>
                  </w:pPr>
                  <w:r>
                    <w:rPr>
                      <w:rFonts w:hint="eastAsia" w:cs="Times New Roman"/>
                      <w:b/>
                      <w:bCs/>
                      <w:color w:val="000000"/>
                      <w:kern w:val="2"/>
                      <w:sz w:val="20"/>
                      <w:szCs w:val="20"/>
                      <w:lang w:val="en-US" w:eastAsia="zh-CN" w:bidi="ar-SA"/>
                    </w:rPr>
                    <w:t>4.9</w:t>
                  </w:r>
                </w:p>
              </w:tc>
              <w:tc>
                <w:tcPr>
                  <w:tcW w:w="1702" w:type="dxa"/>
                  <w:tcBorders>
                    <w:top w:val="single" w:color="auto" w:sz="4" w:space="0"/>
                    <w:left w:val="single" w:color="auto" w:sz="4" w:space="0"/>
                    <w:bottom w:val="single" w:color="auto" w:sz="4" w:space="0"/>
                    <w:right w:val="single" w:color="auto" w:sz="4" w:space="0"/>
                  </w:tcBorders>
                  <w:noWrap w:val="0"/>
                  <w:vAlign w:val="center"/>
                </w:tcPr>
                <w:p w14:paraId="7AE26299">
                  <w:pPr>
                    <w:keepNext w:val="0"/>
                    <w:keepLines w:val="0"/>
                    <w:widowControl/>
                    <w:suppressLineNumbers w:val="0"/>
                    <w:jc w:val="center"/>
                    <w:textAlignment w:val="center"/>
                    <w:rPr>
                      <w:rFonts w:hint="default" w:cs="Times New Roman"/>
                      <w:szCs w:val="21"/>
                      <w:lang w:val="en-US" w:eastAsia="zh-CN"/>
                    </w:rPr>
                  </w:pPr>
                  <w:r>
                    <w:rPr>
                      <w:rFonts w:hint="eastAsia" w:cs="Times New Roman"/>
                      <w:b/>
                      <w:bCs/>
                      <w:color w:val="000000"/>
                      <w:kern w:val="2"/>
                      <w:sz w:val="20"/>
                      <w:szCs w:val="20"/>
                      <w:lang w:val="en-US" w:eastAsia="zh-CN" w:bidi="ar-SA"/>
                    </w:rPr>
                    <w:t>0.33</w:t>
                  </w:r>
                </w:p>
              </w:tc>
              <w:tc>
                <w:tcPr>
                  <w:tcW w:w="2096" w:type="dxa"/>
                  <w:tcBorders>
                    <w:top w:val="single" w:color="auto" w:sz="4" w:space="0"/>
                    <w:left w:val="single" w:color="auto" w:sz="4" w:space="0"/>
                    <w:bottom w:val="single" w:color="auto" w:sz="4" w:space="0"/>
                    <w:right w:val="single" w:color="auto" w:sz="4" w:space="0"/>
                  </w:tcBorders>
                  <w:noWrap w:val="0"/>
                  <w:vAlign w:val="center"/>
                </w:tcPr>
                <w:p w14:paraId="31996760">
                  <w:pPr>
                    <w:keepNext w:val="0"/>
                    <w:keepLines w:val="0"/>
                    <w:widowControl/>
                    <w:suppressLineNumbers w:val="0"/>
                    <w:jc w:val="center"/>
                    <w:textAlignment w:val="center"/>
                    <w:rPr>
                      <w:rFonts w:hint="default" w:cs="Times New Roman"/>
                      <w:szCs w:val="21"/>
                      <w:lang w:val="en-US" w:eastAsia="zh-CN"/>
                    </w:rPr>
                  </w:pPr>
                  <w:r>
                    <w:rPr>
                      <w:rFonts w:hint="eastAsia"/>
                      <w:b/>
                      <w:bCs/>
                      <w:color w:val="000000"/>
                      <w:sz w:val="20"/>
                      <w:szCs w:val="20"/>
                      <w:lang w:val="en-US" w:eastAsia="zh-CN"/>
                    </w:rPr>
                    <w:t>2000</w:t>
                  </w:r>
                </w:p>
              </w:tc>
            </w:tr>
            <w:tr w14:paraId="1BCC6E0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4085" w:type="dxa"/>
                  <w:gridSpan w:val="2"/>
                  <w:tcBorders>
                    <w:top w:val="single" w:color="auto" w:sz="4" w:space="0"/>
                    <w:left w:val="single" w:color="auto" w:sz="4" w:space="0"/>
                    <w:bottom w:val="single" w:color="auto" w:sz="4" w:space="0"/>
                    <w:right w:val="single" w:color="auto" w:sz="4" w:space="0"/>
                  </w:tcBorders>
                  <w:noWrap w:val="0"/>
                  <w:vAlign w:val="center"/>
                </w:tcPr>
                <w:p w14:paraId="6D4D1F8E">
                  <w:pPr>
                    <w:keepNext w:val="0"/>
                    <w:keepLines w:val="0"/>
                    <w:pageBreakBefore w:val="0"/>
                    <w:widowControl/>
                    <w:kinsoku/>
                    <w:wordWrap/>
                    <w:overflowPunct/>
                    <w:topLinePunct w:val="0"/>
                    <w:autoSpaceDE/>
                    <w:autoSpaceDN/>
                    <w:bidi w:val="0"/>
                    <w:adjustRightInd/>
                    <w:snapToGrid/>
                    <w:ind w:firstLine="211" w:firstLineChars="100"/>
                    <w:jc w:val="center"/>
                    <w:textAlignment w:val="auto"/>
                    <w:rPr>
                      <w:rFonts w:hint="eastAsia"/>
                      <w:szCs w:val="21"/>
                      <w:lang w:val="en-US" w:eastAsia="zh-CN"/>
                    </w:rPr>
                  </w:pPr>
                  <w:r>
                    <w:rPr>
                      <w:rFonts w:hint="default" w:ascii="Times New Roman" w:hAnsi="Times New Roman" w:cs="Times New Roman"/>
                      <w:b/>
                      <w:bCs/>
                      <w:color w:val="auto"/>
                      <w:sz w:val="21"/>
                      <w:szCs w:val="21"/>
                      <w:highlight w:val="none"/>
                      <w:lang w:val="en-US" w:eastAsia="zh-CN"/>
                    </w:rPr>
                    <w:t>达标情况</w:t>
                  </w:r>
                </w:p>
              </w:tc>
              <w:tc>
                <w:tcPr>
                  <w:tcW w:w="1371" w:type="dxa"/>
                  <w:tcBorders>
                    <w:top w:val="single" w:color="auto" w:sz="4" w:space="0"/>
                    <w:left w:val="single" w:color="auto" w:sz="4" w:space="0"/>
                    <w:bottom w:val="single" w:color="auto" w:sz="4" w:space="0"/>
                    <w:right w:val="single" w:color="auto" w:sz="4" w:space="0"/>
                  </w:tcBorders>
                  <w:noWrap w:val="0"/>
                  <w:vAlign w:val="center"/>
                </w:tcPr>
                <w:p w14:paraId="3654ADB3">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hint="eastAsia" w:cs="Times New Roman"/>
                      <w:szCs w:val="21"/>
                      <w:lang w:val="en-US" w:eastAsia="zh-CN"/>
                    </w:rPr>
                  </w:pPr>
                  <w:r>
                    <w:rPr>
                      <w:rFonts w:hint="default" w:ascii="Times New Roman" w:hAnsi="Times New Roman" w:eastAsia="宋体" w:cs="Times New Roman"/>
                      <w:b/>
                      <w:bCs/>
                      <w:color w:val="auto"/>
                      <w:szCs w:val="21"/>
                    </w:rPr>
                    <w:t>达标</w:t>
                  </w:r>
                </w:p>
              </w:tc>
              <w:tc>
                <w:tcPr>
                  <w:tcW w:w="1702" w:type="dxa"/>
                  <w:tcBorders>
                    <w:top w:val="single" w:color="auto" w:sz="4" w:space="0"/>
                    <w:left w:val="single" w:color="auto" w:sz="4" w:space="0"/>
                    <w:bottom w:val="single" w:color="auto" w:sz="4" w:space="0"/>
                    <w:right w:val="single" w:color="auto" w:sz="4" w:space="0"/>
                  </w:tcBorders>
                  <w:noWrap w:val="0"/>
                  <w:vAlign w:val="center"/>
                </w:tcPr>
                <w:p w14:paraId="6B3346DA">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hint="eastAsia" w:cs="Times New Roman"/>
                      <w:szCs w:val="21"/>
                      <w:lang w:val="en-US" w:eastAsia="zh-CN"/>
                    </w:rPr>
                  </w:pPr>
                  <w:r>
                    <w:rPr>
                      <w:rFonts w:hint="default" w:ascii="Times New Roman" w:hAnsi="Times New Roman" w:eastAsia="宋体" w:cs="Times New Roman"/>
                      <w:b/>
                      <w:bCs/>
                      <w:color w:val="auto"/>
                      <w:szCs w:val="21"/>
                    </w:rPr>
                    <w:t>达标</w:t>
                  </w:r>
                </w:p>
              </w:tc>
              <w:tc>
                <w:tcPr>
                  <w:tcW w:w="2096" w:type="dxa"/>
                  <w:tcBorders>
                    <w:top w:val="single" w:color="auto" w:sz="4" w:space="0"/>
                    <w:left w:val="single" w:color="auto" w:sz="4" w:space="0"/>
                    <w:bottom w:val="single" w:color="auto" w:sz="4" w:space="0"/>
                    <w:right w:val="single" w:color="auto" w:sz="4" w:space="0"/>
                  </w:tcBorders>
                  <w:noWrap w:val="0"/>
                  <w:vAlign w:val="center"/>
                </w:tcPr>
                <w:p w14:paraId="20371195">
                  <w:pPr>
                    <w:keepNext w:val="0"/>
                    <w:keepLines w:val="0"/>
                    <w:pageBreakBefore w:val="0"/>
                    <w:kinsoku/>
                    <w:wordWrap/>
                    <w:overflowPunct/>
                    <w:topLinePunct w:val="0"/>
                    <w:autoSpaceDE/>
                    <w:autoSpaceDN/>
                    <w:bidi w:val="0"/>
                    <w:adjustRightInd/>
                    <w:snapToGrid/>
                    <w:spacing w:line="260" w:lineRule="exact"/>
                    <w:ind w:firstLine="0" w:firstLineChars="0"/>
                    <w:jc w:val="center"/>
                    <w:textAlignment w:val="auto"/>
                    <w:rPr>
                      <w:rFonts w:hint="eastAsia" w:cs="Times New Roman"/>
                      <w:szCs w:val="21"/>
                      <w:lang w:val="en-US" w:eastAsia="zh-CN"/>
                    </w:rPr>
                  </w:pPr>
                  <w:r>
                    <w:rPr>
                      <w:rFonts w:hint="default" w:ascii="Times New Roman" w:hAnsi="Times New Roman" w:eastAsia="宋体" w:cs="Times New Roman"/>
                      <w:b/>
                      <w:bCs/>
                      <w:color w:val="auto"/>
                      <w:szCs w:val="21"/>
                    </w:rPr>
                    <w:t>达标</w:t>
                  </w:r>
                </w:p>
              </w:tc>
            </w:tr>
          </w:tbl>
          <w:p w14:paraId="4770D5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bCs/>
                <w:color w:val="auto"/>
                <w:sz w:val="24"/>
                <w:szCs w:val="24"/>
                <w:lang w:val="en-US" w:eastAsia="zh-CN"/>
              </w:rPr>
            </w:pPr>
            <w:r>
              <w:rPr>
                <w:rFonts w:hint="eastAsia" w:asciiTheme="minorEastAsia" w:hAnsiTheme="minorEastAsia" w:eastAsiaTheme="minorEastAsia" w:cstheme="minorEastAsia"/>
                <w:sz w:val="24"/>
                <w:szCs w:val="24"/>
                <w:lang w:val="en-US" w:eastAsia="zh-CN"/>
              </w:rPr>
              <w:t>验收监测期间：本项目排放口（DA001、DA002）氨最大排放浓度为1.40×10</w:t>
            </w:r>
            <w:r>
              <w:rPr>
                <w:rFonts w:hint="eastAsia" w:asciiTheme="minorEastAsia" w:hAnsiTheme="minorEastAsia" w:eastAsiaTheme="minorEastAsia" w:cstheme="minorEastAsia"/>
                <w:sz w:val="24"/>
                <w:szCs w:val="24"/>
                <w:vertAlign w:val="superscript"/>
                <w:lang w:val="en-US" w:eastAsia="zh-CN"/>
              </w:rPr>
              <w:t>-3</w:t>
            </w:r>
            <w:r>
              <w:rPr>
                <w:rFonts w:hint="eastAsia" w:asciiTheme="minorEastAsia" w:hAnsiTheme="minorEastAsia" w:eastAsiaTheme="minorEastAsia" w:cstheme="minorEastAsia"/>
                <w:sz w:val="24"/>
                <w:szCs w:val="24"/>
                <w:lang w:val="en-US" w:eastAsia="zh-CN"/>
              </w:rPr>
              <w:t>kg</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h，硫化氢最大排放浓度为0.00744kg</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h</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臭气浓度做大浓度1122无量纲，</w:t>
            </w:r>
            <w:r>
              <w:rPr>
                <w:rFonts w:hint="eastAsia" w:asciiTheme="minorEastAsia" w:hAnsiTheme="minorEastAsia" w:eastAsiaTheme="minorEastAsia" w:cstheme="minorEastAsia"/>
                <w:sz w:val="24"/>
                <w:szCs w:val="24"/>
                <w:lang w:eastAsia="zh-CN"/>
              </w:rPr>
              <w:t>均满足《</w:t>
            </w:r>
            <w:r>
              <w:rPr>
                <w:rFonts w:hint="eastAsia" w:asciiTheme="minorEastAsia" w:hAnsiTheme="minorEastAsia" w:eastAsiaTheme="minorEastAsia" w:cstheme="minorEastAsia"/>
                <w:bCs/>
                <w:color w:val="auto"/>
                <w:sz w:val="24"/>
                <w:szCs w:val="24"/>
                <w:lang w:val="en-US" w:eastAsia="zh-CN"/>
              </w:rPr>
              <w:t>恶臭污染物排放标准》（GB14554-93)表2恶臭污染物排放限值</w:t>
            </w:r>
            <w:r>
              <w:rPr>
                <w:rFonts w:hint="eastAsia" w:asciiTheme="minorEastAsia" w:hAnsiTheme="minorEastAsia" w:cstheme="minorEastAsia"/>
                <w:bCs/>
                <w:color w:val="auto"/>
                <w:sz w:val="24"/>
                <w:szCs w:val="24"/>
                <w:lang w:val="en-US" w:eastAsia="zh-CN"/>
              </w:rPr>
              <w:t>。</w:t>
            </w:r>
          </w:p>
          <w:p w14:paraId="0F954EB5">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default" w:ascii="Times New Roman" w:hAnsi="Times New Roman" w:cs="Times New Roman"/>
                <w:b/>
                <w:bCs/>
                <w:color w:val="auto"/>
                <w:sz w:val="28"/>
                <w:szCs w:val="36"/>
                <w:highlight w:val="none"/>
              </w:rPr>
            </w:pPr>
            <w:r>
              <w:rPr>
                <w:rFonts w:hint="default" w:ascii="Times New Roman" w:hAnsi="Times New Roman" w:cs="Times New Roman"/>
                <w:b/>
                <w:bCs/>
                <w:color w:val="auto"/>
                <w:sz w:val="28"/>
                <w:szCs w:val="28"/>
                <w:highlight w:val="none"/>
                <w:lang w:val="en-US" w:eastAsia="zh-CN"/>
              </w:rPr>
              <w:t>7.3</w:t>
            </w:r>
            <w:r>
              <w:rPr>
                <w:rFonts w:hint="default" w:ascii="Times New Roman" w:hAnsi="Times New Roman" w:cs="Times New Roman"/>
                <w:b/>
                <w:bCs/>
                <w:color w:val="auto"/>
                <w:sz w:val="28"/>
                <w:szCs w:val="36"/>
                <w:highlight w:val="none"/>
              </w:rPr>
              <w:t>噪声</w:t>
            </w:r>
          </w:p>
          <w:p w14:paraId="40E7F2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b/>
                <w:color w:val="auto"/>
                <w:sz w:val="24"/>
                <w:szCs w:val="24"/>
                <w:highlight w:val="none"/>
              </w:rPr>
            </w:pPr>
            <w:r>
              <w:rPr>
                <w:rFonts w:hint="default" w:ascii="Times New Roman" w:hAnsi="Times New Roman" w:cs="Times New Roman"/>
                <w:color w:val="auto"/>
                <w:sz w:val="24"/>
                <w:szCs w:val="24"/>
                <w:highlight w:val="none"/>
              </w:rPr>
              <w:t>本次验收厂界噪声监测结果见表</w:t>
            </w:r>
            <w:r>
              <w:rPr>
                <w:rFonts w:hint="default" w:ascii="Times New Roman" w:hAnsi="Times New Roman" w:cs="Times New Roman"/>
                <w:color w:val="auto"/>
                <w:sz w:val="24"/>
                <w:szCs w:val="24"/>
                <w:highlight w:val="none"/>
                <w:lang w:val="en-US" w:eastAsia="zh-CN"/>
              </w:rPr>
              <w:t>7</w:t>
            </w:r>
            <w:r>
              <w:rPr>
                <w:rFonts w:hint="default"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6</w:t>
            </w:r>
            <w:r>
              <w:rPr>
                <w:rFonts w:hint="default" w:ascii="Times New Roman" w:hAnsi="Times New Roman" w:cs="Times New Roman"/>
                <w:color w:val="auto"/>
                <w:sz w:val="24"/>
                <w:szCs w:val="24"/>
                <w:highlight w:val="none"/>
              </w:rPr>
              <w:t>。</w:t>
            </w:r>
          </w:p>
          <w:p w14:paraId="77583FDA">
            <w:pPr>
              <w:spacing w:line="240" w:lineRule="auto"/>
              <w:rPr>
                <w:rFonts w:hint="default" w:ascii="Times New Roman" w:hAnsi="Times New Roman" w:cs="Times New Roman"/>
                <w:color w:val="auto"/>
                <w:sz w:val="28"/>
                <w:szCs w:val="28"/>
                <w:highlight w:val="none"/>
              </w:rPr>
            </w:pPr>
            <w:r>
              <w:rPr>
                <w:rFonts w:hint="default" w:ascii="Times New Roman" w:hAnsi="Times New Roman" w:cs="Times New Roman"/>
                <w:b/>
                <w:color w:val="auto"/>
                <w:sz w:val="24"/>
                <w:highlight w:val="none"/>
              </w:rPr>
              <w:t>表</w:t>
            </w:r>
            <w:r>
              <w:rPr>
                <w:rFonts w:hint="default" w:ascii="Times New Roman" w:hAnsi="Times New Roman" w:cs="Times New Roman"/>
                <w:b/>
                <w:color w:val="auto"/>
                <w:sz w:val="24"/>
                <w:highlight w:val="none"/>
                <w:lang w:val="en-US" w:eastAsia="zh-CN"/>
              </w:rPr>
              <w:t>7</w:t>
            </w:r>
            <w:r>
              <w:rPr>
                <w:rFonts w:hint="default" w:ascii="Times New Roman" w:hAnsi="Times New Roman" w:cs="Times New Roman"/>
                <w:b/>
                <w:color w:val="auto"/>
                <w:sz w:val="24"/>
                <w:highlight w:val="none"/>
              </w:rPr>
              <w:t>-</w:t>
            </w:r>
            <w:r>
              <w:rPr>
                <w:rFonts w:hint="eastAsia" w:ascii="Times New Roman" w:hAnsi="Times New Roman" w:cs="Times New Roman"/>
                <w:b/>
                <w:color w:val="auto"/>
                <w:sz w:val="24"/>
                <w:highlight w:val="none"/>
                <w:lang w:val="en-US" w:eastAsia="zh-CN"/>
              </w:rPr>
              <w:t>6</w:t>
            </w:r>
            <w:r>
              <w:rPr>
                <w:rFonts w:hint="default" w:ascii="Times New Roman" w:hAnsi="Times New Roman" w:cs="Times New Roman"/>
                <w:b/>
                <w:color w:val="auto"/>
                <w:sz w:val="24"/>
                <w:highlight w:val="none"/>
                <w:lang w:val="en-US" w:eastAsia="zh-CN"/>
              </w:rPr>
              <w:t xml:space="preserve"> </w:t>
            </w:r>
            <w:r>
              <w:rPr>
                <w:rFonts w:hint="default" w:ascii="Times New Roman" w:hAnsi="Times New Roman" w:cs="Times New Roman"/>
                <w:b/>
                <w:color w:val="auto"/>
                <w:sz w:val="24"/>
                <w:highlight w:val="none"/>
              </w:rPr>
              <w:t xml:space="preserve">            </w:t>
            </w:r>
            <w:r>
              <w:rPr>
                <w:rFonts w:hint="default" w:ascii="Times New Roman" w:hAnsi="Times New Roman" w:cs="Times New Roman"/>
                <w:b/>
                <w:color w:val="auto"/>
                <w:sz w:val="24"/>
                <w:highlight w:val="none"/>
                <w:lang w:val="en-US" w:eastAsia="zh-CN"/>
              </w:rPr>
              <w:t xml:space="preserve">       </w:t>
            </w:r>
            <w:r>
              <w:rPr>
                <w:rFonts w:hint="default" w:ascii="Times New Roman" w:hAnsi="Times New Roman" w:cs="Times New Roman"/>
                <w:b/>
                <w:color w:val="auto"/>
                <w:sz w:val="24"/>
                <w:highlight w:val="none"/>
              </w:rPr>
              <w:t xml:space="preserve">    噪声监测结果表     </w:t>
            </w:r>
            <w:r>
              <w:rPr>
                <w:rFonts w:hint="default" w:ascii="Times New Roman" w:hAnsi="Times New Roman" w:cs="Times New Roman"/>
                <w:b/>
                <w:color w:val="auto"/>
                <w:sz w:val="24"/>
                <w:highlight w:val="none"/>
                <w:lang w:val="en-US" w:eastAsia="zh-CN"/>
              </w:rPr>
              <w:t xml:space="preserve">   </w:t>
            </w:r>
            <w:r>
              <w:rPr>
                <w:rFonts w:hint="default" w:ascii="Times New Roman" w:hAnsi="Times New Roman" w:cs="Times New Roman"/>
                <w:b/>
                <w:color w:val="auto"/>
                <w:sz w:val="24"/>
                <w:highlight w:val="none"/>
              </w:rPr>
              <w:t xml:space="preserve">      单位：</w:t>
            </w:r>
            <w:r>
              <w:rPr>
                <w:rFonts w:hint="default" w:ascii="Times New Roman" w:hAnsi="Times New Roman" w:cs="Times New Roman"/>
                <w:b/>
                <w:bCs/>
                <w:color w:val="auto"/>
                <w:sz w:val="24"/>
                <w:highlight w:val="none"/>
              </w:rPr>
              <w:t>dB（A）</w:t>
            </w:r>
          </w:p>
          <w:tbl>
            <w:tblPr>
              <w:tblStyle w:val="15"/>
              <w:tblW w:w="4997"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222"/>
              <w:gridCol w:w="1498"/>
              <w:gridCol w:w="1395"/>
              <w:gridCol w:w="1302"/>
              <w:gridCol w:w="1128"/>
              <w:gridCol w:w="1250"/>
            </w:tblGrid>
            <w:tr w14:paraId="2E16BC5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8" w:hRule="atLeast"/>
              </w:trPr>
              <w:tc>
                <w:tcPr>
                  <w:tcW w:w="2222" w:type="dxa"/>
                  <w:vMerge w:val="restart"/>
                  <w:noWrap w:val="0"/>
                  <w:vAlign w:val="center"/>
                </w:tcPr>
                <w:p w14:paraId="2BE549FD">
                  <w:pPr>
                    <w:keepNext w:val="0"/>
                    <w:keepLines w:val="0"/>
                    <w:widowControl w:val="0"/>
                    <w:suppressLineNumbers w:val="0"/>
                    <w:spacing w:before="0" w:beforeAutospacing="0" w:after="0" w:afterAutospacing="0"/>
                    <w:ind w:left="0" w:leftChars="0" w:right="0" w:rightChars="0"/>
                    <w:jc w:val="center"/>
                    <w:rPr>
                      <w:rFonts w:hint="default" w:ascii="Times New Roman" w:hAnsi="Times New Roman" w:cs="Times New Roman"/>
                      <w:b/>
                      <w:bCs/>
                      <w:color w:val="auto"/>
                      <w:szCs w:val="21"/>
                      <w:highlight w:val="none"/>
                      <w:lang w:val="en-US" w:eastAsia="zh-CN"/>
                    </w:rPr>
                  </w:pPr>
                  <w:r>
                    <w:rPr>
                      <w:rFonts w:hint="default" w:ascii="Times New Roman" w:hAnsi="Times New Roman" w:eastAsia="宋体" w:cs="Times New Roman"/>
                      <w:b/>
                      <w:bCs/>
                      <w:color w:val="auto"/>
                      <w:kern w:val="2"/>
                      <w:sz w:val="21"/>
                      <w:szCs w:val="21"/>
                      <w:lang w:val="en-US" w:eastAsia="zh-CN" w:bidi="ar-SA"/>
                    </w:rPr>
                    <w:t>测点位置</w:t>
                  </w:r>
                </w:p>
              </w:tc>
              <w:tc>
                <w:tcPr>
                  <w:tcW w:w="1498" w:type="dxa"/>
                  <w:vMerge w:val="restart"/>
                  <w:noWrap w:val="0"/>
                  <w:vAlign w:val="center"/>
                </w:tcPr>
                <w:p w14:paraId="6E406F5E">
                  <w:pPr>
                    <w:widowControl/>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监测日期</w:t>
                  </w:r>
                </w:p>
              </w:tc>
              <w:tc>
                <w:tcPr>
                  <w:tcW w:w="5075" w:type="dxa"/>
                  <w:gridSpan w:val="4"/>
                  <w:noWrap w:val="0"/>
                  <w:vAlign w:val="center"/>
                </w:tcPr>
                <w:p w14:paraId="350B126B">
                  <w:pPr>
                    <w:widowControl/>
                    <w:jc w:val="center"/>
                    <w:rPr>
                      <w:rFonts w:hint="default" w:ascii="Times New Roman" w:hAnsi="Times New Roman" w:eastAsia="宋体" w:cs="Times New Roman"/>
                      <w:b/>
                      <w:bCs/>
                      <w:color w:val="auto"/>
                      <w:kern w:val="0"/>
                      <w:szCs w:val="21"/>
                      <w:highlight w:val="none"/>
                    </w:rPr>
                  </w:pPr>
                  <w:r>
                    <w:rPr>
                      <w:rFonts w:hint="default" w:ascii="Times New Roman" w:hAnsi="Times New Roman" w:eastAsia="宋体" w:cs="Times New Roman"/>
                      <w:b/>
                      <w:bCs/>
                      <w:color w:val="auto"/>
                      <w:kern w:val="0"/>
                      <w:szCs w:val="21"/>
                      <w:highlight w:val="none"/>
                    </w:rPr>
                    <w:t>监测结果</w:t>
                  </w:r>
                </w:p>
              </w:tc>
            </w:tr>
            <w:tr w14:paraId="4F0699A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4" w:hRule="atLeast"/>
              </w:trPr>
              <w:tc>
                <w:tcPr>
                  <w:tcW w:w="2222" w:type="dxa"/>
                  <w:vMerge w:val="continue"/>
                  <w:noWrap w:val="0"/>
                  <w:vAlign w:val="center"/>
                </w:tcPr>
                <w:p w14:paraId="5988441F">
                  <w:pPr>
                    <w:widowControl/>
                    <w:jc w:val="center"/>
                    <w:rPr>
                      <w:rFonts w:hint="default" w:ascii="Times New Roman" w:hAnsi="Times New Roman" w:eastAsia="宋体" w:cs="Times New Roman"/>
                      <w:b/>
                      <w:bCs/>
                      <w:color w:val="auto"/>
                      <w:szCs w:val="21"/>
                      <w:highlight w:val="none"/>
                    </w:rPr>
                  </w:pPr>
                </w:p>
              </w:tc>
              <w:tc>
                <w:tcPr>
                  <w:tcW w:w="1498" w:type="dxa"/>
                  <w:vMerge w:val="continue"/>
                  <w:noWrap w:val="0"/>
                  <w:vAlign w:val="center"/>
                </w:tcPr>
                <w:p w14:paraId="22586854">
                  <w:pPr>
                    <w:widowControl/>
                    <w:jc w:val="center"/>
                    <w:rPr>
                      <w:rFonts w:hint="default" w:ascii="Times New Roman" w:hAnsi="Times New Roman" w:eastAsia="宋体" w:cs="Times New Roman"/>
                      <w:b/>
                      <w:bCs/>
                      <w:color w:val="auto"/>
                      <w:szCs w:val="21"/>
                      <w:highlight w:val="none"/>
                    </w:rPr>
                  </w:pPr>
                </w:p>
              </w:tc>
              <w:tc>
                <w:tcPr>
                  <w:tcW w:w="2697" w:type="dxa"/>
                  <w:gridSpan w:val="2"/>
                  <w:noWrap w:val="0"/>
                  <w:vAlign w:val="center"/>
                </w:tcPr>
                <w:p w14:paraId="1A5330DA">
                  <w:pPr>
                    <w:widowControl/>
                    <w:jc w:val="center"/>
                    <w:rPr>
                      <w:rFonts w:hint="default" w:ascii="Times New Roman" w:hAnsi="Times New Roman" w:eastAsia="宋体" w:cs="Times New Roman"/>
                      <w:b/>
                      <w:bCs/>
                      <w:color w:val="auto"/>
                      <w:szCs w:val="21"/>
                      <w:highlight w:val="none"/>
                      <w:lang w:eastAsia="zh-CN"/>
                    </w:rPr>
                  </w:pPr>
                  <w:r>
                    <w:rPr>
                      <w:rFonts w:hint="default" w:ascii="Times New Roman" w:hAnsi="Times New Roman" w:eastAsia="宋体" w:cs="Times New Roman"/>
                      <w:b/>
                      <w:bCs/>
                      <w:color w:val="auto"/>
                      <w:szCs w:val="21"/>
                      <w:highlight w:val="none"/>
                    </w:rPr>
                    <w:t>昼间</w:t>
                  </w:r>
                </w:p>
              </w:tc>
              <w:tc>
                <w:tcPr>
                  <w:tcW w:w="2378" w:type="dxa"/>
                  <w:gridSpan w:val="2"/>
                  <w:noWrap w:val="0"/>
                  <w:vAlign w:val="center"/>
                </w:tcPr>
                <w:p w14:paraId="6FB02C42">
                  <w:pPr>
                    <w:widowControl/>
                    <w:jc w:val="center"/>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夜间</w:t>
                  </w:r>
                </w:p>
              </w:tc>
            </w:tr>
            <w:tr w14:paraId="7BD2264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222" w:type="dxa"/>
                  <w:vMerge w:val="continue"/>
                  <w:noWrap w:val="0"/>
                  <w:vAlign w:val="center"/>
                </w:tcPr>
                <w:p w14:paraId="1AFC381D">
                  <w:pPr>
                    <w:widowControl/>
                    <w:jc w:val="center"/>
                    <w:rPr>
                      <w:rFonts w:hint="default" w:ascii="Times New Roman" w:hAnsi="Times New Roman" w:eastAsia="宋体" w:cs="Times New Roman"/>
                      <w:b/>
                      <w:bCs/>
                      <w:color w:val="auto"/>
                      <w:szCs w:val="21"/>
                      <w:highlight w:val="none"/>
                    </w:rPr>
                  </w:pPr>
                </w:p>
              </w:tc>
              <w:tc>
                <w:tcPr>
                  <w:tcW w:w="1498" w:type="dxa"/>
                  <w:vMerge w:val="continue"/>
                  <w:noWrap w:val="0"/>
                  <w:vAlign w:val="center"/>
                </w:tcPr>
                <w:p w14:paraId="23F2F41C">
                  <w:pPr>
                    <w:widowControl/>
                    <w:jc w:val="center"/>
                    <w:rPr>
                      <w:rFonts w:hint="default" w:ascii="Times New Roman" w:hAnsi="Times New Roman" w:eastAsia="宋体" w:cs="Times New Roman"/>
                      <w:b/>
                      <w:bCs/>
                      <w:color w:val="auto"/>
                      <w:szCs w:val="21"/>
                      <w:highlight w:val="none"/>
                    </w:rPr>
                  </w:pPr>
                </w:p>
              </w:tc>
              <w:tc>
                <w:tcPr>
                  <w:tcW w:w="1395" w:type="dxa"/>
                  <w:noWrap w:val="0"/>
                  <w:vAlign w:val="center"/>
                </w:tcPr>
                <w:p w14:paraId="6E4D994F">
                  <w:pPr>
                    <w:widowControl/>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测量</w:t>
                  </w:r>
                  <w:r>
                    <w:rPr>
                      <w:rFonts w:hint="default" w:ascii="Times New Roman" w:hAnsi="Times New Roman" w:eastAsia="宋体" w:cs="Times New Roman"/>
                      <w:b/>
                      <w:bCs/>
                      <w:color w:val="auto"/>
                      <w:szCs w:val="21"/>
                      <w:highlight w:val="none"/>
                      <w:lang w:eastAsia="zh-CN"/>
                    </w:rPr>
                    <w:t>时间</w:t>
                  </w:r>
                </w:p>
              </w:tc>
              <w:tc>
                <w:tcPr>
                  <w:tcW w:w="1302" w:type="dxa"/>
                  <w:noWrap w:val="0"/>
                  <w:vAlign w:val="center"/>
                </w:tcPr>
                <w:p w14:paraId="329A4551">
                  <w:pPr>
                    <w:widowControl/>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测量值</w:t>
                  </w:r>
                </w:p>
              </w:tc>
              <w:tc>
                <w:tcPr>
                  <w:tcW w:w="1128" w:type="dxa"/>
                  <w:noWrap w:val="0"/>
                  <w:vAlign w:val="center"/>
                </w:tcPr>
                <w:p w14:paraId="1469D600">
                  <w:pPr>
                    <w:widowControl/>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szCs w:val="21"/>
                      <w:highlight w:val="none"/>
                    </w:rPr>
                    <w:t>测量</w:t>
                  </w:r>
                  <w:r>
                    <w:rPr>
                      <w:rFonts w:hint="default" w:ascii="Times New Roman" w:hAnsi="Times New Roman" w:eastAsia="宋体" w:cs="Times New Roman"/>
                      <w:b/>
                      <w:bCs/>
                      <w:color w:val="auto"/>
                      <w:szCs w:val="21"/>
                      <w:highlight w:val="none"/>
                      <w:lang w:eastAsia="zh-CN"/>
                    </w:rPr>
                    <w:t>时间</w:t>
                  </w:r>
                </w:p>
              </w:tc>
              <w:tc>
                <w:tcPr>
                  <w:tcW w:w="1250" w:type="dxa"/>
                  <w:noWrap w:val="0"/>
                  <w:vAlign w:val="center"/>
                </w:tcPr>
                <w:p w14:paraId="5E4500CA">
                  <w:pPr>
                    <w:widowControl/>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测量值</w:t>
                  </w:r>
                </w:p>
              </w:tc>
            </w:tr>
            <w:tr w14:paraId="1ADE7B9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2222" w:type="dxa"/>
                  <w:shd w:val="clear" w:color="auto" w:fill="auto"/>
                  <w:noWrap w:val="0"/>
                  <w:vAlign w:val="center"/>
                </w:tcPr>
                <w:p w14:paraId="3860E40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厂界东侧外1m处</w:t>
                  </w:r>
                </w:p>
              </w:tc>
              <w:tc>
                <w:tcPr>
                  <w:tcW w:w="1498" w:type="dxa"/>
                  <w:vMerge w:val="restart"/>
                  <w:noWrap w:val="0"/>
                  <w:vAlign w:val="center"/>
                </w:tcPr>
                <w:p w14:paraId="2F21EF0B">
                  <w:pPr>
                    <w:pStyle w:val="11"/>
                    <w:spacing w:after="0"/>
                    <w:ind w:left="0" w:leftChars="0" w:right="0" w:rightChars="0"/>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lang w:eastAsia="zh-CN"/>
                    </w:rPr>
                    <w:t>202</w:t>
                  </w:r>
                  <w:r>
                    <w:rPr>
                      <w:rFonts w:hint="default" w:ascii="Times New Roman" w:hAnsi="Times New Roman" w:cs="Times New Roman"/>
                      <w:color w:val="auto"/>
                      <w:szCs w:val="21"/>
                      <w:lang w:val="en-US" w:eastAsia="zh-CN"/>
                    </w:rPr>
                    <w:t>5</w:t>
                  </w:r>
                  <w:r>
                    <w:rPr>
                      <w:rFonts w:hint="default" w:ascii="Times New Roman" w:hAnsi="Times New Roman" w:cs="Times New Roman"/>
                      <w:color w:val="auto"/>
                      <w:szCs w:val="21"/>
                      <w:lang w:eastAsia="zh-CN"/>
                    </w:rPr>
                    <w:t>年</w:t>
                  </w:r>
                  <w:r>
                    <w:rPr>
                      <w:rFonts w:hint="eastAsia" w:ascii="Times New Roman" w:hAnsi="Times New Roman" w:cs="Times New Roman"/>
                      <w:color w:val="auto"/>
                      <w:szCs w:val="21"/>
                      <w:lang w:val="en-US" w:eastAsia="zh-CN"/>
                    </w:rPr>
                    <w:t>6</w:t>
                  </w:r>
                  <w:r>
                    <w:rPr>
                      <w:rFonts w:hint="default" w:ascii="Times New Roman" w:hAnsi="Times New Roman" w:cs="Times New Roman"/>
                      <w:color w:val="auto"/>
                      <w:szCs w:val="21"/>
                      <w:lang w:eastAsia="zh-CN"/>
                    </w:rPr>
                    <w:t>月</w:t>
                  </w:r>
                  <w:r>
                    <w:rPr>
                      <w:rFonts w:hint="eastAsia" w:ascii="Times New Roman" w:hAnsi="Times New Roman" w:cs="Times New Roman"/>
                      <w:color w:val="auto"/>
                      <w:szCs w:val="21"/>
                      <w:lang w:val="en-US" w:eastAsia="zh-CN"/>
                    </w:rPr>
                    <w:t>27</w:t>
                  </w:r>
                  <w:r>
                    <w:rPr>
                      <w:rFonts w:hint="default" w:ascii="Times New Roman" w:hAnsi="Times New Roman" w:cs="Times New Roman"/>
                      <w:color w:val="auto"/>
                      <w:szCs w:val="21"/>
                      <w:lang w:eastAsia="zh-CN"/>
                    </w:rPr>
                    <w:t>日</w:t>
                  </w:r>
                  <w:r>
                    <w:rPr>
                      <w:rFonts w:hint="default" w:ascii="Times New Roman" w:hAnsi="Times New Roman" w:cs="Times New Roman"/>
                      <w:color w:val="auto"/>
                      <w:szCs w:val="21"/>
                      <w:lang w:val="en-US" w:eastAsia="zh-CN"/>
                    </w:rPr>
                    <w:t>-</w:t>
                  </w:r>
                  <w:r>
                    <w:rPr>
                      <w:rFonts w:hint="eastAsia" w:ascii="Times New Roman" w:hAnsi="Times New Roman" w:cs="Times New Roman"/>
                      <w:color w:val="auto"/>
                      <w:szCs w:val="21"/>
                      <w:lang w:val="en-US" w:eastAsia="zh-CN"/>
                    </w:rPr>
                    <w:t>28</w:t>
                  </w:r>
                  <w:r>
                    <w:rPr>
                      <w:rFonts w:hint="default" w:ascii="Times New Roman" w:hAnsi="Times New Roman" w:cs="Times New Roman"/>
                      <w:color w:val="auto"/>
                      <w:szCs w:val="21"/>
                      <w:lang w:val="en-US" w:eastAsia="zh-CN"/>
                    </w:rPr>
                    <w:t>日</w:t>
                  </w:r>
                </w:p>
              </w:tc>
              <w:tc>
                <w:tcPr>
                  <w:tcW w:w="1395" w:type="dxa"/>
                  <w:shd w:val="clear" w:color="auto" w:fill="auto"/>
                  <w:noWrap w:val="0"/>
                  <w:vAlign w:val="center"/>
                </w:tcPr>
                <w:p w14:paraId="3F7A0144">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11:22</w:t>
                  </w:r>
                </w:p>
              </w:tc>
              <w:tc>
                <w:tcPr>
                  <w:tcW w:w="1302" w:type="dxa"/>
                  <w:shd w:val="clear" w:color="auto" w:fill="auto"/>
                  <w:noWrap w:val="0"/>
                  <w:vAlign w:val="center"/>
                </w:tcPr>
                <w:p w14:paraId="51DCD0C7">
                  <w:pPr>
                    <w:jc w:val="center"/>
                    <w:rPr>
                      <w:rFonts w:hint="default" w:ascii="Times New Roman" w:hAnsi="Times New Roman" w:eastAsia="宋体" w:cs="Times New Roman"/>
                      <w:color w:val="auto"/>
                      <w:kern w:val="2"/>
                      <w:sz w:val="21"/>
                      <w:szCs w:val="21"/>
                      <w:lang w:val="en-US" w:eastAsia="zh-CN" w:bidi="ar-SA"/>
                    </w:rPr>
                  </w:pPr>
                  <w:r>
                    <w:rPr>
                      <w:rFonts w:hint="eastAsia"/>
                      <w:b w:val="0"/>
                      <w:bCs w:val="0"/>
                      <w:szCs w:val="21"/>
                      <w:lang w:val="en-US" w:eastAsia="zh-CN"/>
                    </w:rPr>
                    <w:t>43.6</w:t>
                  </w:r>
                </w:p>
              </w:tc>
              <w:tc>
                <w:tcPr>
                  <w:tcW w:w="1128" w:type="dxa"/>
                  <w:shd w:val="clear" w:color="auto" w:fill="auto"/>
                  <w:noWrap w:val="0"/>
                  <w:vAlign w:val="center"/>
                </w:tcPr>
                <w:p w14:paraId="664FE27B">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00:02</w:t>
                  </w:r>
                </w:p>
              </w:tc>
              <w:tc>
                <w:tcPr>
                  <w:tcW w:w="1250" w:type="dxa"/>
                  <w:shd w:val="clear" w:color="auto" w:fill="auto"/>
                  <w:noWrap w:val="0"/>
                  <w:vAlign w:val="center"/>
                </w:tcPr>
                <w:p w14:paraId="3DC46544">
                  <w:pPr>
                    <w:jc w:val="center"/>
                    <w:rPr>
                      <w:rFonts w:hint="default" w:ascii="Times New Roman" w:hAnsi="Times New Roman" w:eastAsia="宋体" w:cs="Times New Roman"/>
                      <w:kern w:val="2"/>
                      <w:sz w:val="21"/>
                      <w:szCs w:val="21"/>
                      <w:lang w:val="en-US" w:eastAsia="zh-CN" w:bidi="ar-SA"/>
                    </w:rPr>
                  </w:pPr>
                  <w:r>
                    <w:rPr>
                      <w:rFonts w:hint="eastAsia"/>
                      <w:b w:val="0"/>
                      <w:bCs w:val="0"/>
                      <w:color w:val="auto"/>
                      <w:szCs w:val="21"/>
                      <w:lang w:val="en-US" w:eastAsia="zh-CN"/>
                    </w:rPr>
                    <w:t>35.6</w:t>
                  </w:r>
                </w:p>
              </w:tc>
            </w:tr>
            <w:tr w14:paraId="352B905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6" w:hRule="atLeast"/>
              </w:trPr>
              <w:tc>
                <w:tcPr>
                  <w:tcW w:w="2222" w:type="dxa"/>
                  <w:shd w:val="clear" w:color="auto" w:fill="auto"/>
                  <w:noWrap w:val="0"/>
                  <w:vAlign w:val="center"/>
                </w:tcPr>
                <w:p w14:paraId="5757D2D0">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厂界西侧外1m处</w:t>
                  </w:r>
                </w:p>
              </w:tc>
              <w:tc>
                <w:tcPr>
                  <w:tcW w:w="1498" w:type="dxa"/>
                  <w:vMerge w:val="continue"/>
                  <w:noWrap w:val="0"/>
                  <w:vAlign w:val="center"/>
                </w:tcPr>
                <w:p w14:paraId="1B7BE426">
                  <w:pPr>
                    <w:ind w:left="-105" w:leftChars="-50" w:right="-105" w:rightChars="-50"/>
                    <w:jc w:val="center"/>
                    <w:rPr>
                      <w:rFonts w:hint="default" w:ascii="Times New Roman" w:hAnsi="Times New Roman" w:eastAsia="宋体" w:cs="Times New Roman"/>
                      <w:color w:val="auto"/>
                      <w:szCs w:val="21"/>
                      <w:highlight w:val="none"/>
                    </w:rPr>
                  </w:pPr>
                </w:p>
              </w:tc>
              <w:tc>
                <w:tcPr>
                  <w:tcW w:w="1395" w:type="dxa"/>
                  <w:shd w:val="clear" w:color="auto" w:fill="auto"/>
                  <w:noWrap w:val="0"/>
                  <w:vAlign w:val="center"/>
                </w:tcPr>
                <w:p w14:paraId="7FBA58DA">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11:28</w:t>
                  </w:r>
                </w:p>
              </w:tc>
              <w:tc>
                <w:tcPr>
                  <w:tcW w:w="1302" w:type="dxa"/>
                  <w:shd w:val="clear" w:color="auto" w:fill="auto"/>
                  <w:noWrap w:val="0"/>
                  <w:vAlign w:val="center"/>
                </w:tcPr>
                <w:p w14:paraId="5B64A1A3">
                  <w:pPr>
                    <w:jc w:val="center"/>
                    <w:rPr>
                      <w:rFonts w:hint="default" w:ascii="Times New Roman" w:hAnsi="Times New Roman" w:eastAsia="宋体" w:cs="Times New Roman"/>
                      <w:color w:val="auto"/>
                      <w:kern w:val="2"/>
                      <w:sz w:val="21"/>
                      <w:szCs w:val="21"/>
                      <w:lang w:val="en-US" w:eastAsia="zh-CN" w:bidi="ar-SA"/>
                    </w:rPr>
                  </w:pPr>
                  <w:r>
                    <w:rPr>
                      <w:rFonts w:hint="eastAsia" w:cs="Times New Roman"/>
                      <w:b w:val="0"/>
                      <w:bCs w:val="0"/>
                      <w:szCs w:val="21"/>
                      <w:lang w:val="en-US" w:eastAsia="zh-CN"/>
                    </w:rPr>
                    <w:t>45.1</w:t>
                  </w:r>
                </w:p>
              </w:tc>
              <w:tc>
                <w:tcPr>
                  <w:tcW w:w="1128" w:type="dxa"/>
                  <w:shd w:val="clear" w:color="auto" w:fill="auto"/>
                  <w:noWrap w:val="0"/>
                  <w:vAlign w:val="center"/>
                </w:tcPr>
                <w:p w14:paraId="25BD749C">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00:10</w:t>
                  </w:r>
                </w:p>
              </w:tc>
              <w:tc>
                <w:tcPr>
                  <w:tcW w:w="1250" w:type="dxa"/>
                  <w:shd w:val="clear" w:color="auto" w:fill="auto"/>
                  <w:noWrap w:val="0"/>
                  <w:vAlign w:val="center"/>
                </w:tcPr>
                <w:p w14:paraId="1BC7ED8A">
                  <w:pPr>
                    <w:jc w:val="center"/>
                    <w:rPr>
                      <w:rFonts w:hint="default" w:ascii="Times New Roman" w:hAnsi="Times New Roman" w:eastAsia="宋体" w:cs="Times New Roman"/>
                      <w:kern w:val="2"/>
                      <w:sz w:val="21"/>
                      <w:szCs w:val="21"/>
                      <w:lang w:val="en-US" w:eastAsia="zh-CN" w:bidi="ar-SA"/>
                    </w:rPr>
                  </w:pPr>
                  <w:r>
                    <w:rPr>
                      <w:rFonts w:hint="eastAsia"/>
                      <w:b w:val="0"/>
                      <w:bCs w:val="0"/>
                      <w:color w:val="auto"/>
                      <w:szCs w:val="21"/>
                      <w:lang w:val="en-US" w:eastAsia="zh-CN"/>
                    </w:rPr>
                    <w:t>39.9</w:t>
                  </w:r>
                </w:p>
              </w:tc>
            </w:tr>
            <w:tr w14:paraId="5994CB9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2222" w:type="dxa"/>
                  <w:shd w:val="clear" w:color="auto" w:fill="auto"/>
                  <w:noWrap w:val="0"/>
                  <w:vAlign w:val="center"/>
                </w:tcPr>
                <w:p w14:paraId="2CA951F7">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厂界南侧外1m处</w:t>
                  </w:r>
                </w:p>
              </w:tc>
              <w:tc>
                <w:tcPr>
                  <w:tcW w:w="1498" w:type="dxa"/>
                  <w:vMerge w:val="continue"/>
                  <w:noWrap w:val="0"/>
                  <w:vAlign w:val="center"/>
                </w:tcPr>
                <w:p w14:paraId="50C686D0">
                  <w:pPr>
                    <w:ind w:left="-105" w:leftChars="-50" w:right="-105" w:rightChars="-50"/>
                    <w:jc w:val="center"/>
                    <w:rPr>
                      <w:rFonts w:hint="default" w:ascii="Times New Roman" w:hAnsi="Times New Roman" w:eastAsia="宋体" w:cs="Times New Roman"/>
                      <w:color w:val="auto"/>
                      <w:szCs w:val="21"/>
                      <w:highlight w:val="none"/>
                    </w:rPr>
                  </w:pPr>
                </w:p>
              </w:tc>
              <w:tc>
                <w:tcPr>
                  <w:tcW w:w="1395" w:type="dxa"/>
                  <w:shd w:val="clear" w:color="auto" w:fill="auto"/>
                  <w:noWrap w:val="0"/>
                  <w:vAlign w:val="center"/>
                </w:tcPr>
                <w:p w14:paraId="39E55A38">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11:35</w:t>
                  </w:r>
                </w:p>
              </w:tc>
              <w:tc>
                <w:tcPr>
                  <w:tcW w:w="1302" w:type="dxa"/>
                  <w:shd w:val="clear" w:color="auto" w:fill="auto"/>
                  <w:noWrap w:val="0"/>
                  <w:vAlign w:val="center"/>
                </w:tcPr>
                <w:p w14:paraId="59582FE0">
                  <w:pPr>
                    <w:jc w:val="center"/>
                    <w:rPr>
                      <w:rFonts w:hint="default" w:ascii="Times New Roman" w:hAnsi="Times New Roman" w:eastAsia="宋体" w:cs="Times New Roman"/>
                      <w:color w:val="auto"/>
                      <w:kern w:val="2"/>
                      <w:sz w:val="21"/>
                      <w:szCs w:val="21"/>
                      <w:lang w:val="en-US" w:eastAsia="zh-CN" w:bidi="ar-SA"/>
                    </w:rPr>
                  </w:pPr>
                  <w:r>
                    <w:rPr>
                      <w:rFonts w:hint="eastAsia" w:cs="Times New Roman"/>
                      <w:b w:val="0"/>
                      <w:bCs w:val="0"/>
                      <w:szCs w:val="21"/>
                      <w:lang w:val="en-US" w:eastAsia="zh-CN"/>
                    </w:rPr>
                    <w:t>51.2</w:t>
                  </w:r>
                </w:p>
              </w:tc>
              <w:tc>
                <w:tcPr>
                  <w:tcW w:w="1128" w:type="dxa"/>
                  <w:shd w:val="clear" w:color="auto" w:fill="auto"/>
                  <w:noWrap w:val="0"/>
                  <w:vAlign w:val="center"/>
                </w:tcPr>
                <w:p w14:paraId="6B79406C">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00:17</w:t>
                  </w:r>
                </w:p>
              </w:tc>
              <w:tc>
                <w:tcPr>
                  <w:tcW w:w="1250" w:type="dxa"/>
                  <w:shd w:val="clear" w:color="auto" w:fill="auto"/>
                  <w:noWrap w:val="0"/>
                  <w:vAlign w:val="center"/>
                </w:tcPr>
                <w:p w14:paraId="58862EA4">
                  <w:pPr>
                    <w:jc w:val="center"/>
                    <w:rPr>
                      <w:rFonts w:hint="default" w:ascii="Times New Roman" w:hAnsi="Times New Roman" w:eastAsia="宋体" w:cs="Times New Roman"/>
                      <w:kern w:val="2"/>
                      <w:sz w:val="21"/>
                      <w:szCs w:val="21"/>
                      <w:lang w:val="en-US" w:eastAsia="zh-CN" w:bidi="ar-SA"/>
                    </w:rPr>
                  </w:pPr>
                  <w:r>
                    <w:rPr>
                      <w:rFonts w:hint="eastAsia"/>
                      <w:b w:val="0"/>
                      <w:bCs w:val="0"/>
                      <w:color w:val="auto"/>
                      <w:szCs w:val="21"/>
                      <w:lang w:val="en-US" w:eastAsia="zh-CN"/>
                    </w:rPr>
                    <w:t>33.4</w:t>
                  </w:r>
                </w:p>
              </w:tc>
            </w:tr>
            <w:tr w14:paraId="4BA6330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2222" w:type="dxa"/>
                  <w:shd w:val="clear" w:color="auto" w:fill="auto"/>
                  <w:noWrap w:val="0"/>
                  <w:vAlign w:val="center"/>
                </w:tcPr>
                <w:p w14:paraId="40292B15">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厂界北侧外1m处</w:t>
                  </w:r>
                </w:p>
              </w:tc>
              <w:tc>
                <w:tcPr>
                  <w:tcW w:w="1498" w:type="dxa"/>
                  <w:vMerge w:val="continue"/>
                  <w:noWrap w:val="0"/>
                  <w:vAlign w:val="center"/>
                </w:tcPr>
                <w:p w14:paraId="1DCEE6BB">
                  <w:pPr>
                    <w:pStyle w:val="11"/>
                    <w:spacing w:after="0"/>
                    <w:ind w:left="0" w:leftChars="0" w:right="0" w:rightChars="0"/>
                    <w:jc w:val="center"/>
                    <w:rPr>
                      <w:rFonts w:hint="default" w:ascii="Times New Roman" w:hAnsi="Times New Roman" w:eastAsia="宋体" w:cs="Times New Roman"/>
                      <w:color w:val="auto"/>
                      <w:szCs w:val="21"/>
                      <w:highlight w:val="none"/>
                      <w:lang w:eastAsia="zh-CN"/>
                    </w:rPr>
                  </w:pPr>
                </w:p>
              </w:tc>
              <w:tc>
                <w:tcPr>
                  <w:tcW w:w="1395" w:type="dxa"/>
                  <w:shd w:val="clear" w:color="auto" w:fill="auto"/>
                  <w:noWrap w:val="0"/>
                  <w:vAlign w:val="center"/>
                </w:tcPr>
                <w:p w14:paraId="7CFBA081">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11</w:t>
                  </w:r>
                  <w:r>
                    <w:rPr>
                      <w:rFonts w:hint="default" w:ascii="Times New Roman" w:hAnsi="Times New Roman" w:eastAsia="宋体" w:cs="Times New Roman"/>
                      <w:kern w:val="2"/>
                      <w:sz w:val="21"/>
                      <w:szCs w:val="21"/>
                      <w:lang w:val="en-US" w:eastAsia="zh-CN" w:bidi="ar-SA"/>
                    </w:rPr>
                    <w:t>:</w:t>
                  </w:r>
                  <w:r>
                    <w:rPr>
                      <w:rFonts w:hint="default" w:ascii="Times New Roman" w:hAnsi="Times New Roman" w:eastAsia="宋体" w:cs="Times New Roman"/>
                      <w:sz w:val="21"/>
                      <w:szCs w:val="21"/>
                      <w:lang w:val="en-US" w:eastAsia="zh-CN"/>
                    </w:rPr>
                    <w:t>42</w:t>
                  </w:r>
                </w:p>
              </w:tc>
              <w:tc>
                <w:tcPr>
                  <w:tcW w:w="1302" w:type="dxa"/>
                  <w:shd w:val="clear" w:color="auto" w:fill="auto"/>
                  <w:noWrap w:val="0"/>
                  <w:vAlign w:val="center"/>
                </w:tcPr>
                <w:p w14:paraId="31C09053">
                  <w:pPr>
                    <w:jc w:val="center"/>
                    <w:rPr>
                      <w:rFonts w:hint="default" w:ascii="Times New Roman" w:hAnsi="Times New Roman" w:eastAsia="宋体" w:cs="Times New Roman"/>
                      <w:kern w:val="2"/>
                      <w:sz w:val="21"/>
                      <w:szCs w:val="21"/>
                      <w:lang w:val="en-US" w:eastAsia="zh-CN" w:bidi="ar-SA"/>
                    </w:rPr>
                  </w:pPr>
                  <w:r>
                    <w:rPr>
                      <w:rFonts w:hint="eastAsia" w:cs="Times New Roman"/>
                      <w:b w:val="0"/>
                      <w:bCs w:val="0"/>
                      <w:szCs w:val="21"/>
                      <w:lang w:val="en-US" w:eastAsia="zh-CN"/>
                    </w:rPr>
                    <w:t>51.7</w:t>
                  </w:r>
                </w:p>
              </w:tc>
              <w:tc>
                <w:tcPr>
                  <w:tcW w:w="1128" w:type="dxa"/>
                  <w:shd w:val="clear" w:color="auto" w:fill="auto"/>
                  <w:noWrap w:val="0"/>
                  <w:vAlign w:val="center"/>
                </w:tcPr>
                <w:p w14:paraId="1CB8C3E0">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00</w:t>
                  </w:r>
                  <w:r>
                    <w:rPr>
                      <w:rFonts w:hint="default" w:ascii="Times New Roman" w:hAnsi="Times New Roman" w:eastAsia="宋体" w:cs="Times New Roman"/>
                      <w:kern w:val="2"/>
                      <w:sz w:val="21"/>
                      <w:szCs w:val="21"/>
                      <w:lang w:val="en-US" w:eastAsia="zh-CN" w:bidi="ar-SA"/>
                    </w:rPr>
                    <w:t>:</w:t>
                  </w:r>
                  <w:r>
                    <w:rPr>
                      <w:rFonts w:hint="default" w:ascii="Times New Roman" w:hAnsi="Times New Roman" w:eastAsia="宋体" w:cs="Times New Roman"/>
                      <w:sz w:val="21"/>
                      <w:szCs w:val="21"/>
                      <w:lang w:val="en-US" w:eastAsia="zh-CN"/>
                    </w:rPr>
                    <w:t>25</w:t>
                  </w:r>
                </w:p>
              </w:tc>
              <w:tc>
                <w:tcPr>
                  <w:tcW w:w="1250" w:type="dxa"/>
                  <w:shd w:val="clear" w:color="auto" w:fill="auto"/>
                  <w:noWrap w:val="0"/>
                  <w:vAlign w:val="center"/>
                </w:tcPr>
                <w:p w14:paraId="323A9EDA">
                  <w:pPr>
                    <w:jc w:val="center"/>
                    <w:rPr>
                      <w:rFonts w:hint="default" w:ascii="Times New Roman" w:hAnsi="Times New Roman" w:eastAsia="宋体" w:cs="Times New Roman"/>
                      <w:kern w:val="2"/>
                      <w:sz w:val="21"/>
                      <w:szCs w:val="21"/>
                      <w:lang w:val="en-US" w:eastAsia="zh-CN" w:bidi="ar-SA"/>
                    </w:rPr>
                  </w:pPr>
                  <w:r>
                    <w:rPr>
                      <w:rFonts w:hint="eastAsia"/>
                      <w:b w:val="0"/>
                      <w:bCs w:val="0"/>
                      <w:szCs w:val="21"/>
                      <w:lang w:val="en-US" w:eastAsia="zh-CN"/>
                    </w:rPr>
                    <w:t>33.3</w:t>
                  </w:r>
                </w:p>
              </w:tc>
            </w:tr>
            <w:tr w14:paraId="7FF4911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2222" w:type="dxa"/>
                  <w:shd w:val="clear" w:color="auto" w:fill="auto"/>
                  <w:noWrap w:val="0"/>
                  <w:vAlign w:val="center"/>
                </w:tcPr>
                <w:p w14:paraId="23F9B83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厂界东侧外1m处</w:t>
                  </w:r>
                </w:p>
              </w:tc>
              <w:tc>
                <w:tcPr>
                  <w:tcW w:w="1498" w:type="dxa"/>
                  <w:vMerge w:val="restart"/>
                  <w:noWrap w:val="0"/>
                  <w:vAlign w:val="center"/>
                </w:tcPr>
                <w:p w14:paraId="073DAB6D">
                  <w:pPr>
                    <w:pStyle w:val="11"/>
                    <w:spacing w:after="0"/>
                    <w:ind w:left="0" w:leftChars="0" w:right="0" w:rightChars="0"/>
                    <w:jc w:val="center"/>
                    <w:rPr>
                      <w:rFonts w:hint="default" w:ascii="Times New Roman" w:hAnsi="Times New Roman" w:eastAsia="宋体" w:cs="Times New Roman"/>
                      <w:color w:val="auto"/>
                      <w:szCs w:val="21"/>
                      <w:highlight w:val="none"/>
                      <w:lang w:val="en-US"/>
                    </w:rPr>
                  </w:pPr>
                  <w:r>
                    <w:rPr>
                      <w:rFonts w:hint="default" w:ascii="Times New Roman" w:hAnsi="Times New Roman" w:cs="Times New Roman"/>
                      <w:color w:val="auto"/>
                      <w:szCs w:val="21"/>
                      <w:lang w:eastAsia="zh-CN"/>
                    </w:rPr>
                    <w:t>202</w:t>
                  </w:r>
                  <w:r>
                    <w:rPr>
                      <w:rFonts w:hint="default" w:ascii="Times New Roman" w:hAnsi="Times New Roman" w:cs="Times New Roman"/>
                      <w:color w:val="auto"/>
                      <w:szCs w:val="21"/>
                      <w:lang w:val="en-US" w:eastAsia="zh-CN"/>
                    </w:rPr>
                    <w:t>5</w:t>
                  </w:r>
                  <w:r>
                    <w:rPr>
                      <w:rFonts w:hint="default" w:ascii="Times New Roman" w:hAnsi="Times New Roman" w:cs="Times New Roman"/>
                      <w:color w:val="auto"/>
                      <w:szCs w:val="21"/>
                      <w:lang w:eastAsia="zh-CN"/>
                    </w:rPr>
                    <w:t>年</w:t>
                  </w:r>
                  <w:r>
                    <w:rPr>
                      <w:rFonts w:hint="eastAsia" w:ascii="Times New Roman" w:hAnsi="Times New Roman" w:cs="Times New Roman"/>
                      <w:color w:val="auto"/>
                      <w:szCs w:val="21"/>
                      <w:lang w:val="en-US" w:eastAsia="zh-CN"/>
                    </w:rPr>
                    <w:t>6</w:t>
                  </w:r>
                  <w:r>
                    <w:rPr>
                      <w:rFonts w:hint="default" w:ascii="Times New Roman" w:hAnsi="Times New Roman" w:cs="Times New Roman"/>
                      <w:color w:val="auto"/>
                      <w:szCs w:val="21"/>
                      <w:lang w:eastAsia="zh-CN"/>
                    </w:rPr>
                    <w:t>月</w:t>
                  </w:r>
                  <w:r>
                    <w:rPr>
                      <w:rFonts w:hint="eastAsia" w:ascii="Times New Roman" w:hAnsi="Times New Roman" w:cs="Times New Roman"/>
                      <w:color w:val="auto"/>
                      <w:szCs w:val="21"/>
                      <w:lang w:val="en-US" w:eastAsia="zh-CN"/>
                    </w:rPr>
                    <w:t>28</w:t>
                  </w:r>
                  <w:r>
                    <w:rPr>
                      <w:rFonts w:hint="default" w:ascii="Times New Roman" w:hAnsi="Times New Roman" w:cs="Times New Roman"/>
                      <w:color w:val="auto"/>
                      <w:szCs w:val="21"/>
                      <w:lang w:eastAsia="zh-CN"/>
                    </w:rPr>
                    <w:t>日</w:t>
                  </w:r>
                  <w:r>
                    <w:rPr>
                      <w:rFonts w:hint="default" w:ascii="Times New Roman" w:hAnsi="Times New Roman" w:cs="Times New Roman"/>
                      <w:color w:val="auto"/>
                      <w:szCs w:val="21"/>
                      <w:lang w:val="en-US" w:eastAsia="zh-CN"/>
                    </w:rPr>
                    <w:t>-</w:t>
                  </w:r>
                  <w:r>
                    <w:rPr>
                      <w:rFonts w:hint="eastAsia" w:ascii="Times New Roman" w:hAnsi="Times New Roman" w:cs="Times New Roman"/>
                      <w:color w:val="auto"/>
                      <w:szCs w:val="21"/>
                      <w:lang w:val="en-US" w:eastAsia="zh-CN"/>
                    </w:rPr>
                    <w:t>29</w:t>
                  </w:r>
                  <w:r>
                    <w:rPr>
                      <w:rFonts w:hint="default" w:ascii="Times New Roman" w:hAnsi="Times New Roman" w:cs="Times New Roman"/>
                      <w:color w:val="auto"/>
                      <w:szCs w:val="21"/>
                      <w:lang w:val="en-US" w:eastAsia="zh-CN"/>
                    </w:rPr>
                    <w:t>日</w:t>
                  </w:r>
                </w:p>
              </w:tc>
              <w:tc>
                <w:tcPr>
                  <w:tcW w:w="1395" w:type="dxa"/>
                  <w:shd w:val="clear" w:color="auto" w:fill="auto"/>
                  <w:noWrap w:val="0"/>
                  <w:vAlign w:val="center"/>
                </w:tcPr>
                <w:p w14:paraId="1EE9B35E">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11:16</w:t>
                  </w:r>
                </w:p>
              </w:tc>
              <w:tc>
                <w:tcPr>
                  <w:tcW w:w="1302" w:type="dxa"/>
                  <w:shd w:val="clear" w:color="auto" w:fill="auto"/>
                  <w:noWrap w:val="0"/>
                  <w:vAlign w:val="center"/>
                </w:tcPr>
                <w:p w14:paraId="5B3333CF">
                  <w:pPr>
                    <w:jc w:val="center"/>
                    <w:rPr>
                      <w:rFonts w:hint="default" w:ascii="Times New Roman" w:hAnsi="Times New Roman" w:eastAsia="宋体" w:cs="Times New Roman"/>
                      <w:color w:val="auto"/>
                      <w:kern w:val="2"/>
                      <w:sz w:val="21"/>
                      <w:szCs w:val="21"/>
                      <w:lang w:val="en-US" w:eastAsia="zh-CN" w:bidi="ar-SA"/>
                    </w:rPr>
                  </w:pPr>
                  <w:r>
                    <w:rPr>
                      <w:rFonts w:hint="eastAsia"/>
                      <w:b w:val="0"/>
                      <w:bCs w:val="0"/>
                      <w:szCs w:val="21"/>
                      <w:lang w:val="en-US" w:eastAsia="zh-CN"/>
                    </w:rPr>
                    <w:t>41.5</w:t>
                  </w:r>
                </w:p>
              </w:tc>
              <w:tc>
                <w:tcPr>
                  <w:tcW w:w="1128" w:type="dxa"/>
                  <w:shd w:val="clear" w:color="auto" w:fill="auto"/>
                  <w:noWrap w:val="0"/>
                  <w:vAlign w:val="center"/>
                </w:tcPr>
                <w:p w14:paraId="05593C53">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00:07</w:t>
                  </w:r>
                </w:p>
              </w:tc>
              <w:tc>
                <w:tcPr>
                  <w:tcW w:w="1250" w:type="dxa"/>
                  <w:shd w:val="clear" w:color="auto" w:fill="auto"/>
                  <w:noWrap w:val="0"/>
                  <w:vAlign w:val="center"/>
                </w:tcPr>
                <w:p w14:paraId="2DFEEBE1">
                  <w:pPr>
                    <w:jc w:val="center"/>
                    <w:rPr>
                      <w:rFonts w:hint="default" w:ascii="Times New Roman" w:hAnsi="Times New Roman" w:eastAsia="宋体" w:cs="Times New Roman"/>
                      <w:kern w:val="2"/>
                      <w:sz w:val="21"/>
                      <w:szCs w:val="21"/>
                      <w:lang w:val="en-US" w:eastAsia="zh-CN" w:bidi="ar-SA"/>
                    </w:rPr>
                  </w:pPr>
                  <w:r>
                    <w:rPr>
                      <w:rFonts w:hint="eastAsia"/>
                      <w:b w:val="0"/>
                      <w:bCs w:val="0"/>
                      <w:color w:val="auto"/>
                      <w:szCs w:val="21"/>
                      <w:lang w:val="en-US" w:eastAsia="zh-CN"/>
                    </w:rPr>
                    <w:t>33.3</w:t>
                  </w:r>
                </w:p>
              </w:tc>
            </w:tr>
            <w:tr w14:paraId="4BB369B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2222" w:type="dxa"/>
                  <w:shd w:val="clear" w:color="auto" w:fill="auto"/>
                  <w:noWrap w:val="0"/>
                  <w:vAlign w:val="center"/>
                </w:tcPr>
                <w:p w14:paraId="322BC2F3">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厂界西侧外1m处</w:t>
                  </w:r>
                </w:p>
              </w:tc>
              <w:tc>
                <w:tcPr>
                  <w:tcW w:w="1498" w:type="dxa"/>
                  <w:vMerge w:val="continue"/>
                  <w:noWrap w:val="0"/>
                  <w:vAlign w:val="center"/>
                </w:tcPr>
                <w:p w14:paraId="6A7176EB">
                  <w:pPr>
                    <w:ind w:left="-105" w:leftChars="-50" w:right="-105" w:rightChars="-50"/>
                    <w:jc w:val="center"/>
                    <w:rPr>
                      <w:rFonts w:hint="default" w:ascii="Times New Roman" w:hAnsi="Times New Roman" w:eastAsia="宋体" w:cs="Times New Roman"/>
                      <w:color w:val="auto"/>
                      <w:szCs w:val="21"/>
                      <w:highlight w:val="none"/>
                    </w:rPr>
                  </w:pPr>
                </w:p>
              </w:tc>
              <w:tc>
                <w:tcPr>
                  <w:tcW w:w="1395" w:type="dxa"/>
                  <w:shd w:val="clear" w:color="auto" w:fill="auto"/>
                  <w:noWrap w:val="0"/>
                  <w:vAlign w:val="center"/>
                </w:tcPr>
                <w:p w14:paraId="100C17A3">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11:25</w:t>
                  </w:r>
                </w:p>
              </w:tc>
              <w:tc>
                <w:tcPr>
                  <w:tcW w:w="1302" w:type="dxa"/>
                  <w:shd w:val="clear" w:color="auto" w:fill="auto"/>
                  <w:noWrap w:val="0"/>
                  <w:vAlign w:val="center"/>
                </w:tcPr>
                <w:p w14:paraId="70DED3FF">
                  <w:pPr>
                    <w:jc w:val="center"/>
                    <w:rPr>
                      <w:rFonts w:hint="default" w:ascii="Times New Roman" w:hAnsi="Times New Roman" w:eastAsia="宋体" w:cs="Times New Roman"/>
                      <w:color w:val="auto"/>
                      <w:kern w:val="2"/>
                      <w:sz w:val="21"/>
                      <w:szCs w:val="21"/>
                      <w:lang w:val="en-US" w:eastAsia="zh-CN" w:bidi="ar-SA"/>
                    </w:rPr>
                  </w:pPr>
                  <w:r>
                    <w:rPr>
                      <w:rFonts w:hint="eastAsia" w:cs="Times New Roman"/>
                      <w:b w:val="0"/>
                      <w:bCs w:val="0"/>
                      <w:szCs w:val="21"/>
                      <w:lang w:val="en-US" w:eastAsia="zh-CN"/>
                    </w:rPr>
                    <w:t>41.6</w:t>
                  </w:r>
                </w:p>
              </w:tc>
              <w:tc>
                <w:tcPr>
                  <w:tcW w:w="1128" w:type="dxa"/>
                  <w:shd w:val="clear" w:color="auto" w:fill="auto"/>
                  <w:noWrap w:val="0"/>
                  <w:vAlign w:val="center"/>
                </w:tcPr>
                <w:p w14:paraId="0D0DBFBE">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00:18</w:t>
                  </w:r>
                </w:p>
              </w:tc>
              <w:tc>
                <w:tcPr>
                  <w:tcW w:w="1250" w:type="dxa"/>
                  <w:shd w:val="clear" w:color="auto" w:fill="auto"/>
                  <w:noWrap w:val="0"/>
                  <w:vAlign w:val="center"/>
                </w:tcPr>
                <w:p w14:paraId="1099D45B">
                  <w:pPr>
                    <w:jc w:val="center"/>
                    <w:rPr>
                      <w:rFonts w:hint="default" w:ascii="Times New Roman" w:hAnsi="Times New Roman" w:eastAsia="宋体" w:cs="Times New Roman"/>
                      <w:kern w:val="2"/>
                      <w:sz w:val="21"/>
                      <w:szCs w:val="21"/>
                      <w:lang w:val="en-US" w:eastAsia="zh-CN" w:bidi="ar-SA"/>
                    </w:rPr>
                  </w:pPr>
                  <w:r>
                    <w:rPr>
                      <w:rFonts w:hint="eastAsia"/>
                      <w:b w:val="0"/>
                      <w:bCs w:val="0"/>
                      <w:color w:val="auto"/>
                      <w:szCs w:val="21"/>
                      <w:lang w:val="en-US" w:eastAsia="zh-CN"/>
                    </w:rPr>
                    <w:t>37.6</w:t>
                  </w:r>
                </w:p>
              </w:tc>
            </w:tr>
            <w:tr w14:paraId="6DB77C7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2222" w:type="dxa"/>
                  <w:shd w:val="clear" w:color="auto" w:fill="auto"/>
                  <w:noWrap w:val="0"/>
                  <w:vAlign w:val="center"/>
                </w:tcPr>
                <w:p w14:paraId="0229E5FB">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厂界南侧外1m处</w:t>
                  </w:r>
                </w:p>
              </w:tc>
              <w:tc>
                <w:tcPr>
                  <w:tcW w:w="1498" w:type="dxa"/>
                  <w:vMerge w:val="continue"/>
                  <w:noWrap w:val="0"/>
                  <w:vAlign w:val="center"/>
                </w:tcPr>
                <w:p w14:paraId="36C1FB8F">
                  <w:pPr>
                    <w:ind w:left="-105" w:leftChars="-50" w:right="-105" w:rightChars="-50"/>
                    <w:jc w:val="center"/>
                    <w:rPr>
                      <w:rFonts w:hint="default" w:ascii="Times New Roman" w:hAnsi="Times New Roman" w:eastAsia="宋体" w:cs="Times New Roman"/>
                      <w:color w:val="auto"/>
                      <w:szCs w:val="21"/>
                      <w:highlight w:val="none"/>
                    </w:rPr>
                  </w:pPr>
                </w:p>
              </w:tc>
              <w:tc>
                <w:tcPr>
                  <w:tcW w:w="1395" w:type="dxa"/>
                  <w:shd w:val="clear" w:color="auto" w:fill="auto"/>
                  <w:noWrap w:val="0"/>
                  <w:vAlign w:val="center"/>
                </w:tcPr>
                <w:p w14:paraId="01F6F57C">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11:37</w:t>
                  </w:r>
                </w:p>
              </w:tc>
              <w:tc>
                <w:tcPr>
                  <w:tcW w:w="1302" w:type="dxa"/>
                  <w:shd w:val="clear" w:color="auto" w:fill="auto"/>
                  <w:noWrap w:val="0"/>
                  <w:vAlign w:val="center"/>
                </w:tcPr>
                <w:p w14:paraId="5151B2CB">
                  <w:pPr>
                    <w:jc w:val="center"/>
                    <w:rPr>
                      <w:rFonts w:hint="default" w:ascii="Times New Roman" w:hAnsi="Times New Roman" w:eastAsia="宋体" w:cs="Times New Roman"/>
                      <w:color w:val="auto"/>
                      <w:kern w:val="2"/>
                      <w:sz w:val="21"/>
                      <w:szCs w:val="21"/>
                      <w:lang w:val="en-US" w:eastAsia="zh-CN" w:bidi="ar-SA"/>
                    </w:rPr>
                  </w:pPr>
                  <w:r>
                    <w:rPr>
                      <w:rFonts w:hint="eastAsia" w:cs="Times New Roman"/>
                      <w:b w:val="0"/>
                      <w:bCs w:val="0"/>
                      <w:szCs w:val="21"/>
                      <w:lang w:val="en-US" w:eastAsia="zh-CN"/>
                    </w:rPr>
                    <w:t>46.0</w:t>
                  </w:r>
                </w:p>
              </w:tc>
              <w:tc>
                <w:tcPr>
                  <w:tcW w:w="1128" w:type="dxa"/>
                  <w:shd w:val="clear" w:color="auto" w:fill="auto"/>
                  <w:noWrap w:val="0"/>
                  <w:vAlign w:val="center"/>
                </w:tcPr>
                <w:p w14:paraId="5B051EC2">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00:25</w:t>
                  </w:r>
                </w:p>
              </w:tc>
              <w:tc>
                <w:tcPr>
                  <w:tcW w:w="1250" w:type="dxa"/>
                  <w:shd w:val="clear" w:color="auto" w:fill="auto"/>
                  <w:noWrap w:val="0"/>
                  <w:vAlign w:val="center"/>
                </w:tcPr>
                <w:p w14:paraId="7235D5B1">
                  <w:pPr>
                    <w:jc w:val="center"/>
                    <w:rPr>
                      <w:rFonts w:hint="default" w:ascii="Times New Roman" w:hAnsi="Times New Roman" w:eastAsia="宋体" w:cs="Times New Roman"/>
                      <w:kern w:val="2"/>
                      <w:sz w:val="21"/>
                      <w:szCs w:val="21"/>
                      <w:lang w:val="en-US" w:eastAsia="zh-CN" w:bidi="ar-SA"/>
                    </w:rPr>
                  </w:pPr>
                  <w:r>
                    <w:rPr>
                      <w:rFonts w:hint="eastAsia"/>
                      <w:b w:val="0"/>
                      <w:bCs w:val="0"/>
                      <w:color w:val="auto"/>
                      <w:szCs w:val="21"/>
                      <w:lang w:val="en-US" w:eastAsia="zh-CN"/>
                    </w:rPr>
                    <w:t>39.3</w:t>
                  </w:r>
                </w:p>
              </w:tc>
            </w:tr>
            <w:tr w14:paraId="1A56719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2222" w:type="dxa"/>
                  <w:shd w:val="clear" w:color="auto" w:fill="auto"/>
                  <w:noWrap w:val="0"/>
                  <w:vAlign w:val="center"/>
                </w:tcPr>
                <w:p w14:paraId="59EB29E9">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厂界北侧外1m处</w:t>
                  </w:r>
                </w:p>
              </w:tc>
              <w:tc>
                <w:tcPr>
                  <w:tcW w:w="1498" w:type="dxa"/>
                  <w:vMerge w:val="continue"/>
                  <w:noWrap w:val="0"/>
                  <w:vAlign w:val="center"/>
                </w:tcPr>
                <w:p w14:paraId="5203ACBC">
                  <w:pPr>
                    <w:ind w:left="-105" w:leftChars="-50" w:right="-105" w:rightChars="-50"/>
                    <w:jc w:val="center"/>
                    <w:rPr>
                      <w:rFonts w:hint="default" w:ascii="Times New Roman" w:hAnsi="Times New Roman" w:eastAsia="宋体" w:cs="Times New Roman"/>
                      <w:color w:val="auto"/>
                      <w:szCs w:val="21"/>
                      <w:highlight w:val="none"/>
                    </w:rPr>
                  </w:pPr>
                </w:p>
              </w:tc>
              <w:tc>
                <w:tcPr>
                  <w:tcW w:w="1395" w:type="dxa"/>
                  <w:shd w:val="clear" w:color="auto" w:fill="auto"/>
                  <w:noWrap w:val="0"/>
                  <w:vAlign w:val="center"/>
                </w:tcPr>
                <w:p w14:paraId="39A5C484">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11</w:t>
                  </w:r>
                  <w:r>
                    <w:rPr>
                      <w:rFonts w:hint="default" w:ascii="Times New Roman" w:hAnsi="Times New Roman" w:eastAsia="宋体" w:cs="Times New Roman"/>
                      <w:kern w:val="2"/>
                      <w:sz w:val="21"/>
                      <w:szCs w:val="21"/>
                      <w:lang w:val="en-US" w:eastAsia="zh-CN" w:bidi="ar-SA"/>
                    </w:rPr>
                    <w:t>:50</w:t>
                  </w:r>
                </w:p>
              </w:tc>
              <w:tc>
                <w:tcPr>
                  <w:tcW w:w="1302" w:type="dxa"/>
                  <w:shd w:val="clear" w:color="auto" w:fill="auto"/>
                  <w:noWrap w:val="0"/>
                  <w:vAlign w:val="center"/>
                </w:tcPr>
                <w:p w14:paraId="6EA84033">
                  <w:pPr>
                    <w:jc w:val="center"/>
                    <w:rPr>
                      <w:rFonts w:hint="default" w:ascii="Times New Roman" w:hAnsi="Times New Roman" w:eastAsia="宋体" w:cs="Times New Roman"/>
                      <w:kern w:val="2"/>
                      <w:sz w:val="21"/>
                      <w:szCs w:val="21"/>
                      <w:lang w:val="en-US" w:eastAsia="zh-CN" w:bidi="ar-SA"/>
                    </w:rPr>
                  </w:pPr>
                  <w:r>
                    <w:rPr>
                      <w:rFonts w:hint="eastAsia" w:cs="Times New Roman"/>
                      <w:b w:val="0"/>
                      <w:bCs w:val="0"/>
                      <w:szCs w:val="21"/>
                      <w:lang w:val="en-US" w:eastAsia="zh-CN"/>
                    </w:rPr>
                    <w:t>41.3</w:t>
                  </w:r>
                </w:p>
              </w:tc>
              <w:tc>
                <w:tcPr>
                  <w:tcW w:w="1128" w:type="dxa"/>
                  <w:shd w:val="clear" w:color="auto" w:fill="auto"/>
                  <w:noWrap w:val="0"/>
                  <w:vAlign w:val="center"/>
                </w:tcPr>
                <w:p w14:paraId="0A786083">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00</w:t>
                  </w:r>
                  <w:r>
                    <w:rPr>
                      <w:rFonts w:hint="default" w:ascii="Times New Roman" w:hAnsi="Times New Roman" w:eastAsia="宋体" w:cs="Times New Roman"/>
                      <w:kern w:val="2"/>
                      <w:sz w:val="21"/>
                      <w:szCs w:val="21"/>
                      <w:lang w:val="en-US" w:eastAsia="zh-CN" w:bidi="ar-SA"/>
                    </w:rPr>
                    <w:t>:36</w:t>
                  </w:r>
                </w:p>
              </w:tc>
              <w:tc>
                <w:tcPr>
                  <w:tcW w:w="1250" w:type="dxa"/>
                  <w:shd w:val="clear" w:color="auto" w:fill="auto"/>
                  <w:noWrap w:val="0"/>
                  <w:vAlign w:val="center"/>
                </w:tcPr>
                <w:p w14:paraId="0BDAEBD3">
                  <w:pPr>
                    <w:jc w:val="center"/>
                    <w:rPr>
                      <w:rFonts w:hint="default" w:ascii="Times New Roman" w:hAnsi="Times New Roman" w:eastAsia="宋体" w:cs="Times New Roman"/>
                      <w:kern w:val="2"/>
                      <w:sz w:val="21"/>
                      <w:szCs w:val="21"/>
                      <w:lang w:val="en-US" w:eastAsia="zh-CN" w:bidi="ar-SA"/>
                    </w:rPr>
                  </w:pPr>
                  <w:r>
                    <w:rPr>
                      <w:rFonts w:hint="eastAsia"/>
                      <w:b w:val="0"/>
                      <w:bCs w:val="0"/>
                      <w:szCs w:val="21"/>
                      <w:lang w:val="en-US" w:eastAsia="zh-CN"/>
                    </w:rPr>
                    <w:t>38.3</w:t>
                  </w:r>
                </w:p>
              </w:tc>
            </w:tr>
            <w:tr w14:paraId="6EF8DDF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3720" w:type="dxa"/>
                  <w:gridSpan w:val="2"/>
                  <w:noWrap w:val="0"/>
                  <w:vAlign w:val="center"/>
                </w:tcPr>
                <w:p w14:paraId="377A76E8">
                  <w:pPr>
                    <w:autoSpaceDE w:val="0"/>
                    <w:autoSpaceDN w:val="0"/>
                    <w:adjustRightInd w:val="0"/>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（GB12348-2008）</w:t>
                  </w:r>
                  <w:r>
                    <w:rPr>
                      <w:rFonts w:hint="eastAsia" w:ascii="Times New Roman" w:hAnsi="Times New Roman" w:eastAsia="宋体" w:cs="Times New Roman"/>
                      <w:b/>
                      <w:bCs/>
                      <w:color w:val="auto"/>
                      <w:szCs w:val="21"/>
                      <w:highlight w:val="none"/>
                      <w:lang w:val="en-US" w:eastAsia="zh-CN"/>
                    </w:rPr>
                    <w:t>2类</w:t>
                  </w:r>
                  <w:r>
                    <w:rPr>
                      <w:rFonts w:hint="default" w:ascii="Times New Roman" w:hAnsi="Times New Roman" w:eastAsia="宋体" w:cs="Times New Roman"/>
                      <w:b/>
                      <w:bCs/>
                      <w:color w:val="auto"/>
                      <w:szCs w:val="21"/>
                      <w:highlight w:val="none"/>
                    </w:rPr>
                    <w:t>标准限值</w:t>
                  </w:r>
                </w:p>
              </w:tc>
              <w:tc>
                <w:tcPr>
                  <w:tcW w:w="1395" w:type="dxa"/>
                  <w:noWrap w:val="0"/>
                  <w:vAlign w:val="center"/>
                </w:tcPr>
                <w:p w14:paraId="6E4139A7">
                  <w:pPr>
                    <w:widowControl/>
                    <w:jc w:val="center"/>
                    <w:textAlignment w:val="center"/>
                    <w:rPr>
                      <w:rFonts w:hint="default" w:ascii="Times New Roman" w:hAnsi="Times New Roman" w:eastAsia="宋体" w:cs="Times New Roman"/>
                      <w:b/>
                      <w:bCs/>
                      <w:color w:val="auto"/>
                      <w:kern w:val="0"/>
                      <w:szCs w:val="21"/>
                      <w:highlight w:val="none"/>
                      <w:lang w:val="en-US" w:eastAsia="zh-CN" w:bidi="ar"/>
                    </w:rPr>
                  </w:pPr>
                  <w:r>
                    <w:rPr>
                      <w:rFonts w:hint="default" w:ascii="Times New Roman" w:hAnsi="Times New Roman" w:cs="Times New Roman"/>
                      <w:b/>
                      <w:bCs/>
                      <w:color w:val="auto"/>
                      <w:kern w:val="0"/>
                      <w:szCs w:val="21"/>
                      <w:highlight w:val="none"/>
                      <w:lang w:val="en-US" w:eastAsia="zh-CN" w:bidi="ar"/>
                    </w:rPr>
                    <w:t>/</w:t>
                  </w:r>
                </w:p>
              </w:tc>
              <w:tc>
                <w:tcPr>
                  <w:tcW w:w="1302" w:type="dxa"/>
                  <w:noWrap w:val="0"/>
                  <w:vAlign w:val="center"/>
                </w:tcPr>
                <w:p w14:paraId="37FE85AF">
                  <w:pPr>
                    <w:widowControl/>
                    <w:jc w:val="center"/>
                    <w:textAlignment w:val="center"/>
                    <w:rPr>
                      <w:rFonts w:hint="eastAsia" w:ascii="Times New Roman" w:hAnsi="Times New Roman" w:eastAsia="宋体" w:cs="Times New Roman"/>
                      <w:b/>
                      <w:bCs/>
                      <w:color w:val="auto"/>
                      <w:kern w:val="0"/>
                      <w:sz w:val="21"/>
                      <w:szCs w:val="21"/>
                      <w:highlight w:val="none"/>
                      <w:lang w:val="en-US" w:eastAsia="zh-CN" w:bidi="ar"/>
                    </w:rPr>
                  </w:pPr>
                  <w:r>
                    <w:rPr>
                      <w:rFonts w:hint="default" w:ascii="Times New Roman" w:hAnsi="Times New Roman" w:eastAsia="宋体" w:cs="Times New Roman"/>
                      <w:b/>
                      <w:bCs/>
                      <w:color w:val="auto"/>
                      <w:kern w:val="0"/>
                      <w:szCs w:val="21"/>
                      <w:highlight w:val="none"/>
                      <w:lang w:bidi="ar"/>
                    </w:rPr>
                    <w:t>6</w:t>
                  </w:r>
                  <w:r>
                    <w:rPr>
                      <w:rFonts w:hint="eastAsia" w:ascii="Times New Roman" w:hAnsi="Times New Roman" w:eastAsia="宋体" w:cs="Times New Roman"/>
                      <w:b/>
                      <w:bCs/>
                      <w:color w:val="auto"/>
                      <w:kern w:val="0"/>
                      <w:szCs w:val="21"/>
                      <w:highlight w:val="none"/>
                      <w:lang w:val="en-US" w:eastAsia="zh-CN" w:bidi="ar"/>
                    </w:rPr>
                    <w:t>0</w:t>
                  </w:r>
                </w:p>
              </w:tc>
              <w:tc>
                <w:tcPr>
                  <w:tcW w:w="1128" w:type="dxa"/>
                  <w:noWrap w:val="0"/>
                  <w:vAlign w:val="center"/>
                </w:tcPr>
                <w:p w14:paraId="68DB9077">
                  <w:pPr>
                    <w:widowControl/>
                    <w:jc w:val="center"/>
                    <w:textAlignment w:val="center"/>
                    <w:rPr>
                      <w:rFonts w:hint="default" w:ascii="Times New Roman" w:hAnsi="Times New Roman" w:eastAsia="宋体" w:cs="Times New Roman"/>
                      <w:b/>
                      <w:bCs/>
                      <w:color w:val="auto"/>
                      <w:kern w:val="0"/>
                      <w:szCs w:val="21"/>
                      <w:highlight w:val="none"/>
                      <w:lang w:val="en-US" w:eastAsia="zh-CN" w:bidi="ar"/>
                    </w:rPr>
                  </w:pPr>
                  <w:r>
                    <w:rPr>
                      <w:rFonts w:hint="default" w:ascii="Times New Roman" w:hAnsi="Times New Roman" w:cs="Times New Roman"/>
                      <w:b/>
                      <w:bCs/>
                      <w:color w:val="auto"/>
                      <w:kern w:val="0"/>
                      <w:szCs w:val="21"/>
                      <w:highlight w:val="none"/>
                      <w:lang w:val="en-US" w:eastAsia="zh-CN" w:bidi="ar"/>
                    </w:rPr>
                    <w:t>/</w:t>
                  </w:r>
                </w:p>
              </w:tc>
              <w:tc>
                <w:tcPr>
                  <w:tcW w:w="1250" w:type="dxa"/>
                  <w:noWrap w:val="0"/>
                  <w:vAlign w:val="center"/>
                </w:tcPr>
                <w:p w14:paraId="79A5AD21">
                  <w:pPr>
                    <w:widowControl/>
                    <w:jc w:val="center"/>
                    <w:textAlignment w:val="center"/>
                    <w:rPr>
                      <w:rFonts w:hint="default" w:ascii="Times New Roman" w:hAnsi="Times New Roman" w:eastAsia="宋体" w:cs="Times New Roman"/>
                      <w:b/>
                      <w:bCs/>
                      <w:color w:val="auto"/>
                      <w:kern w:val="0"/>
                      <w:sz w:val="21"/>
                      <w:szCs w:val="21"/>
                      <w:highlight w:val="none"/>
                      <w:lang w:val="en-US" w:eastAsia="zh-CN" w:bidi="ar"/>
                    </w:rPr>
                  </w:pPr>
                  <w:r>
                    <w:rPr>
                      <w:rFonts w:hint="default" w:ascii="Times New Roman" w:hAnsi="Times New Roman" w:cs="Times New Roman"/>
                      <w:b/>
                      <w:bCs/>
                      <w:color w:val="auto"/>
                      <w:kern w:val="0"/>
                      <w:szCs w:val="21"/>
                      <w:highlight w:val="none"/>
                      <w:lang w:val="en-US" w:eastAsia="zh-CN" w:bidi="ar"/>
                    </w:rPr>
                    <w:t>5</w:t>
                  </w:r>
                  <w:r>
                    <w:rPr>
                      <w:rFonts w:hint="eastAsia" w:ascii="Times New Roman" w:hAnsi="Times New Roman" w:cs="Times New Roman"/>
                      <w:b/>
                      <w:bCs/>
                      <w:color w:val="auto"/>
                      <w:kern w:val="0"/>
                      <w:szCs w:val="21"/>
                      <w:highlight w:val="none"/>
                      <w:lang w:val="en-US" w:eastAsia="zh-CN" w:bidi="ar"/>
                    </w:rPr>
                    <w:t>0</w:t>
                  </w:r>
                </w:p>
              </w:tc>
            </w:tr>
            <w:tr w14:paraId="0BCA2AA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3720" w:type="dxa"/>
                  <w:gridSpan w:val="2"/>
                  <w:noWrap w:val="0"/>
                  <w:vAlign w:val="center"/>
                </w:tcPr>
                <w:p w14:paraId="2BA6FAB4">
                  <w:pPr>
                    <w:ind w:left="-105" w:leftChars="-50" w:right="-105" w:rightChars="-50"/>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达标情况</w:t>
                  </w:r>
                </w:p>
              </w:tc>
              <w:tc>
                <w:tcPr>
                  <w:tcW w:w="1395" w:type="dxa"/>
                  <w:noWrap w:val="0"/>
                  <w:vAlign w:val="center"/>
                </w:tcPr>
                <w:p w14:paraId="72C200F7">
                  <w:pPr>
                    <w:widowControl/>
                    <w:jc w:val="center"/>
                    <w:textAlignment w:val="center"/>
                    <w:rPr>
                      <w:rFonts w:hint="default" w:ascii="Times New Roman" w:hAnsi="Times New Roman" w:eastAsia="宋体" w:cs="Times New Roman"/>
                      <w:b/>
                      <w:bCs/>
                      <w:color w:val="auto"/>
                      <w:kern w:val="0"/>
                      <w:szCs w:val="21"/>
                      <w:highlight w:val="none"/>
                      <w:lang w:eastAsia="zh-CN" w:bidi="ar"/>
                    </w:rPr>
                  </w:pPr>
                  <w:r>
                    <w:rPr>
                      <w:rFonts w:hint="default" w:ascii="Times New Roman" w:hAnsi="Times New Roman" w:cs="Times New Roman"/>
                      <w:b/>
                      <w:bCs/>
                      <w:color w:val="auto"/>
                      <w:kern w:val="0"/>
                      <w:szCs w:val="21"/>
                      <w:highlight w:val="none"/>
                      <w:lang w:val="en-US" w:eastAsia="zh-CN" w:bidi="ar"/>
                    </w:rPr>
                    <w:t>/</w:t>
                  </w:r>
                </w:p>
              </w:tc>
              <w:tc>
                <w:tcPr>
                  <w:tcW w:w="1302" w:type="dxa"/>
                  <w:noWrap w:val="0"/>
                  <w:vAlign w:val="center"/>
                </w:tcPr>
                <w:p w14:paraId="25394985">
                  <w:pPr>
                    <w:widowControl/>
                    <w:jc w:val="center"/>
                    <w:textAlignment w:val="center"/>
                    <w:rPr>
                      <w:rFonts w:hint="default" w:ascii="Times New Roman" w:hAnsi="Times New Roman" w:eastAsia="宋体" w:cs="Times New Roman"/>
                      <w:b/>
                      <w:bCs/>
                      <w:color w:val="auto"/>
                      <w:kern w:val="0"/>
                      <w:sz w:val="21"/>
                      <w:szCs w:val="21"/>
                      <w:highlight w:val="none"/>
                      <w:lang w:val="en-US" w:eastAsia="zh-CN" w:bidi="ar"/>
                    </w:rPr>
                  </w:pPr>
                  <w:r>
                    <w:rPr>
                      <w:rFonts w:hint="default" w:ascii="Times New Roman" w:hAnsi="Times New Roman" w:eastAsia="宋体" w:cs="Times New Roman"/>
                      <w:b/>
                      <w:bCs/>
                      <w:color w:val="auto"/>
                      <w:kern w:val="0"/>
                      <w:szCs w:val="21"/>
                      <w:highlight w:val="none"/>
                      <w:lang w:bidi="ar"/>
                    </w:rPr>
                    <w:t>达标</w:t>
                  </w:r>
                </w:p>
              </w:tc>
              <w:tc>
                <w:tcPr>
                  <w:tcW w:w="1128" w:type="dxa"/>
                  <w:noWrap w:val="0"/>
                  <w:vAlign w:val="center"/>
                </w:tcPr>
                <w:p w14:paraId="0839C583">
                  <w:pPr>
                    <w:widowControl/>
                    <w:jc w:val="center"/>
                    <w:textAlignment w:val="center"/>
                    <w:rPr>
                      <w:rFonts w:hint="default" w:ascii="Times New Roman" w:hAnsi="Times New Roman" w:eastAsia="宋体" w:cs="Times New Roman"/>
                      <w:b/>
                      <w:bCs/>
                      <w:color w:val="auto"/>
                      <w:kern w:val="0"/>
                      <w:szCs w:val="21"/>
                      <w:highlight w:val="none"/>
                      <w:lang w:bidi="ar"/>
                    </w:rPr>
                  </w:pPr>
                  <w:r>
                    <w:rPr>
                      <w:rFonts w:hint="default" w:ascii="Times New Roman" w:hAnsi="Times New Roman" w:cs="Times New Roman"/>
                      <w:b/>
                      <w:bCs/>
                      <w:color w:val="auto"/>
                      <w:kern w:val="0"/>
                      <w:szCs w:val="21"/>
                      <w:highlight w:val="none"/>
                      <w:lang w:val="en-US" w:eastAsia="zh-CN" w:bidi="ar"/>
                    </w:rPr>
                    <w:t>/</w:t>
                  </w:r>
                </w:p>
              </w:tc>
              <w:tc>
                <w:tcPr>
                  <w:tcW w:w="1250" w:type="dxa"/>
                  <w:noWrap w:val="0"/>
                  <w:vAlign w:val="center"/>
                </w:tcPr>
                <w:p w14:paraId="60F6ABF7">
                  <w:pPr>
                    <w:widowControl/>
                    <w:jc w:val="center"/>
                    <w:textAlignment w:val="center"/>
                    <w:rPr>
                      <w:rFonts w:hint="default" w:ascii="Times New Roman" w:hAnsi="Times New Roman" w:eastAsia="宋体" w:cs="Times New Roman"/>
                      <w:b/>
                      <w:bCs/>
                      <w:color w:val="auto"/>
                      <w:kern w:val="0"/>
                      <w:sz w:val="21"/>
                      <w:szCs w:val="21"/>
                      <w:highlight w:val="none"/>
                      <w:lang w:val="en-US" w:eastAsia="zh-CN" w:bidi="ar"/>
                    </w:rPr>
                  </w:pPr>
                  <w:r>
                    <w:rPr>
                      <w:rFonts w:hint="default" w:ascii="Times New Roman" w:hAnsi="Times New Roman" w:eastAsia="宋体" w:cs="Times New Roman"/>
                      <w:b/>
                      <w:bCs/>
                      <w:color w:val="auto"/>
                      <w:kern w:val="0"/>
                      <w:szCs w:val="21"/>
                      <w:highlight w:val="none"/>
                      <w:lang w:bidi="ar"/>
                    </w:rPr>
                    <w:t>达标</w:t>
                  </w:r>
                </w:p>
              </w:tc>
            </w:tr>
          </w:tbl>
          <w:p w14:paraId="7E67D97C">
            <w:pPr>
              <w:pStyle w:val="11"/>
              <w:keepNext w:val="0"/>
              <w:keepLines w:val="0"/>
              <w:pageBreakBefore w:val="0"/>
              <w:widowControl w:val="0"/>
              <w:kinsoku/>
              <w:wordWrap/>
              <w:overflowPunct/>
              <w:topLinePunct w:val="0"/>
              <w:autoSpaceDE/>
              <w:autoSpaceDN/>
              <w:bidi w:val="0"/>
              <w:adjustRightInd/>
              <w:snapToGrid/>
              <w:spacing w:after="0" w:line="360" w:lineRule="auto"/>
              <w:ind w:left="0" w:leftChars="0" w:rightChars="0" w:firstLine="560" w:firstLineChars="200"/>
              <w:textAlignment w:val="auto"/>
              <w:rPr>
                <w:rFonts w:hint="default" w:ascii="Times New Roman" w:hAnsi="Times New Roman" w:cs="Times New Roman"/>
                <w:color w:val="auto"/>
                <w:sz w:val="28"/>
                <w:szCs w:val="36"/>
                <w:highlight w:val="none"/>
              </w:rPr>
            </w:pPr>
            <w:r>
              <w:rPr>
                <w:rFonts w:hint="default" w:ascii="Times New Roman" w:hAnsi="Times New Roman" w:cs="Times New Roman"/>
                <w:color w:val="auto"/>
                <w:sz w:val="28"/>
                <w:szCs w:val="36"/>
                <w:highlight w:val="none"/>
                <w:lang w:val="en-US" w:eastAsia="zh-CN"/>
              </w:rPr>
              <w:t>验收监测期间</w:t>
            </w:r>
            <w:r>
              <w:rPr>
                <w:rFonts w:hint="default" w:ascii="Times New Roman" w:hAnsi="Times New Roman" w:cs="Times New Roman"/>
                <w:color w:val="auto"/>
                <w:sz w:val="28"/>
                <w:szCs w:val="36"/>
                <w:highlight w:val="none"/>
              </w:rPr>
              <w:t>：</w:t>
            </w:r>
            <w:r>
              <w:rPr>
                <w:rFonts w:hint="default" w:ascii="Times New Roman" w:hAnsi="Times New Roman" w:cs="Times New Roman"/>
                <w:color w:val="auto"/>
                <w:sz w:val="28"/>
                <w:szCs w:val="36"/>
                <w:highlight w:val="none"/>
                <w:lang w:eastAsia="zh-CN"/>
              </w:rPr>
              <w:t>本项目</w:t>
            </w:r>
            <w:r>
              <w:rPr>
                <w:rFonts w:hint="default" w:ascii="Times New Roman" w:hAnsi="Times New Roman" w:cs="Times New Roman"/>
                <w:color w:val="auto"/>
                <w:sz w:val="28"/>
                <w:szCs w:val="36"/>
                <w:highlight w:val="none"/>
              </w:rPr>
              <w:t>厂界外</w:t>
            </w:r>
            <w:r>
              <w:rPr>
                <w:rFonts w:hint="default" w:ascii="Times New Roman" w:hAnsi="Times New Roman" w:cs="Times New Roman"/>
                <w:color w:val="auto"/>
                <w:sz w:val="28"/>
                <w:szCs w:val="36"/>
                <w:highlight w:val="none"/>
                <w:lang w:val="en-US" w:eastAsia="zh-CN"/>
              </w:rPr>
              <w:t>4</w:t>
            </w:r>
            <w:r>
              <w:rPr>
                <w:rFonts w:hint="default" w:ascii="Times New Roman" w:hAnsi="Times New Roman" w:cs="Times New Roman"/>
                <w:color w:val="auto"/>
                <w:sz w:val="28"/>
                <w:szCs w:val="36"/>
                <w:highlight w:val="none"/>
              </w:rPr>
              <w:t>个监测点位昼间</w:t>
            </w:r>
            <w:r>
              <w:rPr>
                <w:rFonts w:hint="default" w:ascii="Times New Roman" w:hAnsi="Times New Roman" w:cs="Times New Roman"/>
                <w:color w:val="auto"/>
                <w:sz w:val="28"/>
                <w:szCs w:val="36"/>
                <w:highlight w:val="none"/>
                <w:lang w:eastAsia="zh-CN"/>
              </w:rPr>
              <w:t>噪声监测范围为</w:t>
            </w:r>
            <w:r>
              <w:rPr>
                <w:rFonts w:hint="eastAsia" w:ascii="Times New Roman" w:hAnsi="Times New Roman" w:cs="Times New Roman"/>
                <w:color w:val="auto"/>
                <w:sz w:val="28"/>
                <w:szCs w:val="36"/>
                <w:highlight w:val="none"/>
                <w:lang w:val="en-US" w:eastAsia="zh-CN"/>
              </w:rPr>
              <w:t>41.3-51.7</w:t>
            </w:r>
            <w:r>
              <w:rPr>
                <w:rFonts w:hint="default" w:ascii="Times New Roman" w:hAnsi="Times New Roman" w:cs="Times New Roman"/>
                <w:color w:val="auto"/>
                <w:sz w:val="28"/>
                <w:szCs w:val="36"/>
                <w:highlight w:val="none"/>
                <w:lang w:val="en-US" w:eastAsia="zh-CN"/>
              </w:rPr>
              <w:t>dB（A），</w:t>
            </w:r>
            <w:r>
              <w:rPr>
                <w:rFonts w:hint="default" w:ascii="Times New Roman" w:hAnsi="Times New Roman" w:cs="Times New Roman"/>
                <w:color w:val="auto"/>
                <w:sz w:val="28"/>
                <w:szCs w:val="36"/>
                <w:highlight w:val="none"/>
                <w:lang w:eastAsia="zh-CN"/>
              </w:rPr>
              <w:t>夜</w:t>
            </w:r>
            <w:r>
              <w:rPr>
                <w:rFonts w:hint="default" w:ascii="Times New Roman" w:hAnsi="Times New Roman" w:cs="Times New Roman"/>
                <w:color w:val="auto"/>
                <w:sz w:val="28"/>
                <w:szCs w:val="36"/>
                <w:highlight w:val="none"/>
              </w:rPr>
              <w:t>间</w:t>
            </w:r>
            <w:r>
              <w:rPr>
                <w:rFonts w:hint="default" w:ascii="Times New Roman" w:hAnsi="Times New Roman" w:cs="Times New Roman"/>
                <w:color w:val="auto"/>
                <w:sz w:val="28"/>
                <w:szCs w:val="36"/>
                <w:highlight w:val="none"/>
                <w:lang w:eastAsia="zh-CN"/>
              </w:rPr>
              <w:t>噪声监测范围为</w:t>
            </w:r>
            <w:r>
              <w:rPr>
                <w:rFonts w:hint="eastAsia" w:ascii="Times New Roman" w:hAnsi="Times New Roman" w:cs="Times New Roman"/>
                <w:color w:val="auto"/>
                <w:sz w:val="28"/>
                <w:szCs w:val="36"/>
                <w:highlight w:val="none"/>
                <w:lang w:val="en-US" w:eastAsia="zh-CN"/>
              </w:rPr>
              <w:t>33.3-39.9</w:t>
            </w:r>
            <w:r>
              <w:rPr>
                <w:rFonts w:hint="default" w:ascii="Times New Roman" w:hAnsi="Times New Roman" w:cs="Times New Roman"/>
                <w:color w:val="auto"/>
                <w:sz w:val="28"/>
                <w:szCs w:val="36"/>
                <w:highlight w:val="none"/>
                <w:lang w:val="en-US" w:eastAsia="zh-CN"/>
              </w:rPr>
              <w:t>dB（A），均</w:t>
            </w:r>
            <w:r>
              <w:rPr>
                <w:rFonts w:hint="default" w:ascii="Times New Roman" w:hAnsi="Times New Roman" w:cs="Times New Roman"/>
                <w:color w:val="auto"/>
                <w:sz w:val="28"/>
                <w:szCs w:val="36"/>
                <w:highlight w:val="none"/>
                <w:lang w:eastAsia="zh-CN"/>
              </w:rPr>
              <w:t>满足</w:t>
            </w:r>
            <w:r>
              <w:rPr>
                <w:rFonts w:hint="default" w:ascii="Times New Roman" w:hAnsi="Times New Roman" w:cs="Times New Roman"/>
                <w:color w:val="auto"/>
                <w:sz w:val="28"/>
                <w:szCs w:val="36"/>
                <w:highlight w:val="none"/>
              </w:rPr>
              <w:t>《工业企业厂界环境噪声排放标准》（GB12348-2008）中</w:t>
            </w:r>
            <w:r>
              <w:rPr>
                <w:rFonts w:hint="eastAsia" w:ascii="Times New Roman" w:hAnsi="Times New Roman" w:cs="Times New Roman"/>
                <w:color w:val="auto"/>
                <w:sz w:val="28"/>
                <w:szCs w:val="36"/>
                <w:highlight w:val="none"/>
                <w:lang w:val="en-US" w:eastAsia="zh-CN"/>
              </w:rPr>
              <w:t>2</w:t>
            </w:r>
            <w:r>
              <w:rPr>
                <w:rFonts w:hint="default" w:ascii="Times New Roman" w:hAnsi="Times New Roman" w:cs="Times New Roman"/>
                <w:color w:val="auto"/>
                <w:sz w:val="28"/>
                <w:szCs w:val="36"/>
                <w:highlight w:val="none"/>
              </w:rPr>
              <w:t>类标准</w:t>
            </w:r>
            <w:r>
              <w:rPr>
                <w:rFonts w:hint="default" w:ascii="Times New Roman" w:hAnsi="Times New Roman" w:cs="Times New Roman"/>
                <w:color w:val="auto"/>
                <w:sz w:val="28"/>
                <w:szCs w:val="36"/>
                <w:highlight w:val="none"/>
                <w:lang w:eastAsia="zh-CN"/>
              </w:rPr>
              <w:t>限值</w:t>
            </w:r>
            <w:r>
              <w:rPr>
                <w:rFonts w:hint="default" w:ascii="Times New Roman" w:hAnsi="Times New Roman" w:cs="Times New Roman"/>
                <w:color w:val="auto"/>
                <w:sz w:val="28"/>
                <w:szCs w:val="36"/>
                <w:highlight w:val="none"/>
              </w:rPr>
              <w:t>要求。</w:t>
            </w:r>
          </w:p>
          <w:p w14:paraId="4109D1DB">
            <w:pPr>
              <w:pStyle w:val="2"/>
              <w:rPr>
                <w:rFonts w:hint="eastAsia"/>
                <w:lang w:val="en-US" w:eastAsia="zh-CN"/>
              </w:rPr>
            </w:pPr>
            <w:r>
              <w:rPr>
                <w:rFonts w:hint="eastAsia"/>
                <w:lang w:val="en-US" w:eastAsia="zh-CN"/>
              </w:rPr>
              <w:t>7.4废水</w:t>
            </w:r>
          </w:p>
          <w:p w14:paraId="1E4DE7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b/>
                <w:color w:val="auto"/>
                <w:sz w:val="24"/>
                <w:szCs w:val="24"/>
                <w:highlight w:val="none"/>
              </w:rPr>
            </w:pPr>
            <w:r>
              <w:rPr>
                <w:rFonts w:hint="default" w:ascii="Times New Roman" w:hAnsi="Times New Roman" w:cs="Times New Roman"/>
                <w:color w:val="auto"/>
                <w:sz w:val="24"/>
                <w:szCs w:val="24"/>
                <w:highlight w:val="none"/>
              </w:rPr>
              <w:t>本次验收</w:t>
            </w:r>
            <w:r>
              <w:rPr>
                <w:rFonts w:hint="eastAsia" w:ascii="Times New Roman" w:hAnsi="Times New Roman" w:cs="Times New Roman"/>
                <w:color w:val="auto"/>
                <w:sz w:val="24"/>
                <w:szCs w:val="24"/>
                <w:highlight w:val="none"/>
                <w:lang w:val="en-US" w:eastAsia="zh-CN"/>
              </w:rPr>
              <w:t>废水</w:t>
            </w:r>
            <w:r>
              <w:rPr>
                <w:rFonts w:hint="default" w:ascii="Times New Roman" w:hAnsi="Times New Roman" w:cs="Times New Roman"/>
                <w:color w:val="auto"/>
                <w:sz w:val="24"/>
                <w:szCs w:val="24"/>
                <w:highlight w:val="none"/>
              </w:rPr>
              <w:t>监测结果见表</w:t>
            </w:r>
            <w:r>
              <w:rPr>
                <w:rFonts w:hint="default" w:ascii="Times New Roman" w:hAnsi="Times New Roman" w:cs="Times New Roman"/>
                <w:color w:val="auto"/>
                <w:sz w:val="24"/>
                <w:szCs w:val="24"/>
                <w:highlight w:val="none"/>
                <w:lang w:val="en-US" w:eastAsia="zh-CN"/>
              </w:rPr>
              <w:t>7</w:t>
            </w:r>
            <w:r>
              <w:rPr>
                <w:rFonts w:hint="default"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7</w:t>
            </w:r>
            <w:r>
              <w:rPr>
                <w:rFonts w:hint="default" w:ascii="Times New Roman" w:hAnsi="Times New Roman" w:cs="Times New Roman"/>
                <w:color w:val="auto"/>
                <w:sz w:val="24"/>
                <w:szCs w:val="24"/>
                <w:highlight w:val="none"/>
              </w:rPr>
              <w:t>。</w:t>
            </w:r>
          </w:p>
          <w:p w14:paraId="1BF5D4CA">
            <w:pPr>
              <w:rPr>
                <w:rFonts w:hint="eastAsia"/>
                <w:lang w:val="en-US" w:eastAsia="zh-CN"/>
              </w:rPr>
            </w:pPr>
            <w:r>
              <w:rPr>
                <w:rFonts w:hint="default" w:ascii="Times New Roman" w:hAnsi="Times New Roman" w:cs="Times New Roman"/>
                <w:b/>
                <w:color w:val="auto"/>
                <w:sz w:val="24"/>
                <w:highlight w:val="none"/>
              </w:rPr>
              <w:t>表</w:t>
            </w:r>
            <w:r>
              <w:rPr>
                <w:rFonts w:hint="default" w:ascii="Times New Roman" w:hAnsi="Times New Roman" w:cs="Times New Roman"/>
                <w:b/>
                <w:color w:val="auto"/>
                <w:sz w:val="24"/>
                <w:highlight w:val="none"/>
                <w:lang w:val="en-US" w:eastAsia="zh-CN"/>
              </w:rPr>
              <w:t>7</w:t>
            </w:r>
            <w:r>
              <w:rPr>
                <w:rFonts w:hint="default" w:ascii="Times New Roman" w:hAnsi="Times New Roman" w:cs="Times New Roman"/>
                <w:b/>
                <w:color w:val="auto"/>
                <w:sz w:val="24"/>
                <w:highlight w:val="none"/>
              </w:rPr>
              <w:t>-</w:t>
            </w:r>
            <w:r>
              <w:rPr>
                <w:rFonts w:hint="eastAsia" w:ascii="Times New Roman" w:hAnsi="Times New Roman" w:cs="Times New Roman"/>
                <w:b/>
                <w:color w:val="auto"/>
                <w:sz w:val="24"/>
                <w:highlight w:val="none"/>
                <w:lang w:val="en-US" w:eastAsia="zh-CN"/>
              </w:rPr>
              <w:t>7</w:t>
            </w:r>
            <w:r>
              <w:rPr>
                <w:rFonts w:hint="default" w:ascii="Times New Roman" w:hAnsi="Times New Roman" w:cs="Times New Roman"/>
                <w:b/>
                <w:color w:val="auto"/>
                <w:sz w:val="24"/>
                <w:highlight w:val="none"/>
                <w:lang w:val="en-US" w:eastAsia="zh-CN"/>
              </w:rPr>
              <w:t xml:space="preserve"> </w:t>
            </w:r>
            <w:r>
              <w:rPr>
                <w:rFonts w:hint="default" w:ascii="Times New Roman" w:hAnsi="Times New Roman" w:cs="Times New Roman"/>
                <w:b/>
                <w:color w:val="auto"/>
                <w:sz w:val="24"/>
                <w:highlight w:val="none"/>
              </w:rPr>
              <w:t xml:space="preserve">            </w:t>
            </w:r>
            <w:r>
              <w:rPr>
                <w:rFonts w:hint="default" w:ascii="Times New Roman" w:hAnsi="Times New Roman" w:cs="Times New Roman"/>
                <w:b/>
                <w:color w:val="auto"/>
                <w:sz w:val="24"/>
                <w:highlight w:val="none"/>
                <w:lang w:val="en-US" w:eastAsia="zh-CN"/>
              </w:rPr>
              <w:t xml:space="preserve">       </w:t>
            </w:r>
            <w:r>
              <w:rPr>
                <w:rFonts w:hint="default" w:ascii="Times New Roman" w:hAnsi="Times New Roman" w:cs="Times New Roman"/>
                <w:b/>
                <w:color w:val="auto"/>
                <w:sz w:val="24"/>
                <w:highlight w:val="none"/>
              </w:rPr>
              <w:t xml:space="preserve">    </w:t>
            </w:r>
            <w:r>
              <w:rPr>
                <w:rFonts w:hint="eastAsia" w:ascii="Times New Roman" w:hAnsi="Times New Roman" w:cs="Times New Roman"/>
                <w:b/>
                <w:color w:val="auto"/>
                <w:sz w:val="24"/>
                <w:highlight w:val="none"/>
                <w:lang w:val="en-US" w:eastAsia="zh-CN"/>
              </w:rPr>
              <w:t>废水</w:t>
            </w:r>
            <w:r>
              <w:rPr>
                <w:rFonts w:hint="default" w:ascii="Times New Roman" w:hAnsi="Times New Roman" w:cs="Times New Roman"/>
                <w:b/>
                <w:color w:val="auto"/>
                <w:sz w:val="24"/>
                <w:highlight w:val="none"/>
              </w:rPr>
              <w:t>监测结果表</w:t>
            </w:r>
          </w:p>
          <w:tbl>
            <w:tblPr>
              <w:tblStyle w:val="15"/>
              <w:tblpPr w:leftFromText="180" w:rightFromText="180" w:vertAnchor="text" w:horzAnchor="margin" w:tblpXSpec="center" w:tblpY="191"/>
              <w:tblW w:w="96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57"/>
              <w:gridCol w:w="1049"/>
              <w:gridCol w:w="1042"/>
              <w:gridCol w:w="1208"/>
              <w:gridCol w:w="1020"/>
              <w:gridCol w:w="1212"/>
              <w:gridCol w:w="30"/>
              <w:gridCol w:w="1681"/>
            </w:tblGrid>
            <w:tr w14:paraId="509EA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exact"/>
              </w:trPr>
              <w:tc>
                <w:tcPr>
                  <w:tcW w:w="2457" w:type="dxa"/>
                  <w:noWrap w:val="0"/>
                  <w:vAlign w:val="center"/>
                </w:tcPr>
                <w:p w14:paraId="491464ED">
                  <w:pPr>
                    <w:jc w:val="center"/>
                    <w:rPr>
                      <w:rFonts w:hint="eastAsia" w:eastAsiaTheme="minorEastAsia"/>
                      <w:b/>
                      <w:bCs/>
                      <w:szCs w:val="21"/>
                      <w:lang w:val="en-US" w:eastAsia="zh-CN"/>
                    </w:rPr>
                  </w:pPr>
                  <w:r>
                    <w:rPr>
                      <w:rFonts w:hint="eastAsia"/>
                      <w:b/>
                      <w:bCs/>
                      <w:szCs w:val="21"/>
                      <w:lang w:val="en-US" w:eastAsia="zh-CN"/>
                    </w:rPr>
                    <w:t>监测点位</w:t>
                  </w:r>
                </w:p>
              </w:tc>
              <w:tc>
                <w:tcPr>
                  <w:tcW w:w="2091" w:type="dxa"/>
                  <w:gridSpan w:val="2"/>
                  <w:noWrap w:val="0"/>
                  <w:vAlign w:val="center"/>
                </w:tcPr>
                <w:p w14:paraId="2FF2D351">
                  <w:pPr>
                    <w:jc w:val="center"/>
                    <w:rPr>
                      <w:rFonts w:hint="default" w:cs="Times New Roman"/>
                      <w:b/>
                      <w:bCs/>
                      <w:color w:val="auto"/>
                      <w:kern w:val="2"/>
                      <w:sz w:val="21"/>
                      <w:szCs w:val="21"/>
                      <w:lang w:val="en-US" w:eastAsia="zh-CN" w:bidi="ar-SA"/>
                    </w:rPr>
                  </w:pPr>
                  <w:r>
                    <w:rPr>
                      <w:rFonts w:hint="eastAsia" w:cs="Times New Roman"/>
                      <w:b/>
                      <w:bCs/>
                      <w:color w:val="auto"/>
                      <w:kern w:val="2"/>
                      <w:sz w:val="21"/>
                      <w:szCs w:val="21"/>
                      <w:lang w:val="en-US" w:eastAsia="zh-CN" w:bidi="ar-SA"/>
                    </w:rPr>
                    <w:t>废水总排口</w:t>
                  </w:r>
                </w:p>
              </w:tc>
              <w:tc>
                <w:tcPr>
                  <w:tcW w:w="1208" w:type="dxa"/>
                  <w:noWrap w:val="0"/>
                  <w:vAlign w:val="center"/>
                </w:tcPr>
                <w:p w14:paraId="692E3954">
                  <w:pPr>
                    <w:jc w:val="center"/>
                    <w:rPr>
                      <w:rFonts w:hint="default" w:cs="Times New Roman"/>
                      <w:b/>
                      <w:bCs/>
                      <w:color w:val="auto"/>
                      <w:kern w:val="2"/>
                      <w:sz w:val="21"/>
                      <w:szCs w:val="21"/>
                      <w:lang w:val="en-US" w:eastAsia="zh-CN" w:bidi="ar-SA"/>
                    </w:rPr>
                  </w:pPr>
                  <w:r>
                    <w:rPr>
                      <w:rFonts w:hint="eastAsia" w:cs="Times New Roman"/>
                      <w:b/>
                      <w:bCs/>
                      <w:color w:val="auto"/>
                      <w:kern w:val="2"/>
                      <w:sz w:val="21"/>
                      <w:szCs w:val="21"/>
                      <w:lang w:val="en-US" w:eastAsia="zh-CN" w:bidi="ar-SA"/>
                    </w:rPr>
                    <w:t>监测日期</w:t>
                  </w:r>
                </w:p>
              </w:tc>
              <w:tc>
                <w:tcPr>
                  <w:tcW w:w="3943" w:type="dxa"/>
                  <w:gridSpan w:val="4"/>
                  <w:noWrap w:val="0"/>
                  <w:vAlign w:val="center"/>
                </w:tcPr>
                <w:p w14:paraId="6C82B2B0">
                  <w:pPr>
                    <w:ind w:firstLine="211" w:firstLineChars="100"/>
                    <w:jc w:val="both"/>
                    <w:rPr>
                      <w:rFonts w:hint="default"/>
                      <w:b/>
                      <w:bCs/>
                      <w:szCs w:val="21"/>
                      <w:lang w:val="en-US" w:eastAsia="zh-CN"/>
                    </w:rPr>
                  </w:pPr>
                  <w:r>
                    <w:rPr>
                      <w:rFonts w:hint="eastAsia"/>
                      <w:b/>
                      <w:bCs/>
                      <w:szCs w:val="21"/>
                      <w:lang w:val="en-US" w:eastAsia="zh-CN"/>
                    </w:rPr>
                    <w:t>2025.6.27</w:t>
                  </w:r>
                </w:p>
              </w:tc>
            </w:tr>
            <w:tr w14:paraId="78F40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exact"/>
              </w:trPr>
              <w:tc>
                <w:tcPr>
                  <w:tcW w:w="2457" w:type="dxa"/>
                  <w:noWrap w:val="0"/>
                  <w:vAlign w:val="center"/>
                </w:tcPr>
                <w:p w14:paraId="5AC44ED8">
                  <w:pPr>
                    <w:jc w:val="center"/>
                    <w:rPr>
                      <w:rFonts w:hint="default" w:eastAsiaTheme="minorEastAsia"/>
                      <w:szCs w:val="21"/>
                      <w:lang w:val="en-US" w:eastAsia="zh-CN"/>
                    </w:rPr>
                  </w:pPr>
                  <w:r>
                    <w:rPr>
                      <w:rFonts w:hint="eastAsia"/>
                      <w:szCs w:val="21"/>
                      <w:lang w:val="en-US" w:eastAsia="zh-CN"/>
                    </w:rPr>
                    <w:t>监测项目</w:t>
                  </w:r>
                </w:p>
              </w:tc>
              <w:tc>
                <w:tcPr>
                  <w:tcW w:w="1049" w:type="dxa"/>
                  <w:noWrap w:val="0"/>
                  <w:vAlign w:val="center"/>
                </w:tcPr>
                <w:p w14:paraId="129CB97E">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第一次</w:t>
                  </w:r>
                </w:p>
              </w:tc>
              <w:tc>
                <w:tcPr>
                  <w:tcW w:w="1042" w:type="dxa"/>
                  <w:noWrap w:val="0"/>
                  <w:vAlign w:val="center"/>
                </w:tcPr>
                <w:p w14:paraId="176F6744">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第二次</w:t>
                  </w:r>
                </w:p>
              </w:tc>
              <w:tc>
                <w:tcPr>
                  <w:tcW w:w="1208" w:type="dxa"/>
                  <w:noWrap w:val="0"/>
                  <w:vAlign w:val="center"/>
                </w:tcPr>
                <w:p w14:paraId="1E6D3F22">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第三次</w:t>
                  </w:r>
                </w:p>
              </w:tc>
              <w:tc>
                <w:tcPr>
                  <w:tcW w:w="1020" w:type="dxa"/>
                  <w:noWrap w:val="0"/>
                  <w:vAlign w:val="center"/>
                </w:tcPr>
                <w:p w14:paraId="4F80A0BB">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第四次</w:t>
                  </w:r>
                </w:p>
              </w:tc>
              <w:tc>
                <w:tcPr>
                  <w:tcW w:w="1242" w:type="dxa"/>
                  <w:gridSpan w:val="2"/>
                  <w:noWrap w:val="0"/>
                  <w:vAlign w:val="center"/>
                </w:tcPr>
                <w:p w14:paraId="4FB29084">
                  <w:pPr>
                    <w:jc w:val="center"/>
                    <w:rPr>
                      <w:rFonts w:hint="default"/>
                      <w:szCs w:val="21"/>
                      <w:lang w:val="en-US" w:eastAsia="zh-CN"/>
                    </w:rPr>
                  </w:pPr>
                  <w:r>
                    <w:rPr>
                      <w:rFonts w:hint="eastAsia"/>
                      <w:szCs w:val="21"/>
                      <w:lang w:val="en-US" w:eastAsia="zh-CN"/>
                    </w:rPr>
                    <w:t>最大值</w:t>
                  </w:r>
                </w:p>
              </w:tc>
              <w:tc>
                <w:tcPr>
                  <w:tcW w:w="1681" w:type="dxa"/>
                  <w:noWrap w:val="0"/>
                  <w:vAlign w:val="center"/>
                </w:tcPr>
                <w:p w14:paraId="18B57975">
                  <w:pPr>
                    <w:jc w:val="both"/>
                    <w:rPr>
                      <w:rFonts w:hint="default"/>
                      <w:szCs w:val="21"/>
                      <w:lang w:val="en-US" w:eastAsia="zh-CN"/>
                    </w:rPr>
                  </w:pPr>
                  <w:r>
                    <w:rPr>
                      <w:rFonts w:hint="eastAsia"/>
                      <w:szCs w:val="21"/>
                      <w:lang w:val="en-US" w:eastAsia="zh-CN"/>
                    </w:rPr>
                    <w:t>标准限值</w:t>
                  </w:r>
                </w:p>
              </w:tc>
            </w:tr>
            <w:tr w14:paraId="28FD3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exact"/>
              </w:trPr>
              <w:tc>
                <w:tcPr>
                  <w:tcW w:w="2457" w:type="dxa"/>
                  <w:noWrap w:val="0"/>
                  <w:vAlign w:val="center"/>
                </w:tcPr>
                <w:p w14:paraId="5F60A399">
                  <w:pPr>
                    <w:jc w:val="center"/>
                    <w:rPr>
                      <w:rFonts w:hint="eastAsia" w:eastAsia="宋体"/>
                      <w:szCs w:val="21"/>
                      <w:lang w:val="en-US" w:eastAsia="zh-CN"/>
                    </w:rPr>
                  </w:pPr>
                  <w:r>
                    <w:rPr>
                      <w:szCs w:val="21"/>
                    </w:rPr>
                    <w:t>pH（无量纲）</w:t>
                  </w:r>
                </w:p>
              </w:tc>
              <w:tc>
                <w:tcPr>
                  <w:tcW w:w="1049" w:type="dxa"/>
                  <w:shd w:val="clear" w:color="auto" w:fill="auto"/>
                  <w:noWrap w:val="0"/>
                  <w:vAlign w:val="center"/>
                </w:tcPr>
                <w:p w14:paraId="6536FF9C">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8.14</w:t>
                  </w:r>
                </w:p>
              </w:tc>
              <w:tc>
                <w:tcPr>
                  <w:tcW w:w="1042" w:type="dxa"/>
                  <w:shd w:val="clear" w:color="auto" w:fill="auto"/>
                  <w:noWrap w:val="0"/>
                  <w:vAlign w:val="center"/>
                </w:tcPr>
                <w:p w14:paraId="0E21BF3C">
                  <w:pPr>
                    <w:jc w:val="center"/>
                    <w:rPr>
                      <w:rFonts w:hint="default" w:cs="Times New Roman" w:asciiTheme="minorHAnsi" w:hAnsiTheme="minorHAnsi" w:eastAsiaTheme="minorEastAsia"/>
                      <w:color w:val="auto"/>
                      <w:kern w:val="2"/>
                      <w:sz w:val="21"/>
                      <w:szCs w:val="21"/>
                      <w:lang w:val="en-US" w:eastAsia="zh-CN" w:bidi="ar-SA"/>
                    </w:rPr>
                  </w:pPr>
                  <w:r>
                    <w:rPr>
                      <w:rFonts w:hint="eastAsia" w:cs="Times New Roman"/>
                      <w:color w:val="auto"/>
                      <w:kern w:val="2"/>
                      <w:sz w:val="21"/>
                      <w:szCs w:val="21"/>
                      <w:lang w:val="en-US" w:eastAsia="zh-CN" w:bidi="ar-SA"/>
                    </w:rPr>
                    <w:t>8.12</w:t>
                  </w:r>
                </w:p>
              </w:tc>
              <w:tc>
                <w:tcPr>
                  <w:tcW w:w="1208" w:type="dxa"/>
                  <w:shd w:val="clear" w:color="auto" w:fill="auto"/>
                  <w:noWrap w:val="0"/>
                  <w:vAlign w:val="center"/>
                </w:tcPr>
                <w:p w14:paraId="53117F50">
                  <w:pPr>
                    <w:jc w:val="center"/>
                    <w:rPr>
                      <w:rFonts w:hint="default" w:cs="Times New Roman" w:asciiTheme="minorHAnsi" w:hAnsiTheme="minorHAnsi" w:eastAsiaTheme="minorEastAsia"/>
                      <w:color w:val="auto"/>
                      <w:kern w:val="2"/>
                      <w:sz w:val="21"/>
                      <w:szCs w:val="21"/>
                      <w:lang w:val="en-US" w:eastAsia="zh-CN" w:bidi="ar-SA"/>
                    </w:rPr>
                  </w:pPr>
                  <w:r>
                    <w:rPr>
                      <w:rFonts w:hint="eastAsia" w:cs="Times New Roman"/>
                      <w:color w:val="auto"/>
                      <w:kern w:val="2"/>
                      <w:sz w:val="21"/>
                      <w:szCs w:val="21"/>
                      <w:lang w:val="en-US" w:eastAsia="zh-CN" w:bidi="ar-SA"/>
                    </w:rPr>
                    <w:t>8.03</w:t>
                  </w:r>
                </w:p>
              </w:tc>
              <w:tc>
                <w:tcPr>
                  <w:tcW w:w="1020" w:type="dxa"/>
                  <w:shd w:val="clear" w:color="auto" w:fill="auto"/>
                  <w:noWrap w:val="0"/>
                  <w:vAlign w:val="center"/>
                </w:tcPr>
                <w:p w14:paraId="1F2DB04A">
                  <w:pPr>
                    <w:jc w:val="center"/>
                    <w:rPr>
                      <w:rFonts w:hint="default" w:cs="Times New Roman" w:asciiTheme="minorHAnsi" w:hAnsiTheme="minorHAnsi" w:eastAsiaTheme="minorEastAsia"/>
                      <w:color w:val="auto"/>
                      <w:kern w:val="2"/>
                      <w:sz w:val="21"/>
                      <w:szCs w:val="21"/>
                      <w:lang w:val="en-US" w:eastAsia="zh-CN" w:bidi="ar-SA"/>
                    </w:rPr>
                  </w:pPr>
                  <w:r>
                    <w:rPr>
                      <w:rFonts w:hint="eastAsia" w:cs="Times New Roman"/>
                      <w:color w:val="auto"/>
                      <w:kern w:val="2"/>
                      <w:sz w:val="21"/>
                      <w:szCs w:val="21"/>
                      <w:lang w:val="en-US" w:eastAsia="zh-CN" w:bidi="ar-SA"/>
                    </w:rPr>
                    <w:t>8.02</w:t>
                  </w:r>
                </w:p>
              </w:tc>
              <w:tc>
                <w:tcPr>
                  <w:tcW w:w="1242" w:type="dxa"/>
                  <w:gridSpan w:val="2"/>
                  <w:noWrap w:val="0"/>
                  <w:vAlign w:val="center"/>
                </w:tcPr>
                <w:p w14:paraId="37A7A4CD">
                  <w:pPr>
                    <w:jc w:val="center"/>
                    <w:rPr>
                      <w:rFonts w:hint="default" w:eastAsia="宋体"/>
                      <w:szCs w:val="21"/>
                      <w:lang w:val="en-US" w:eastAsia="zh-CN"/>
                    </w:rPr>
                  </w:pPr>
                  <w:r>
                    <w:rPr>
                      <w:rFonts w:hint="eastAsia" w:eastAsia="宋体"/>
                      <w:szCs w:val="21"/>
                      <w:lang w:val="en-US" w:eastAsia="zh-CN"/>
                    </w:rPr>
                    <w:t>8.14</w:t>
                  </w:r>
                </w:p>
              </w:tc>
              <w:tc>
                <w:tcPr>
                  <w:tcW w:w="1681" w:type="dxa"/>
                  <w:noWrap w:val="0"/>
                  <w:vAlign w:val="center"/>
                </w:tcPr>
                <w:p w14:paraId="25AA8DB7">
                  <w:pPr>
                    <w:jc w:val="left"/>
                    <w:rPr>
                      <w:rFonts w:hint="eastAsia"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6~8.5</w:t>
                  </w:r>
                </w:p>
              </w:tc>
            </w:tr>
            <w:tr w14:paraId="71938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exact"/>
              </w:trPr>
              <w:tc>
                <w:tcPr>
                  <w:tcW w:w="2457" w:type="dxa"/>
                  <w:noWrap w:val="0"/>
                  <w:vAlign w:val="center"/>
                </w:tcPr>
                <w:p w14:paraId="283D7409">
                  <w:pPr>
                    <w:jc w:val="center"/>
                    <w:rPr>
                      <w:szCs w:val="21"/>
                    </w:rPr>
                  </w:pPr>
                  <w:r>
                    <w:rPr>
                      <w:rFonts w:hint="eastAsia"/>
                      <w:szCs w:val="21"/>
                      <w:lang w:eastAsia="zh-CN"/>
                    </w:rPr>
                    <w:t>五日生化需氧量</w:t>
                  </w:r>
                  <w:r>
                    <w:rPr>
                      <w:szCs w:val="21"/>
                    </w:rPr>
                    <w:t>（mg/L）</w:t>
                  </w:r>
                </w:p>
              </w:tc>
              <w:tc>
                <w:tcPr>
                  <w:tcW w:w="1049" w:type="dxa"/>
                  <w:shd w:val="clear" w:color="auto" w:fill="auto"/>
                  <w:noWrap w:val="0"/>
                  <w:vAlign w:val="center"/>
                </w:tcPr>
                <w:p w14:paraId="3CA8BEE6">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4.6</w:t>
                  </w:r>
                </w:p>
              </w:tc>
              <w:tc>
                <w:tcPr>
                  <w:tcW w:w="1042" w:type="dxa"/>
                  <w:shd w:val="clear" w:color="auto" w:fill="auto"/>
                  <w:noWrap w:val="0"/>
                  <w:vAlign w:val="center"/>
                </w:tcPr>
                <w:p w14:paraId="41A19721">
                  <w:pPr>
                    <w:jc w:val="center"/>
                    <w:rPr>
                      <w:rFonts w:hint="default" w:cs="Times New Roman" w:asciiTheme="minorHAnsi" w:hAnsiTheme="minorHAnsi" w:eastAsiaTheme="minorEastAsia"/>
                      <w:color w:val="auto"/>
                      <w:kern w:val="2"/>
                      <w:sz w:val="21"/>
                      <w:szCs w:val="21"/>
                      <w:lang w:val="en-US" w:eastAsia="zh-CN" w:bidi="ar-SA"/>
                    </w:rPr>
                  </w:pPr>
                  <w:r>
                    <w:rPr>
                      <w:rFonts w:hint="eastAsia" w:cs="Times New Roman"/>
                      <w:color w:val="auto"/>
                      <w:kern w:val="2"/>
                      <w:sz w:val="21"/>
                      <w:szCs w:val="21"/>
                      <w:lang w:val="en-US" w:eastAsia="zh-CN" w:bidi="ar-SA"/>
                    </w:rPr>
                    <w:t>4.8</w:t>
                  </w:r>
                </w:p>
              </w:tc>
              <w:tc>
                <w:tcPr>
                  <w:tcW w:w="1208" w:type="dxa"/>
                  <w:shd w:val="clear" w:color="auto" w:fill="auto"/>
                  <w:noWrap w:val="0"/>
                  <w:vAlign w:val="center"/>
                </w:tcPr>
                <w:p w14:paraId="5049245E">
                  <w:pPr>
                    <w:jc w:val="center"/>
                    <w:rPr>
                      <w:rFonts w:hint="default" w:cs="Times New Roman" w:asciiTheme="minorHAnsi" w:hAnsiTheme="minorHAnsi" w:eastAsiaTheme="minorEastAsia"/>
                      <w:color w:val="auto"/>
                      <w:kern w:val="2"/>
                      <w:sz w:val="21"/>
                      <w:szCs w:val="21"/>
                      <w:lang w:val="en-US" w:eastAsia="zh-CN" w:bidi="ar-SA"/>
                    </w:rPr>
                  </w:pPr>
                  <w:r>
                    <w:rPr>
                      <w:rFonts w:hint="eastAsia" w:cs="Times New Roman"/>
                      <w:color w:val="auto"/>
                      <w:kern w:val="2"/>
                      <w:sz w:val="21"/>
                      <w:szCs w:val="21"/>
                      <w:lang w:val="en-US" w:eastAsia="zh-CN" w:bidi="ar-SA"/>
                    </w:rPr>
                    <w:t>4.8</w:t>
                  </w:r>
                </w:p>
              </w:tc>
              <w:tc>
                <w:tcPr>
                  <w:tcW w:w="1020" w:type="dxa"/>
                  <w:shd w:val="clear" w:color="auto" w:fill="auto"/>
                  <w:noWrap w:val="0"/>
                  <w:vAlign w:val="center"/>
                </w:tcPr>
                <w:p w14:paraId="60A0738F">
                  <w:pPr>
                    <w:jc w:val="center"/>
                    <w:rPr>
                      <w:rFonts w:hint="default" w:cs="Times New Roman" w:asciiTheme="minorHAnsi" w:hAnsiTheme="minorHAnsi" w:eastAsiaTheme="minorEastAsia"/>
                      <w:color w:val="auto"/>
                      <w:kern w:val="2"/>
                      <w:sz w:val="21"/>
                      <w:szCs w:val="21"/>
                      <w:lang w:val="en-US" w:eastAsia="zh-CN" w:bidi="ar-SA"/>
                    </w:rPr>
                  </w:pPr>
                  <w:r>
                    <w:rPr>
                      <w:rFonts w:hint="eastAsia" w:cs="Times New Roman"/>
                      <w:color w:val="auto"/>
                      <w:kern w:val="2"/>
                      <w:sz w:val="21"/>
                      <w:szCs w:val="21"/>
                      <w:lang w:val="en-US" w:eastAsia="zh-CN" w:bidi="ar-SA"/>
                    </w:rPr>
                    <w:t>4.9</w:t>
                  </w:r>
                </w:p>
              </w:tc>
              <w:tc>
                <w:tcPr>
                  <w:tcW w:w="1242" w:type="dxa"/>
                  <w:gridSpan w:val="2"/>
                  <w:noWrap w:val="0"/>
                  <w:vAlign w:val="center"/>
                </w:tcPr>
                <w:p w14:paraId="0EE26B0B">
                  <w:pPr>
                    <w:jc w:val="center"/>
                    <w:rPr>
                      <w:rFonts w:hint="default" w:eastAsia="宋体"/>
                      <w:szCs w:val="21"/>
                      <w:lang w:val="en-US" w:eastAsia="zh-CN"/>
                    </w:rPr>
                  </w:pPr>
                  <w:r>
                    <w:rPr>
                      <w:rFonts w:hint="eastAsia" w:eastAsia="宋体"/>
                      <w:szCs w:val="21"/>
                      <w:lang w:val="en-US" w:eastAsia="zh-CN"/>
                    </w:rPr>
                    <w:t>4.9</w:t>
                  </w:r>
                </w:p>
              </w:tc>
              <w:tc>
                <w:tcPr>
                  <w:tcW w:w="1681" w:type="dxa"/>
                  <w:noWrap w:val="0"/>
                  <w:vAlign w:val="center"/>
                </w:tcPr>
                <w:p w14:paraId="780E6F08">
                  <w:pPr>
                    <w:jc w:val="left"/>
                    <w:rPr>
                      <w:rFonts w:hint="eastAsia"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30</w:t>
                  </w:r>
                </w:p>
              </w:tc>
            </w:tr>
            <w:tr w14:paraId="21086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exact"/>
              </w:trPr>
              <w:tc>
                <w:tcPr>
                  <w:tcW w:w="2457" w:type="dxa"/>
                  <w:noWrap w:val="0"/>
                  <w:vAlign w:val="center"/>
                </w:tcPr>
                <w:p w14:paraId="4770C598">
                  <w:pPr>
                    <w:jc w:val="center"/>
                    <w:rPr>
                      <w:szCs w:val="21"/>
                    </w:rPr>
                  </w:pPr>
                  <w:r>
                    <w:rPr>
                      <w:szCs w:val="21"/>
                    </w:rPr>
                    <w:t>化学需氧量（mg/L）</w:t>
                  </w:r>
                </w:p>
              </w:tc>
              <w:tc>
                <w:tcPr>
                  <w:tcW w:w="1049" w:type="dxa"/>
                  <w:shd w:val="clear" w:color="auto" w:fill="auto"/>
                  <w:noWrap w:val="0"/>
                  <w:vAlign w:val="center"/>
                </w:tcPr>
                <w:p w14:paraId="3AD12476">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1042" w:type="dxa"/>
                  <w:shd w:val="clear" w:color="auto" w:fill="auto"/>
                  <w:noWrap w:val="0"/>
                  <w:vAlign w:val="center"/>
                </w:tcPr>
                <w:p w14:paraId="73D941D2">
                  <w:pPr>
                    <w:jc w:val="center"/>
                    <w:rPr>
                      <w:rFonts w:hint="default" w:cs="Times New Roman" w:asciiTheme="minorHAnsi" w:hAnsiTheme="minorHAnsi" w:eastAsiaTheme="minorEastAsia"/>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1208" w:type="dxa"/>
                  <w:shd w:val="clear" w:color="auto" w:fill="auto"/>
                  <w:noWrap w:val="0"/>
                  <w:vAlign w:val="center"/>
                </w:tcPr>
                <w:p w14:paraId="2FF111F9">
                  <w:pPr>
                    <w:jc w:val="center"/>
                    <w:rPr>
                      <w:rFonts w:hint="default" w:cs="Times New Roman" w:asciiTheme="minorHAnsi" w:hAnsiTheme="minorHAnsi" w:eastAsiaTheme="minorEastAsia"/>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1020" w:type="dxa"/>
                  <w:shd w:val="clear" w:color="auto" w:fill="auto"/>
                  <w:noWrap w:val="0"/>
                  <w:vAlign w:val="center"/>
                </w:tcPr>
                <w:p w14:paraId="09240CE4">
                  <w:pPr>
                    <w:jc w:val="center"/>
                    <w:rPr>
                      <w:rFonts w:hint="default" w:cs="Times New Roman" w:asciiTheme="minorHAnsi" w:hAnsiTheme="minorHAnsi" w:eastAsiaTheme="minorEastAsia"/>
                      <w:color w:val="auto"/>
                      <w:kern w:val="2"/>
                      <w:sz w:val="21"/>
                      <w:szCs w:val="21"/>
                      <w:lang w:val="en-US" w:eastAsia="zh-CN" w:bidi="ar-SA"/>
                    </w:rPr>
                  </w:pPr>
                  <w:r>
                    <w:rPr>
                      <w:rFonts w:hint="eastAsia" w:cs="Times New Roman"/>
                      <w:color w:val="auto"/>
                      <w:kern w:val="2"/>
                      <w:sz w:val="21"/>
                      <w:szCs w:val="21"/>
                      <w:lang w:val="en-US" w:eastAsia="zh-CN" w:bidi="ar-SA"/>
                    </w:rPr>
                    <w:t>21</w:t>
                  </w:r>
                </w:p>
              </w:tc>
              <w:tc>
                <w:tcPr>
                  <w:tcW w:w="1242" w:type="dxa"/>
                  <w:gridSpan w:val="2"/>
                  <w:noWrap w:val="0"/>
                  <w:vAlign w:val="center"/>
                </w:tcPr>
                <w:p w14:paraId="320DDE2E">
                  <w:pPr>
                    <w:jc w:val="center"/>
                    <w:rPr>
                      <w:rFonts w:hint="eastAsia" w:ascii="宋体" w:hAnsi="宋体" w:eastAsia="宋体" w:cs="宋体"/>
                      <w:b/>
                      <w:bCs/>
                      <w:szCs w:val="21"/>
                      <w:lang w:val="en-US" w:eastAsia="zh-CN"/>
                    </w:rPr>
                  </w:pPr>
                  <w:r>
                    <w:rPr>
                      <w:rFonts w:hint="eastAsia" w:eastAsia="宋体"/>
                      <w:szCs w:val="21"/>
                      <w:lang w:val="en-US" w:eastAsia="zh-CN"/>
                    </w:rPr>
                    <w:t>21</w:t>
                  </w:r>
                </w:p>
              </w:tc>
              <w:tc>
                <w:tcPr>
                  <w:tcW w:w="1681" w:type="dxa"/>
                  <w:noWrap w:val="0"/>
                  <w:vAlign w:val="center"/>
                </w:tcPr>
                <w:p w14:paraId="4940965E">
                  <w:pPr>
                    <w:jc w:val="left"/>
                    <w:rPr>
                      <w:rFonts w:hint="eastAsia"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80</w:t>
                  </w:r>
                </w:p>
              </w:tc>
            </w:tr>
            <w:tr w14:paraId="7BE3B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exact"/>
              </w:trPr>
              <w:tc>
                <w:tcPr>
                  <w:tcW w:w="2457" w:type="dxa"/>
                  <w:noWrap w:val="0"/>
                  <w:vAlign w:val="center"/>
                </w:tcPr>
                <w:p w14:paraId="45F15CED">
                  <w:pPr>
                    <w:jc w:val="center"/>
                    <w:rPr>
                      <w:rFonts w:hint="eastAsia" w:eastAsia="宋体"/>
                      <w:szCs w:val="21"/>
                      <w:lang w:eastAsia="zh-CN"/>
                    </w:rPr>
                  </w:pPr>
                  <w:r>
                    <w:rPr>
                      <w:szCs w:val="21"/>
                    </w:rPr>
                    <w:t>氨氮（mg/L）</w:t>
                  </w:r>
                </w:p>
              </w:tc>
              <w:tc>
                <w:tcPr>
                  <w:tcW w:w="1049" w:type="dxa"/>
                  <w:shd w:val="clear" w:color="auto" w:fill="auto"/>
                  <w:noWrap w:val="0"/>
                  <w:vAlign w:val="center"/>
                </w:tcPr>
                <w:p w14:paraId="64E7DA83">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10.6</w:t>
                  </w:r>
                </w:p>
              </w:tc>
              <w:tc>
                <w:tcPr>
                  <w:tcW w:w="1042" w:type="dxa"/>
                  <w:shd w:val="clear" w:color="auto" w:fill="auto"/>
                  <w:noWrap w:val="0"/>
                  <w:vAlign w:val="center"/>
                </w:tcPr>
                <w:p w14:paraId="28A0F50A">
                  <w:pPr>
                    <w:jc w:val="center"/>
                    <w:rPr>
                      <w:rFonts w:hint="default" w:cs="Times New Roman" w:asciiTheme="minorHAnsi" w:hAnsiTheme="minorHAnsi" w:eastAsiaTheme="minorEastAsia"/>
                      <w:color w:val="auto"/>
                      <w:kern w:val="2"/>
                      <w:sz w:val="21"/>
                      <w:szCs w:val="21"/>
                      <w:lang w:val="en-US" w:eastAsia="zh-CN" w:bidi="ar-SA"/>
                    </w:rPr>
                  </w:pPr>
                  <w:r>
                    <w:rPr>
                      <w:rFonts w:hint="eastAsia" w:cs="Times New Roman"/>
                      <w:color w:val="auto"/>
                      <w:kern w:val="2"/>
                      <w:sz w:val="21"/>
                      <w:szCs w:val="21"/>
                      <w:lang w:val="en-US" w:eastAsia="zh-CN" w:bidi="ar-SA"/>
                    </w:rPr>
                    <w:t>10.4</w:t>
                  </w:r>
                </w:p>
              </w:tc>
              <w:tc>
                <w:tcPr>
                  <w:tcW w:w="1208" w:type="dxa"/>
                  <w:shd w:val="clear" w:color="auto" w:fill="auto"/>
                  <w:noWrap w:val="0"/>
                  <w:vAlign w:val="center"/>
                </w:tcPr>
                <w:p w14:paraId="0B791ABC">
                  <w:pPr>
                    <w:jc w:val="center"/>
                    <w:rPr>
                      <w:rFonts w:hint="default" w:cs="Times New Roman" w:asciiTheme="minorHAnsi" w:hAnsiTheme="minorHAnsi" w:eastAsiaTheme="minorEastAsia"/>
                      <w:color w:val="auto"/>
                      <w:kern w:val="2"/>
                      <w:sz w:val="21"/>
                      <w:szCs w:val="21"/>
                      <w:lang w:val="en-US" w:eastAsia="zh-CN" w:bidi="ar-SA"/>
                    </w:rPr>
                  </w:pPr>
                  <w:r>
                    <w:rPr>
                      <w:rFonts w:hint="eastAsia" w:cs="Times New Roman"/>
                      <w:color w:val="auto"/>
                      <w:kern w:val="2"/>
                      <w:sz w:val="21"/>
                      <w:szCs w:val="21"/>
                      <w:lang w:val="en-US" w:eastAsia="zh-CN" w:bidi="ar-SA"/>
                    </w:rPr>
                    <w:t>10.5</w:t>
                  </w:r>
                </w:p>
              </w:tc>
              <w:tc>
                <w:tcPr>
                  <w:tcW w:w="1020" w:type="dxa"/>
                  <w:shd w:val="clear" w:color="auto" w:fill="auto"/>
                  <w:noWrap w:val="0"/>
                  <w:vAlign w:val="center"/>
                </w:tcPr>
                <w:p w14:paraId="651C4FAB">
                  <w:pPr>
                    <w:jc w:val="center"/>
                    <w:rPr>
                      <w:rFonts w:hint="default" w:cs="Times New Roman" w:asciiTheme="minorHAnsi" w:hAnsiTheme="minorHAnsi" w:eastAsiaTheme="minorEastAsia"/>
                      <w:color w:val="auto"/>
                      <w:kern w:val="2"/>
                      <w:sz w:val="21"/>
                      <w:szCs w:val="21"/>
                      <w:lang w:val="en-US" w:eastAsia="zh-CN" w:bidi="ar-SA"/>
                    </w:rPr>
                  </w:pPr>
                  <w:r>
                    <w:rPr>
                      <w:rFonts w:hint="eastAsia" w:cs="Times New Roman"/>
                      <w:color w:val="auto"/>
                      <w:kern w:val="2"/>
                      <w:sz w:val="21"/>
                      <w:szCs w:val="21"/>
                      <w:lang w:val="en-US" w:eastAsia="zh-CN" w:bidi="ar-SA"/>
                    </w:rPr>
                    <w:t>10.6</w:t>
                  </w:r>
                </w:p>
              </w:tc>
              <w:tc>
                <w:tcPr>
                  <w:tcW w:w="1242" w:type="dxa"/>
                  <w:gridSpan w:val="2"/>
                  <w:noWrap w:val="0"/>
                  <w:vAlign w:val="center"/>
                </w:tcPr>
                <w:p w14:paraId="15E1599B">
                  <w:pPr>
                    <w:jc w:val="center"/>
                    <w:rPr>
                      <w:rFonts w:hint="default" w:eastAsia="宋体"/>
                      <w:szCs w:val="21"/>
                      <w:lang w:val="en-US" w:eastAsia="zh-CN"/>
                    </w:rPr>
                  </w:pPr>
                  <w:r>
                    <w:rPr>
                      <w:rFonts w:hint="eastAsia" w:eastAsia="宋体"/>
                      <w:szCs w:val="21"/>
                      <w:lang w:val="en-US" w:eastAsia="zh-CN"/>
                    </w:rPr>
                    <w:t>10.6</w:t>
                  </w:r>
                </w:p>
              </w:tc>
              <w:tc>
                <w:tcPr>
                  <w:tcW w:w="1681" w:type="dxa"/>
                  <w:noWrap w:val="0"/>
                  <w:vAlign w:val="center"/>
                </w:tcPr>
                <w:p w14:paraId="009D5596">
                  <w:pPr>
                    <w:jc w:val="left"/>
                    <w:rPr>
                      <w:rFonts w:hint="eastAsia"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15</w:t>
                  </w:r>
                </w:p>
              </w:tc>
            </w:tr>
            <w:tr w14:paraId="20CD2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2457" w:type="dxa"/>
                  <w:noWrap w:val="0"/>
                  <w:vAlign w:val="center"/>
                </w:tcPr>
                <w:p w14:paraId="20838873">
                  <w:pPr>
                    <w:jc w:val="center"/>
                    <w:rPr>
                      <w:rFonts w:hint="eastAsia" w:eastAsia="宋体"/>
                      <w:szCs w:val="21"/>
                      <w:lang w:eastAsia="zh-CN"/>
                    </w:rPr>
                  </w:pPr>
                  <w:r>
                    <w:rPr>
                      <w:rFonts w:hint="eastAsia"/>
                      <w:szCs w:val="21"/>
                      <w:lang w:eastAsia="zh-CN"/>
                    </w:rPr>
                    <w:t>悬浮物</w:t>
                  </w:r>
                  <w:r>
                    <w:rPr>
                      <w:color w:val="auto"/>
                      <w:szCs w:val="21"/>
                    </w:rPr>
                    <w:t>（mg/L）</w:t>
                  </w:r>
                </w:p>
              </w:tc>
              <w:tc>
                <w:tcPr>
                  <w:tcW w:w="1049" w:type="dxa"/>
                  <w:shd w:val="clear" w:color="auto" w:fill="auto"/>
                  <w:noWrap w:val="0"/>
                  <w:vAlign w:val="center"/>
                </w:tcPr>
                <w:p w14:paraId="68DC143A">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w:t>
                  </w:r>
                </w:p>
              </w:tc>
              <w:tc>
                <w:tcPr>
                  <w:tcW w:w="1042" w:type="dxa"/>
                  <w:shd w:val="clear" w:color="auto" w:fill="auto"/>
                  <w:noWrap w:val="0"/>
                  <w:vAlign w:val="center"/>
                </w:tcPr>
                <w:p w14:paraId="236A3BE1">
                  <w:pPr>
                    <w:jc w:val="center"/>
                    <w:rPr>
                      <w:rFonts w:hint="eastAsia" w:cs="Times New Roman" w:asciiTheme="minorHAnsi" w:hAnsiTheme="minorHAnsi" w:eastAsiaTheme="minorEastAsia"/>
                      <w:color w:val="auto"/>
                      <w:kern w:val="2"/>
                      <w:sz w:val="21"/>
                      <w:szCs w:val="21"/>
                      <w:lang w:val="en-US" w:eastAsia="zh-CN" w:bidi="ar-SA"/>
                    </w:rPr>
                  </w:pPr>
                  <w:r>
                    <w:rPr>
                      <w:rFonts w:hint="eastAsia" w:cs="Times New Roman"/>
                      <w:color w:val="auto"/>
                      <w:kern w:val="2"/>
                      <w:sz w:val="21"/>
                      <w:szCs w:val="21"/>
                      <w:lang w:val="en-US" w:eastAsia="zh-CN" w:bidi="ar-SA"/>
                    </w:rPr>
                    <w:t>6</w:t>
                  </w:r>
                </w:p>
              </w:tc>
              <w:tc>
                <w:tcPr>
                  <w:tcW w:w="1208" w:type="dxa"/>
                  <w:shd w:val="clear" w:color="auto" w:fill="auto"/>
                  <w:noWrap w:val="0"/>
                  <w:vAlign w:val="center"/>
                </w:tcPr>
                <w:p w14:paraId="1081D537">
                  <w:pPr>
                    <w:jc w:val="center"/>
                    <w:rPr>
                      <w:rFonts w:hint="eastAsia" w:cs="Times New Roman" w:asciiTheme="minorHAnsi" w:hAnsiTheme="minorHAnsi" w:eastAsiaTheme="minorEastAsia"/>
                      <w:color w:val="auto"/>
                      <w:kern w:val="2"/>
                      <w:sz w:val="21"/>
                      <w:szCs w:val="21"/>
                      <w:lang w:val="en-US" w:eastAsia="zh-CN" w:bidi="ar-SA"/>
                    </w:rPr>
                  </w:pPr>
                  <w:r>
                    <w:rPr>
                      <w:rFonts w:hint="eastAsia" w:cs="Times New Roman"/>
                      <w:color w:val="auto"/>
                      <w:kern w:val="2"/>
                      <w:sz w:val="21"/>
                      <w:szCs w:val="21"/>
                      <w:lang w:val="en-US" w:eastAsia="zh-CN" w:bidi="ar-SA"/>
                    </w:rPr>
                    <w:t>6</w:t>
                  </w:r>
                </w:p>
              </w:tc>
              <w:tc>
                <w:tcPr>
                  <w:tcW w:w="1020" w:type="dxa"/>
                  <w:shd w:val="clear" w:color="auto" w:fill="auto"/>
                  <w:noWrap w:val="0"/>
                  <w:vAlign w:val="center"/>
                </w:tcPr>
                <w:p w14:paraId="540940C8">
                  <w:pPr>
                    <w:jc w:val="center"/>
                    <w:rPr>
                      <w:rFonts w:hint="eastAsia" w:cs="Times New Roman" w:asciiTheme="minorHAnsi" w:hAnsiTheme="minorHAnsi" w:eastAsiaTheme="minorEastAsia"/>
                      <w:color w:val="auto"/>
                      <w:kern w:val="2"/>
                      <w:sz w:val="21"/>
                      <w:szCs w:val="21"/>
                      <w:lang w:val="en-US" w:eastAsia="zh-CN" w:bidi="ar-SA"/>
                    </w:rPr>
                  </w:pPr>
                  <w:r>
                    <w:rPr>
                      <w:rFonts w:hint="eastAsia" w:cs="Times New Roman"/>
                      <w:color w:val="auto"/>
                      <w:kern w:val="2"/>
                      <w:sz w:val="21"/>
                      <w:szCs w:val="21"/>
                      <w:lang w:val="en-US" w:eastAsia="zh-CN" w:bidi="ar-SA"/>
                    </w:rPr>
                    <w:t>6</w:t>
                  </w:r>
                </w:p>
              </w:tc>
              <w:tc>
                <w:tcPr>
                  <w:tcW w:w="1242" w:type="dxa"/>
                  <w:gridSpan w:val="2"/>
                  <w:noWrap w:val="0"/>
                  <w:vAlign w:val="center"/>
                </w:tcPr>
                <w:p w14:paraId="140CA621">
                  <w:pPr>
                    <w:jc w:val="center"/>
                    <w:rPr>
                      <w:rFonts w:hint="default" w:eastAsia="宋体"/>
                      <w:szCs w:val="21"/>
                      <w:lang w:val="en-US" w:eastAsia="zh-CN"/>
                    </w:rPr>
                  </w:pPr>
                  <w:r>
                    <w:rPr>
                      <w:rFonts w:hint="eastAsia" w:eastAsia="宋体"/>
                      <w:szCs w:val="21"/>
                      <w:lang w:val="en-US" w:eastAsia="zh-CN"/>
                    </w:rPr>
                    <w:t>6</w:t>
                  </w:r>
                </w:p>
              </w:tc>
              <w:tc>
                <w:tcPr>
                  <w:tcW w:w="1681" w:type="dxa"/>
                  <w:noWrap w:val="0"/>
                  <w:vAlign w:val="center"/>
                </w:tcPr>
                <w:p w14:paraId="25C39932">
                  <w:pPr>
                    <w:jc w:val="left"/>
                    <w:rPr>
                      <w:rFonts w:hint="eastAsia"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60</w:t>
                  </w:r>
                </w:p>
              </w:tc>
            </w:tr>
            <w:tr w14:paraId="66677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exact"/>
              </w:trPr>
              <w:tc>
                <w:tcPr>
                  <w:tcW w:w="2457" w:type="dxa"/>
                  <w:noWrap w:val="0"/>
                  <w:vAlign w:val="center"/>
                </w:tcPr>
                <w:p w14:paraId="1FFC8BE0">
                  <w:pPr>
                    <w:jc w:val="center"/>
                    <w:rPr>
                      <w:rFonts w:hint="eastAsia"/>
                      <w:color w:val="000000" w:themeColor="text1"/>
                      <w:szCs w:val="21"/>
                      <w:highlight w:val="none"/>
                      <w:lang w:eastAsia="zh-CN"/>
                      <w14:textFill>
                        <w14:solidFill>
                          <w14:schemeClr w14:val="tx1"/>
                        </w14:solidFill>
                      </w14:textFill>
                    </w:rPr>
                  </w:pPr>
                  <w:r>
                    <w:rPr>
                      <w:szCs w:val="21"/>
                      <w:highlight w:val="none"/>
                    </w:rPr>
                    <w:t>粪大肠菌群（</w:t>
                  </w:r>
                  <w:r>
                    <w:rPr>
                      <w:rFonts w:hint="eastAsia"/>
                      <w:szCs w:val="21"/>
                      <w:highlight w:val="none"/>
                      <w:lang w:val="en-US" w:eastAsia="zh-CN"/>
                    </w:rPr>
                    <w:t>MPN</w:t>
                  </w:r>
                  <w:r>
                    <w:rPr>
                      <w:szCs w:val="21"/>
                      <w:highlight w:val="none"/>
                    </w:rPr>
                    <w:t>/L）</w:t>
                  </w:r>
                </w:p>
              </w:tc>
              <w:tc>
                <w:tcPr>
                  <w:tcW w:w="1049" w:type="dxa"/>
                  <w:shd w:val="clear" w:color="auto" w:fill="auto"/>
                  <w:noWrap w:val="0"/>
                  <w:vAlign w:val="center"/>
                </w:tcPr>
                <w:p w14:paraId="07FCE434">
                  <w:pPr>
                    <w:jc w:val="center"/>
                    <w:rPr>
                      <w:rFonts w:hint="eastAsia" w:cs="Times New Roman" w:asciiTheme="minorHAnsi" w:hAnsiTheme="minorHAnsi" w:eastAsiaTheme="minorEastAsia"/>
                      <w:color w:val="000000" w:themeColor="text1"/>
                      <w:kern w:val="2"/>
                      <w:sz w:val="21"/>
                      <w:szCs w:val="21"/>
                      <w:lang w:val="en-US" w:eastAsia="zh-CN" w:bidi="ar-SA"/>
                      <w14:textFill>
                        <w14:solidFill>
                          <w14:schemeClr w14:val="tx1"/>
                        </w14:solidFill>
                      </w14:textFill>
                    </w:rPr>
                  </w:pPr>
                  <w:r>
                    <w:rPr>
                      <w:rFonts w:hint="eastAsia"/>
                      <w:b w:val="0"/>
                      <w:bCs w:val="0"/>
                      <w:color w:val="000000" w:themeColor="text1"/>
                      <w:sz w:val="21"/>
                      <w:szCs w:val="21"/>
                      <w:highlight w:val="none"/>
                      <w:lang w:val="en-US" w:eastAsia="zh-CN"/>
                      <w14:textFill>
                        <w14:solidFill>
                          <w14:schemeClr w14:val="tx1"/>
                        </w14:solidFill>
                      </w14:textFill>
                    </w:rPr>
                    <w:t>4.4×10</w:t>
                  </w:r>
                  <w:r>
                    <w:rPr>
                      <w:rFonts w:hint="eastAsia"/>
                      <w:b w:val="0"/>
                      <w:bCs w:val="0"/>
                      <w:color w:val="000000" w:themeColor="text1"/>
                      <w:sz w:val="21"/>
                      <w:szCs w:val="21"/>
                      <w:highlight w:val="none"/>
                      <w:vertAlign w:val="superscript"/>
                      <w:lang w:val="en-US" w:eastAsia="zh-CN"/>
                      <w14:textFill>
                        <w14:solidFill>
                          <w14:schemeClr w14:val="tx1"/>
                        </w14:solidFill>
                      </w14:textFill>
                    </w:rPr>
                    <w:t>2</w:t>
                  </w:r>
                </w:p>
              </w:tc>
              <w:tc>
                <w:tcPr>
                  <w:tcW w:w="1042" w:type="dxa"/>
                  <w:shd w:val="clear" w:color="auto" w:fill="auto"/>
                  <w:noWrap w:val="0"/>
                  <w:vAlign w:val="center"/>
                </w:tcPr>
                <w:p w14:paraId="2E2ECF73">
                  <w:pPr>
                    <w:jc w:val="center"/>
                    <w:rPr>
                      <w:rFonts w:hint="eastAsia" w:asciiTheme="minorHAnsi" w:hAnsiTheme="minorHAnsi" w:eastAsiaTheme="minorEastAsia" w:cstheme="minorBidi"/>
                      <w:b w:val="0"/>
                      <w:bCs w:val="0"/>
                      <w:color w:val="000000" w:themeColor="text1"/>
                      <w:kern w:val="2"/>
                      <w:sz w:val="21"/>
                      <w:szCs w:val="21"/>
                      <w:highlight w:val="none"/>
                      <w:lang w:val="en-US" w:eastAsia="zh-CN" w:bidi="ar-SA"/>
                      <w14:textFill>
                        <w14:solidFill>
                          <w14:schemeClr w14:val="tx1"/>
                        </w14:solidFill>
                      </w14:textFill>
                    </w:rPr>
                  </w:pPr>
                  <w:r>
                    <w:rPr>
                      <w:rFonts w:hint="eastAsia"/>
                      <w:b w:val="0"/>
                      <w:bCs w:val="0"/>
                      <w:color w:val="000000" w:themeColor="text1"/>
                      <w:sz w:val="21"/>
                      <w:szCs w:val="21"/>
                      <w:highlight w:val="none"/>
                      <w:lang w:val="en-US" w:eastAsia="zh-CN"/>
                      <w14:textFill>
                        <w14:solidFill>
                          <w14:schemeClr w14:val="tx1"/>
                        </w14:solidFill>
                      </w14:textFill>
                    </w:rPr>
                    <w:t>3.9×10</w:t>
                  </w:r>
                  <w:r>
                    <w:rPr>
                      <w:rFonts w:hint="eastAsia"/>
                      <w:b w:val="0"/>
                      <w:bCs w:val="0"/>
                      <w:color w:val="000000" w:themeColor="text1"/>
                      <w:sz w:val="21"/>
                      <w:szCs w:val="21"/>
                      <w:highlight w:val="none"/>
                      <w:vertAlign w:val="superscript"/>
                      <w:lang w:val="en-US" w:eastAsia="zh-CN"/>
                      <w14:textFill>
                        <w14:solidFill>
                          <w14:schemeClr w14:val="tx1"/>
                        </w14:solidFill>
                      </w14:textFill>
                    </w:rPr>
                    <w:t>2</w:t>
                  </w:r>
                </w:p>
              </w:tc>
              <w:tc>
                <w:tcPr>
                  <w:tcW w:w="1208" w:type="dxa"/>
                  <w:shd w:val="clear" w:color="auto" w:fill="auto"/>
                  <w:noWrap w:val="0"/>
                  <w:vAlign w:val="center"/>
                </w:tcPr>
                <w:p w14:paraId="2A0C0804">
                  <w:pPr>
                    <w:jc w:val="center"/>
                    <w:rPr>
                      <w:rFonts w:hint="eastAsia" w:asciiTheme="minorHAnsi" w:hAnsiTheme="minorHAnsi" w:eastAsiaTheme="minorEastAsia" w:cstheme="minorBidi"/>
                      <w:b w:val="0"/>
                      <w:bCs w:val="0"/>
                      <w:color w:val="000000" w:themeColor="text1"/>
                      <w:kern w:val="2"/>
                      <w:sz w:val="21"/>
                      <w:szCs w:val="21"/>
                      <w:highlight w:val="none"/>
                      <w:lang w:val="en-US" w:eastAsia="zh-CN" w:bidi="ar-SA"/>
                      <w14:textFill>
                        <w14:solidFill>
                          <w14:schemeClr w14:val="tx1"/>
                        </w14:solidFill>
                      </w14:textFill>
                    </w:rPr>
                  </w:pPr>
                  <w:r>
                    <w:rPr>
                      <w:rFonts w:hint="eastAsia"/>
                      <w:b w:val="0"/>
                      <w:bCs w:val="0"/>
                      <w:color w:val="000000" w:themeColor="text1"/>
                      <w:sz w:val="21"/>
                      <w:szCs w:val="21"/>
                      <w:highlight w:val="none"/>
                      <w:lang w:val="en-US" w:eastAsia="zh-CN"/>
                      <w14:textFill>
                        <w14:solidFill>
                          <w14:schemeClr w14:val="tx1"/>
                        </w14:solidFill>
                      </w14:textFill>
                    </w:rPr>
                    <w:t>4.2×10</w:t>
                  </w:r>
                  <w:r>
                    <w:rPr>
                      <w:rFonts w:hint="eastAsia"/>
                      <w:b w:val="0"/>
                      <w:bCs w:val="0"/>
                      <w:color w:val="000000" w:themeColor="text1"/>
                      <w:sz w:val="21"/>
                      <w:szCs w:val="21"/>
                      <w:highlight w:val="none"/>
                      <w:vertAlign w:val="superscript"/>
                      <w:lang w:val="en-US" w:eastAsia="zh-CN"/>
                      <w14:textFill>
                        <w14:solidFill>
                          <w14:schemeClr w14:val="tx1"/>
                        </w14:solidFill>
                      </w14:textFill>
                    </w:rPr>
                    <w:t>2</w:t>
                  </w:r>
                </w:p>
              </w:tc>
              <w:tc>
                <w:tcPr>
                  <w:tcW w:w="1020" w:type="dxa"/>
                  <w:shd w:val="clear" w:color="auto" w:fill="auto"/>
                  <w:noWrap w:val="0"/>
                  <w:vAlign w:val="center"/>
                </w:tcPr>
                <w:p w14:paraId="7013A92E">
                  <w:pPr>
                    <w:jc w:val="center"/>
                    <w:rPr>
                      <w:rFonts w:hint="eastAsia" w:asciiTheme="minorHAnsi" w:hAnsiTheme="minorHAnsi" w:eastAsiaTheme="minorEastAsia" w:cstheme="minorBidi"/>
                      <w:b w:val="0"/>
                      <w:bCs w:val="0"/>
                      <w:color w:val="000000" w:themeColor="text1"/>
                      <w:kern w:val="2"/>
                      <w:sz w:val="21"/>
                      <w:szCs w:val="21"/>
                      <w:highlight w:val="none"/>
                      <w:lang w:val="en-US" w:eastAsia="zh-CN" w:bidi="ar-SA"/>
                      <w14:textFill>
                        <w14:solidFill>
                          <w14:schemeClr w14:val="tx1"/>
                        </w14:solidFill>
                      </w14:textFill>
                    </w:rPr>
                  </w:pPr>
                  <w:r>
                    <w:rPr>
                      <w:rFonts w:hint="eastAsia"/>
                      <w:b w:val="0"/>
                      <w:bCs w:val="0"/>
                      <w:color w:val="000000" w:themeColor="text1"/>
                      <w:sz w:val="21"/>
                      <w:szCs w:val="21"/>
                      <w:highlight w:val="none"/>
                      <w:lang w:val="en-US" w:eastAsia="zh-CN"/>
                      <w14:textFill>
                        <w14:solidFill>
                          <w14:schemeClr w14:val="tx1"/>
                        </w14:solidFill>
                      </w14:textFill>
                    </w:rPr>
                    <w:t>4.4×10</w:t>
                  </w:r>
                  <w:r>
                    <w:rPr>
                      <w:rFonts w:hint="eastAsia"/>
                      <w:b w:val="0"/>
                      <w:bCs w:val="0"/>
                      <w:color w:val="000000" w:themeColor="text1"/>
                      <w:sz w:val="21"/>
                      <w:szCs w:val="21"/>
                      <w:highlight w:val="none"/>
                      <w:vertAlign w:val="superscript"/>
                      <w:lang w:val="en-US" w:eastAsia="zh-CN"/>
                      <w14:textFill>
                        <w14:solidFill>
                          <w14:schemeClr w14:val="tx1"/>
                        </w14:solidFill>
                      </w14:textFill>
                    </w:rPr>
                    <w:t>2</w:t>
                  </w:r>
                </w:p>
              </w:tc>
              <w:tc>
                <w:tcPr>
                  <w:tcW w:w="1242" w:type="dxa"/>
                  <w:gridSpan w:val="2"/>
                  <w:noWrap w:val="0"/>
                  <w:vAlign w:val="center"/>
                </w:tcPr>
                <w:p w14:paraId="73DAAEC1">
                  <w:pPr>
                    <w:jc w:val="center"/>
                    <w:rPr>
                      <w:rFonts w:hint="default"/>
                      <w:szCs w:val="21"/>
                      <w:lang w:val="en-US" w:eastAsia="zh-CN"/>
                    </w:rPr>
                  </w:pPr>
                  <w:r>
                    <w:rPr>
                      <w:rFonts w:hint="eastAsia"/>
                      <w:b w:val="0"/>
                      <w:bCs w:val="0"/>
                      <w:color w:val="000000" w:themeColor="text1"/>
                      <w:sz w:val="21"/>
                      <w:szCs w:val="21"/>
                      <w:highlight w:val="none"/>
                      <w:lang w:val="en-US" w:eastAsia="zh-CN"/>
                      <w14:textFill>
                        <w14:solidFill>
                          <w14:schemeClr w14:val="tx1"/>
                        </w14:solidFill>
                      </w14:textFill>
                    </w:rPr>
                    <w:t>4.4×10</w:t>
                  </w:r>
                  <w:r>
                    <w:rPr>
                      <w:rFonts w:hint="eastAsia"/>
                      <w:b w:val="0"/>
                      <w:bCs w:val="0"/>
                      <w:color w:val="000000" w:themeColor="text1"/>
                      <w:sz w:val="21"/>
                      <w:szCs w:val="21"/>
                      <w:highlight w:val="none"/>
                      <w:vertAlign w:val="superscript"/>
                      <w:lang w:val="en-US" w:eastAsia="zh-CN"/>
                      <w14:textFill>
                        <w14:solidFill>
                          <w14:schemeClr w14:val="tx1"/>
                        </w14:solidFill>
                      </w14:textFill>
                    </w:rPr>
                    <w:t>2</w:t>
                  </w:r>
                </w:p>
              </w:tc>
              <w:tc>
                <w:tcPr>
                  <w:tcW w:w="1681" w:type="dxa"/>
                  <w:noWrap w:val="0"/>
                  <w:vAlign w:val="center"/>
                </w:tcPr>
                <w:p w14:paraId="5B6DA6D8">
                  <w:pPr>
                    <w:jc w:val="left"/>
                    <w:rPr>
                      <w:rFonts w:hint="eastAsia"/>
                      <w:b w:val="0"/>
                      <w:bCs w:val="0"/>
                      <w:color w:val="000000" w:themeColor="text1"/>
                      <w:sz w:val="21"/>
                      <w:szCs w:val="21"/>
                      <w:highlight w:val="none"/>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5000</w:t>
                  </w:r>
                </w:p>
              </w:tc>
            </w:tr>
            <w:tr w14:paraId="7FC64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exact"/>
              </w:trPr>
              <w:tc>
                <w:tcPr>
                  <w:tcW w:w="2457" w:type="dxa"/>
                  <w:noWrap w:val="0"/>
                  <w:vAlign w:val="center"/>
                </w:tcPr>
                <w:p w14:paraId="2C19AAA1">
                  <w:pPr>
                    <w:jc w:val="center"/>
                    <w:rPr>
                      <w:szCs w:val="21"/>
                    </w:rPr>
                  </w:pPr>
                  <w:r>
                    <w:rPr>
                      <w:rFonts w:hint="eastAsia"/>
                      <w:color w:val="000000" w:themeColor="text1"/>
                      <w:szCs w:val="21"/>
                      <w:highlight w:val="none"/>
                      <w:lang w:eastAsia="zh-CN"/>
                      <w14:textFill>
                        <w14:solidFill>
                          <w14:schemeClr w14:val="tx1"/>
                        </w14:solidFill>
                      </w14:textFill>
                    </w:rPr>
                    <w:t>动植物油</w:t>
                  </w:r>
                  <w:r>
                    <w:rPr>
                      <w:color w:val="000000" w:themeColor="text1"/>
                      <w:szCs w:val="21"/>
                      <w:highlight w:val="none"/>
                      <w14:textFill>
                        <w14:solidFill>
                          <w14:schemeClr w14:val="tx1"/>
                        </w14:solidFill>
                      </w14:textFill>
                    </w:rPr>
                    <w:t>（mg/L）</w:t>
                  </w:r>
                </w:p>
              </w:tc>
              <w:tc>
                <w:tcPr>
                  <w:tcW w:w="1049" w:type="dxa"/>
                  <w:shd w:val="clear" w:color="auto" w:fill="auto"/>
                  <w:noWrap w:val="0"/>
                  <w:vAlign w:val="center"/>
                </w:tcPr>
                <w:p w14:paraId="1D4463C7">
                  <w:pPr>
                    <w:jc w:val="center"/>
                    <w:rPr>
                      <w:rFonts w:hint="default" w:cs="Times New Roman" w:asciiTheme="minorHAnsi" w:hAnsiTheme="minorHAnsi" w:eastAsiaTheme="minorEastAsia"/>
                      <w:color w:val="000000" w:themeColor="text1"/>
                      <w:kern w:val="2"/>
                      <w:sz w:val="21"/>
                      <w:szCs w:val="21"/>
                      <w:lang w:val="en-US" w:eastAsia="zh-CN" w:bidi="ar-SA"/>
                      <w14:textFill>
                        <w14:solidFill>
                          <w14:schemeClr w14:val="tx1"/>
                        </w14:solidFill>
                      </w14:textFill>
                    </w:rPr>
                  </w:pPr>
                  <w:r>
                    <w:rPr>
                      <w:rFonts w:hint="eastAsia" w:cs="Times New Roman"/>
                      <w:color w:val="000000" w:themeColor="text1"/>
                      <w:kern w:val="2"/>
                      <w:sz w:val="21"/>
                      <w:szCs w:val="21"/>
                      <w:lang w:val="en-US" w:eastAsia="zh-CN" w:bidi="ar-SA"/>
                      <w14:textFill>
                        <w14:solidFill>
                          <w14:schemeClr w14:val="tx1"/>
                        </w14:solidFill>
                      </w14:textFill>
                    </w:rPr>
                    <w:t>0.23</w:t>
                  </w:r>
                </w:p>
              </w:tc>
              <w:tc>
                <w:tcPr>
                  <w:tcW w:w="1042" w:type="dxa"/>
                  <w:shd w:val="clear" w:color="auto" w:fill="auto"/>
                  <w:noWrap w:val="0"/>
                  <w:vAlign w:val="center"/>
                </w:tcPr>
                <w:p w14:paraId="2DF7D393">
                  <w:pPr>
                    <w:jc w:val="center"/>
                    <w:rPr>
                      <w:rFonts w:hint="default" w:cs="Times New Roman" w:asciiTheme="minorHAnsi" w:hAnsiTheme="minorHAnsi" w:eastAsiaTheme="minorEastAsia"/>
                      <w:color w:val="000000" w:themeColor="text1"/>
                      <w:kern w:val="2"/>
                      <w:sz w:val="21"/>
                      <w:szCs w:val="21"/>
                      <w:lang w:val="en-US" w:eastAsia="zh-CN" w:bidi="ar-SA"/>
                      <w14:textFill>
                        <w14:solidFill>
                          <w14:schemeClr w14:val="tx1"/>
                        </w14:solidFill>
                      </w14:textFill>
                    </w:rPr>
                  </w:pPr>
                  <w:r>
                    <w:rPr>
                      <w:rFonts w:hint="eastAsia" w:cs="Times New Roman"/>
                      <w:color w:val="000000" w:themeColor="text1"/>
                      <w:kern w:val="2"/>
                      <w:sz w:val="21"/>
                      <w:szCs w:val="21"/>
                      <w:lang w:val="en-US" w:eastAsia="zh-CN" w:bidi="ar-SA"/>
                      <w14:textFill>
                        <w14:solidFill>
                          <w14:schemeClr w14:val="tx1"/>
                        </w14:solidFill>
                      </w14:textFill>
                    </w:rPr>
                    <w:t>0.29</w:t>
                  </w:r>
                </w:p>
              </w:tc>
              <w:tc>
                <w:tcPr>
                  <w:tcW w:w="1208" w:type="dxa"/>
                  <w:shd w:val="clear" w:color="auto" w:fill="auto"/>
                  <w:noWrap w:val="0"/>
                  <w:vAlign w:val="center"/>
                </w:tcPr>
                <w:p w14:paraId="05993B75">
                  <w:pPr>
                    <w:jc w:val="center"/>
                    <w:rPr>
                      <w:rFonts w:hint="default" w:cs="Times New Roman" w:asciiTheme="minorHAnsi" w:hAnsiTheme="minorHAnsi" w:eastAsiaTheme="minorEastAsia"/>
                      <w:color w:val="000000" w:themeColor="text1"/>
                      <w:kern w:val="2"/>
                      <w:sz w:val="21"/>
                      <w:szCs w:val="21"/>
                      <w:lang w:val="en-US" w:eastAsia="zh-CN" w:bidi="ar-SA"/>
                      <w14:textFill>
                        <w14:solidFill>
                          <w14:schemeClr w14:val="tx1"/>
                        </w14:solidFill>
                      </w14:textFill>
                    </w:rPr>
                  </w:pPr>
                  <w:r>
                    <w:rPr>
                      <w:rFonts w:hint="eastAsia" w:cs="Times New Roman"/>
                      <w:color w:val="000000" w:themeColor="text1"/>
                      <w:kern w:val="2"/>
                      <w:sz w:val="21"/>
                      <w:szCs w:val="21"/>
                      <w:lang w:val="en-US" w:eastAsia="zh-CN" w:bidi="ar-SA"/>
                      <w14:textFill>
                        <w14:solidFill>
                          <w14:schemeClr w14:val="tx1"/>
                        </w14:solidFill>
                      </w14:textFill>
                    </w:rPr>
                    <w:t>0.18</w:t>
                  </w:r>
                </w:p>
              </w:tc>
              <w:tc>
                <w:tcPr>
                  <w:tcW w:w="1020" w:type="dxa"/>
                  <w:shd w:val="clear" w:color="auto" w:fill="auto"/>
                  <w:noWrap w:val="0"/>
                  <w:vAlign w:val="center"/>
                </w:tcPr>
                <w:p w14:paraId="543F1F54">
                  <w:pPr>
                    <w:jc w:val="center"/>
                    <w:rPr>
                      <w:rFonts w:hint="default" w:cs="Times New Roman" w:asciiTheme="minorHAnsi" w:hAnsiTheme="minorHAnsi" w:eastAsiaTheme="minorEastAsia"/>
                      <w:color w:val="000000" w:themeColor="text1"/>
                      <w:kern w:val="2"/>
                      <w:sz w:val="21"/>
                      <w:szCs w:val="21"/>
                      <w:lang w:val="en-US" w:eastAsia="zh-CN" w:bidi="ar-SA"/>
                      <w14:textFill>
                        <w14:solidFill>
                          <w14:schemeClr w14:val="tx1"/>
                        </w14:solidFill>
                      </w14:textFill>
                    </w:rPr>
                  </w:pPr>
                  <w:r>
                    <w:rPr>
                      <w:rFonts w:hint="eastAsia" w:cs="Times New Roman"/>
                      <w:color w:val="000000" w:themeColor="text1"/>
                      <w:kern w:val="2"/>
                      <w:sz w:val="21"/>
                      <w:szCs w:val="21"/>
                      <w:lang w:val="en-US" w:eastAsia="zh-CN" w:bidi="ar-SA"/>
                      <w14:textFill>
                        <w14:solidFill>
                          <w14:schemeClr w14:val="tx1"/>
                        </w14:solidFill>
                      </w14:textFill>
                    </w:rPr>
                    <w:t>0.27</w:t>
                  </w:r>
                </w:p>
              </w:tc>
              <w:tc>
                <w:tcPr>
                  <w:tcW w:w="1242" w:type="dxa"/>
                  <w:gridSpan w:val="2"/>
                  <w:noWrap w:val="0"/>
                  <w:vAlign w:val="center"/>
                </w:tcPr>
                <w:p w14:paraId="487ABF66">
                  <w:pPr>
                    <w:jc w:val="center"/>
                    <w:rPr>
                      <w:rFonts w:hint="default"/>
                      <w:szCs w:val="21"/>
                      <w:lang w:val="en-US" w:eastAsia="zh-CN"/>
                    </w:rPr>
                  </w:pPr>
                  <w:r>
                    <w:rPr>
                      <w:rFonts w:hint="eastAsia"/>
                      <w:szCs w:val="21"/>
                      <w:lang w:val="en-US" w:eastAsia="zh-CN"/>
                    </w:rPr>
                    <w:t>0.29</w:t>
                  </w:r>
                </w:p>
              </w:tc>
              <w:tc>
                <w:tcPr>
                  <w:tcW w:w="1681" w:type="dxa"/>
                  <w:noWrap w:val="0"/>
                  <w:vAlign w:val="center"/>
                </w:tcPr>
                <w:p w14:paraId="6D9FF731">
                  <w:pPr>
                    <w:jc w:val="left"/>
                    <w:rPr>
                      <w:rFonts w:hint="eastAsia"/>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15</w:t>
                  </w:r>
                </w:p>
              </w:tc>
            </w:tr>
            <w:tr w14:paraId="3DFB8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exact"/>
              </w:trPr>
              <w:tc>
                <w:tcPr>
                  <w:tcW w:w="2457" w:type="dxa"/>
                  <w:noWrap w:val="0"/>
                  <w:vAlign w:val="center"/>
                </w:tcPr>
                <w:p w14:paraId="4EA90DDE">
                  <w:pPr>
                    <w:jc w:val="center"/>
                    <w:rPr>
                      <w:rFonts w:hint="eastAsia"/>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总磷</w:t>
                  </w:r>
                  <w:r>
                    <w:rPr>
                      <w:color w:val="000000" w:themeColor="text1"/>
                      <w:szCs w:val="21"/>
                      <w:highlight w:val="none"/>
                      <w14:textFill>
                        <w14:solidFill>
                          <w14:schemeClr w14:val="tx1"/>
                        </w14:solidFill>
                      </w14:textFill>
                    </w:rPr>
                    <w:t>（mg/L）</w:t>
                  </w:r>
                </w:p>
              </w:tc>
              <w:tc>
                <w:tcPr>
                  <w:tcW w:w="1049" w:type="dxa"/>
                  <w:shd w:val="clear" w:color="auto" w:fill="auto"/>
                  <w:noWrap w:val="0"/>
                  <w:vAlign w:val="center"/>
                </w:tcPr>
                <w:p w14:paraId="38CFDF43">
                  <w:pPr>
                    <w:jc w:val="center"/>
                    <w:rPr>
                      <w:rFonts w:hint="default" w:cs="Times New Roman" w:asciiTheme="minorHAnsi" w:hAnsiTheme="minorHAnsi" w:eastAsiaTheme="minorEastAsia"/>
                      <w:color w:val="000000" w:themeColor="text1"/>
                      <w:kern w:val="2"/>
                      <w:sz w:val="21"/>
                      <w:szCs w:val="21"/>
                      <w:lang w:val="en-US" w:eastAsia="zh-CN" w:bidi="ar-SA"/>
                      <w14:textFill>
                        <w14:solidFill>
                          <w14:schemeClr w14:val="tx1"/>
                        </w14:solidFill>
                      </w14:textFill>
                    </w:rPr>
                  </w:pPr>
                  <w:r>
                    <w:rPr>
                      <w:rFonts w:hint="eastAsia" w:cs="Times New Roman"/>
                      <w:color w:val="000000" w:themeColor="text1"/>
                      <w:kern w:val="2"/>
                      <w:sz w:val="21"/>
                      <w:szCs w:val="21"/>
                      <w:lang w:val="en-US" w:eastAsia="zh-CN" w:bidi="ar-SA"/>
                      <w14:textFill>
                        <w14:solidFill>
                          <w14:schemeClr w14:val="tx1"/>
                        </w14:solidFill>
                      </w14:textFill>
                    </w:rPr>
                    <w:t>0.13</w:t>
                  </w:r>
                </w:p>
              </w:tc>
              <w:tc>
                <w:tcPr>
                  <w:tcW w:w="1042" w:type="dxa"/>
                  <w:shd w:val="clear" w:color="auto" w:fill="auto"/>
                  <w:noWrap w:val="0"/>
                  <w:vAlign w:val="center"/>
                </w:tcPr>
                <w:p w14:paraId="020B6034">
                  <w:pPr>
                    <w:jc w:val="center"/>
                    <w:rPr>
                      <w:rFonts w:hint="default" w:cs="Times New Roman" w:asciiTheme="minorHAnsi" w:hAnsiTheme="minorHAnsi" w:eastAsiaTheme="minorEastAsia"/>
                      <w:color w:val="000000" w:themeColor="text1"/>
                      <w:kern w:val="2"/>
                      <w:sz w:val="21"/>
                      <w:szCs w:val="21"/>
                      <w:lang w:val="en-US" w:eastAsia="zh-CN" w:bidi="ar-SA"/>
                      <w14:textFill>
                        <w14:solidFill>
                          <w14:schemeClr w14:val="tx1"/>
                        </w14:solidFill>
                      </w14:textFill>
                    </w:rPr>
                  </w:pPr>
                  <w:r>
                    <w:rPr>
                      <w:rFonts w:hint="eastAsia" w:cs="Times New Roman"/>
                      <w:color w:val="000000" w:themeColor="text1"/>
                      <w:kern w:val="2"/>
                      <w:sz w:val="21"/>
                      <w:szCs w:val="21"/>
                      <w:lang w:val="en-US" w:eastAsia="zh-CN" w:bidi="ar-SA"/>
                      <w14:textFill>
                        <w14:solidFill>
                          <w14:schemeClr w14:val="tx1"/>
                        </w14:solidFill>
                      </w14:textFill>
                    </w:rPr>
                    <w:t>0.13</w:t>
                  </w:r>
                </w:p>
              </w:tc>
              <w:tc>
                <w:tcPr>
                  <w:tcW w:w="1208" w:type="dxa"/>
                  <w:shd w:val="clear" w:color="auto" w:fill="auto"/>
                  <w:noWrap w:val="0"/>
                  <w:vAlign w:val="center"/>
                </w:tcPr>
                <w:p w14:paraId="0E14BF14">
                  <w:pPr>
                    <w:jc w:val="center"/>
                    <w:rPr>
                      <w:rFonts w:hint="default" w:cs="Times New Roman" w:asciiTheme="minorHAnsi" w:hAnsiTheme="minorHAnsi" w:eastAsiaTheme="minorEastAsia"/>
                      <w:color w:val="000000" w:themeColor="text1"/>
                      <w:kern w:val="2"/>
                      <w:sz w:val="21"/>
                      <w:szCs w:val="21"/>
                      <w:lang w:val="en-US" w:eastAsia="zh-CN" w:bidi="ar-SA"/>
                      <w14:textFill>
                        <w14:solidFill>
                          <w14:schemeClr w14:val="tx1"/>
                        </w14:solidFill>
                      </w14:textFill>
                    </w:rPr>
                  </w:pPr>
                  <w:r>
                    <w:rPr>
                      <w:rFonts w:hint="eastAsia" w:cs="Times New Roman"/>
                      <w:color w:val="000000" w:themeColor="text1"/>
                      <w:kern w:val="2"/>
                      <w:sz w:val="21"/>
                      <w:szCs w:val="21"/>
                      <w:lang w:val="en-US" w:eastAsia="zh-CN" w:bidi="ar-SA"/>
                      <w14:textFill>
                        <w14:solidFill>
                          <w14:schemeClr w14:val="tx1"/>
                        </w14:solidFill>
                      </w14:textFill>
                    </w:rPr>
                    <w:t>0.14</w:t>
                  </w:r>
                </w:p>
              </w:tc>
              <w:tc>
                <w:tcPr>
                  <w:tcW w:w="1020" w:type="dxa"/>
                  <w:shd w:val="clear" w:color="auto" w:fill="auto"/>
                  <w:noWrap w:val="0"/>
                  <w:vAlign w:val="center"/>
                </w:tcPr>
                <w:p w14:paraId="6FBB64B8">
                  <w:pPr>
                    <w:jc w:val="center"/>
                    <w:rPr>
                      <w:rFonts w:hint="default" w:cs="Times New Roman" w:asciiTheme="minorHAnsi" w:hAnsiTheme="minorHAnsi" w:eastAsiaTheme="minorEastAsia"/>
                      <w:color w:val="000000" w:themeColor="text1"/>
                      <w:kern w:val="2"/>
                      <w:sz w:val="21"/>
                      <w:szCs w:val="21"/>
                      <w:lang w:val="en-US" w:eastAsia="zh-CN" w:bidi="ar-SA"/>
                      <w14:textFill>
                        <w14:solidFill>
                          <w14:schemeClr w14:val="tx1"/>
                        </w14:solidFill>
                      </w14:textFill>
                    </w:rPr>
                  </w:pPr>
                  <w:r>
                    <w:rPr>
                      <w:rFonts w:hint="eastAsia" w:cs="Times New Roman"/>
                      <w:color w:val="000000" w:themeColor="text1"/>
                      <w:kern w:val="2"/>
                      <w:sz w:val="21"/>
                      <w:szCs w:val="21"/>
                      <w:lang w:val="en-US" w:eastAsia="zh-CN" w:bidi="ar-SA"/>
                      <w14:textFill>
                        <w14:solidFill>
                          <w14:schemeClr w14:val="tx1"/>
                        </w14:solidFill>
                      </w14:textFill>
                    </w:rPr>
                    <w:t>0.13</w:t>
                  </w:r>
                </w:p>
              </w:tc>
              <w:tc>
                <w:tcPr>
                  <w:tcW w:w="1242" w:type="dxa"/>
                  <w:gridSpan w:val="2"/>
                  <w:noWrap w:val="0"/>
                  <w:vAlign w:val="center"/>
                </w:tcPr>
                <w:p w14:paraId="2A0B5170">
                  <w:pPr>
                    <w:jc w:val="center"/>
                    <w:rPr>
                      <w:rFonts w:hint="default"/>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0.14</w:t>
                  </w:r>
                </w:p>
              </w:tc>
              <w:tc>
                <w:tcPr>
                  <w:tcW w:w="1681" w:type="dxa"/>
                  <w:noWrap w:val="0"/>
                  <w:vAlign w:val="center"/>
                </w:tcPr>
                <w:p w14:paraId="12CC6499">
                  <w:pPr>
                    <w:jc w:val="left"/>
                    <w:rPr>
                      <w:rFonts w:hint="eastAsia"/>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0.5</w:t>
                  </w:r>
                </w:p>
              </w:tc>
            </w:tr>
            <w:tr w14:paraId="2D63F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exact"/>
              </w:trPr>
              <w:tc>
                <w:tcPr>
                  <w:tcW w:w="2457" w:type="dxa"/>
                  <w:noWrap w:val="0"/>
                  <w:vAlign w:val="center"/>
                </w:tcPr>
                <w:p w14:paraId="2705C12A">
                  <w:pPr>
                    <w:jc w:val="center"/>
                    <w:rPr>
                      <w:rFonts w:hint="eastAsia"/>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总氮</w:t>
                  </w:r>
                  <w:r>
                    <w:rPr>
                      <w:color w:val="000000" w:themeColor="text1"/>
                      <w:szCs w:val="21"/>
                      <w:highlight w:val="none"/>
                      <w14:textFill>
                        <w14:solidFill>
                          <w14:schemeClr w14:val="tx1"/>
                        </w14:solidFill>
                      </w14:textFill>
                    </w:rPr>
                    <w:t>（mg/L）</w:t>
                  </w:r>
                </w:p>
              </w:tc>
              <w:tc>
                <w:tcPr>
                  <w:tcW w:w="1049" w:type="dxa"/>
                  <w:shd w:val="clear" w:color="auto" w:fill="auto"/>
                  <w:noWrap w:val="0"/>
                  <w:vAlign w:val="center"/>
                </w:tcPr>
                <w:p w14:paraId="2D0CF0EF">
                  <w:pPr>
                    <w:jc w:val="center"/>
                    <w:rPr>
                      <w:rFonts w:hint="default" w:cs="Times New Roman" w:asciiTheme="minorHAnsi" w:hAnsiTheme="minorHAnsi" w:eastAsiaTheme="minorEastAsia"/>
                      <w:color w:val="000000" w:themeColor="text1"/>
                      <w:kern w:val="2"/>
                      <w:sz w:val="21"/>
                      <w:szCs w:val="21"/>
                      <w:lang w:val="en-US" w:eastAsia="zh-CN" w:bidi="ar-SA"/>
                      <w14:textFill>
                        <w14:solidFill>
                          <w14:schemeClr w14:val="tx1"/>
                        </w14:solidFill>
                      </w14:textFill>
                    </w:rPr>
                  </w:pPr>
                  <w:r>
                    <w:rPr>
                      <w:rFonts w:hint="eastAsia" w:cs="Times New Roman"/>
                      <w:color w:val="000000" w:themeColor="text1"/>
                      <w:kern w:val="2"/>
                      <w:sz w:val="21"/>
                      <w:szCs w:val="21"/>
                      <w:lang w:val="en-US" w:eastAsia="zh-CN" w:bidi="ar-SA"/>
                      <w14:textFill>
                        <w14:solidFill>
                          <w14:schemeClr w14:val="tx1"/>
                        </w14:solidFill>
                      </w14:textFill>
                    </w:rPr>
                    <w:t>20.4</w:t>
                  </w:r>
                </w:p>
              </w:tc>
              <w:tc>
                <w:tcPr>
                  <w:tcW w:w="1042" w:type="dxa"/>
                  <w:shd w:val="clear" w:color="auto" w:fill="auto"/>
                  <w:noWrap w:val="0"/>
                  <w:vAlign w:val="center"/>
                </w:tcPr>
                <w:p w14:paraId="2D3E40B7">
                  <w:pPr>
                    <w:jc w:val="center"/>
                    <w:rPr>
                      <w:rFonts w:hint="default" w:cs="Times New Roman" w:asciiTheme="minorHAnsi" w:hAnsiTheme="minorHAnsi" w:eastAsiaTheme="minorEastAsia"/>
                      <w:color w:val="000000" w:themeColor="text1"/>
                      <w:kern w:val="2"/>
                      <w:sz w:val="21"/>
                      <w:szCs w:val="21"/>
                      <w:lang w:val="en-US" w:eastAsia="zh-CN" w:bidi="ar-SA"/>
                      <w14:textFill>
                        <w14:solidFill>
                          <w14:schemeClr w14:val="tx1"/>
                        </w14:solidFill>
                      </w14:textFill>
                    </w:rPr>
                  </w:pPr>
                  <w:r>
                    <w:rPr>
                      <w:rFonts w:hint="eastAsia" w:cs="Times New Roman"/>
                      <w:color w:val="000000" w:themeColor="text1"/>
                      <w:kern w:val="2"/>
                      <w:sz w:val="21"/>
                      <w:szCs w:val="21"/>
                      <w:lang w:val="en-US" w:eastAsia="zh-CN" w:bidi="ar-SA"/>
                      <w14:textFill>
                        <w14:solidFill>
                          <w14:schemeClr w14:val="tx1"/>
                        </w14:solidFill>
                      </w14:textFill>
                    </w:rPr>
                    <w:t>20.2</w:t>
                  </w:r>
                </w:p>
              </w:tc>
              <w:tc>
                <w:tcPr>
                  <w:tcW w:w="1208" w:type="dxa"/>
                  <w:shd w:val="clear" w:color="auto" w:fill="auto"/>
                  <w:noWrap w:val="0"/>
                  <w:vAlign w:val="center"/>
                </w:tcPr>
                <w:p w14:paraId="695B17D0">
                  <w:pPr>
                    <w:jc w:val="center"/>
                    <w:rPr>
                      <w:rFonts w:hint="default" w:cs="Times New Roman" w:asciiTheme="minorHAnsi" w:hAnsiTheme="minorHAnsi" w:eastAsiaTheme="minorEastAsia"/>
                      <w:color w:val="000000" w:themeColor="text1"/>
                      <w:kern w:val="2"/>
                      <w:sz w:val="21"/>
                      <w:szCs w:val="21"/>
                      <w:lang w:val="en-US" w:eastAsia="zh-CN" w:bidi="ar-SA"/>
                      <w14:textFill>
                        <w14:solidFill>
                          <w14:schemeClr w14:val="tx1"/>
                        </w14:solidFill>
                      </w14:textFill>
                    </w:rPr>
                  </w:pPr>
                  <w:r>
                    <w:rPr>
                      <w:rFonts w:hint="eastAsia" w:cs="Times New Roman"/>
                      <w:color w:val="000000" w:themeColor="text1"/>
                      <w:kern w:val="2"/>
                      <w:sz w:val="21"/>
                      <w:szCs w:val="21"/>
                      <w:lang w:val="en-US" w:eastAsia="zh-CN" w:bidi="ar-SA"/>
                      <w14:textFill>
                        <w14:solidFill>
                          <w14:schemeClr w14:val="tx1"/>
                        </w14:solidFill>
                      </w14:textFill>
                    </w:rPr>
                    <w:t>20.3</w:t>
                  </w:r>
                </w:p>
              </w:tc>
              <w:tc>
                <w:tcPr>
                  <w:tcW w:w="1020" w:type="dxa"/>
                  <w:shd w:val="clear" w:color="auto" w:fill="auto"/>
                  <w:noWrap w:val="0"/>
                  <w:vAlign w:val="center"/>
                </w:tcPr>
                <w:p w14:paraId="12EAC11A">
                  <w:pPr>
                    <w:jc w:val="center"/>
                    <w:rPr>
                      <w:rFonts w:hint="default" w:cs="Times New Roman" w:asciiTheme="minorHAnsi" w:hAnsiTheme="minorHAnsi" w:eastAsiaTheme="minorEastAsia"/>
                      <w:color w:val="000000" w:themeColor="text1"/>
                      <w:kern w:val="2"/>
                      <w:sz w:val="21"/>
                      <w:szCs w:val="21"/>
                      <w:lang w:val="en-US" w:eastAsia="zh-CN" w:bidi="ar-SA"/>
                      <w14:textFill>
                        <w14:solidFill>
                          <w14:schemeClr w14:val="tx1"/>
                        </w14:solidFill>
                      </w14:textFill>
                    </w:rPr>
                  </w:pPr>
                  <w:r>
                    <w:rPr>
                      <w:rFonts w:hint="eastAsia" w:cs="Times New Roman"/>
                      <w:color w:val="000000" w:themeColor="text1"/>
                      <w:kern w:val="2"/>
                      <w:sz w:val="21"/>
                      <w:szCs w:val="21"/>
                      <w:lang w:val="en-US" w:eastAsia="zh-CN" w:bidi="ar-SA"/>
                      <w14:textFill>
                        <w14:solidFill>
                          <w14:schemeClr w14:val="tx1"/>
                        </w14:solidFill>
                      </w14:textFill>
                    </w:rPr>
                    <w:t>20.3</w:t>
                  </w:r>
                </w:p>
              </w:tc>
              <w:tc>
                <w:tcPr>
                  <w:tcW w:w="1242" w:type="dxa"/>
                  <w:gridSpan w:val="2"/>
                  <w:noWrap w:val="0"/>
                  <w:vAlign w:val="center"/>
                </w:tcPr>
                <w:p w14:paraId="141EA0FE">
                  <w:pPr>
                    <w:jc w:val="center"/>
                    <w:rPr>
                      <w:rFonts w:hint="default"/>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20.4</w:t>
                  </w:r>
                </w:p>
              </w:tc>
              <w:tc>
                <w:tcPr>
                  <w:tcW w:w="1681" w:type="dxa"/>
                  <w:noWrap w:val="0"/>
                  <w:vAlign w:val="center"/>
                </w:tcPr>
                <w:p w14:paraId="51F0D845">
                  <w:pPr>
                    <w:jc w:val="left"/>
                    <w:rPr>
                      <w:rFonts w:hint="eastAsia"/>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15</w:t>
                  </w:r>
                </w:p>
              </w:tc>
            </w:tr>
            <w:tr w14:paraId="14E8C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exact"/>
              </w:trPr>
              <w:tc>
                <w:tcPr>
                  <w:tcW w:w="2457" w:type="dxa"/>
                  <w:noWrap w:val="0"/>
                  <w:vAlign w:val="center"/>
                </w:tcPr>
                <w:p w14:paraId="4C0755C9">
                  <w:pPr>
                    <w:jc w:val="center"/>
                    <w:rPr>
                      <w:rFonts w:hint="eastAsia"/>
                      <w:color w:val="000000" w:themeColor="text1"/>
                      <w:szCs w:val="21"/>
                      <w:highlight w:val="none"/>
                      <w:lang w:eastAsia="zh-CN"/>
                      <w14:textFill>
                        <w14:solidFill>
                          <w14:schemeClr w14:val="tx1"/>
                        </w14:solidFill>
                      </w14:textFill>
                    </w:rPr>
                  </w:pPr>
                  <w:r>
                    <w:rPr>
                      <w:rFonts w:hint="eastAsia" w:ascii="Times New Roman" w:hAnsi="Times New Roman" w:eastAsia="宋体" w:cs="Times New Roman"/>
                      <w:color w:val="auto"/>
                      <w:szCs w:val="21"/>
                      <w:shd w:val="clear"/>
                      <w:lang w:val="en-US" w:eastAsia="zh-CN"/>
                    </w:rPr>
                    <w:t>阴离子表面活性剂</w:t>
                  </w:r>
                  <w:r>
                    <w:rPr>
                      <w:rFonts w:hint="eastAsia" w:ascii="Times New Roman" w:hAnsi="Times New Roman" w:eastAsia="宋体" w:cs="Times New Roman"/>
                      <w:color w:val="auto"/>
                      <w:szCs w:val="21"/>
                      <w:shd w:val="clear"/>
                      <w:lang w:eastAsia="zh-CN"/>
                    </w:rPr>
                    <w:t>（mg/L）</w:t>
                  </w:r>
                </w:p>
              </w:tc>
              <w:tc>
                <w:tcPr>
                  <w:tcW w:w="1049" w:type="dxa"/>
                  <w:shd w:val="clear" w:color="auto" w:fill="auto"/>
                  <w:noWrap w:val="0"/>
                  <w:vAlign w:val="center"/>
                </w:tcPr>
                <w:p w14:paraId="2AA3B82A">
                  <w:pPr>
                    <w:jc w:val="center"/>
                    <w:rPr>
                      <w:rFonts w:hint="eastAsia" w:cs="Times New Roman" w:asciiTheme="minorHAnsi" w:hAnsiTheme="minorHAnsi" w:eastAsiaTheme="minorEastAsia"/>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auto"/>
                      <w:kern w:val="2"/>
                      <w:sz w:val="21"/>
                      <w:szCs w:val="21"/>
                      <w:lang w:val="en-US" w:eastAsia="zh-CN" w:bidi="ar-SA"/>
                    </w:rPr>
                    <w:t>&lt;</w:t>
                  </w:r>
                  <w:r>
                    <w:rPr>
                      <w:rFonts w:hint="eastAsia" w:cs="Times New Roman"/>
                      <w:b w:val="0"/>
                      <w:bCs w:val="0"/>
                      <w:color w:val="auto"/>
                      <w:kern w:val="2"/>
                      <w:sz w:val="21"/>
                      <w:szCs w:val="21"/>
                      <w:lang w:val="en-US" w:eastAsia="zh-CN" w:bidi="ar-SA"/>
                    </w:rPr>
                    <w:t xml:space="preserve"> 0.05</w:t>
                  </w:r>
                </w:p>
              </w:tc>
              <w:tc>
                <w:tcPr>
                  <w:tcW w:w="1042" w:type="dxa"/>
                  <w:shd w:val="clear" w:color="auto" w:fill="auto"/>
                  <w:noWrap w:val="0"/>
                  <w:vAlign w:val="center"/>
                </w:tcPr>
                <w:p w14:paraId="0C5A791E">
                  <w:pPr>
                    <w:jc w:val="center"/>
                    <w:rPr>
                      <w:rFonts w:hint="eastAsia" w:cs="Times New Roman" w:asciiTheme="minorHAnsi" w:hAnsiTheme="minorHAnsi" w:eastAsiaTheme="minorEastAsia"/>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auto"/>
                      <w:kern w:val="2"/>
                      <w:sz w:val="21"/>
                      <w:szCs w:val="21"/>
                      <w:lang w:val="en-US" w:eastAsia="zh-CN" w:bidi="ar-SA"/>
                    </w:rPr>
                    <w:t>&lt;</w:t>
                  </w:r>
                  <w:r>
                    <w:rPr>
                      <w:rFonts w:hint="eastAsia" w:cs="Times New Roman"/>
                      <w:b w:val="0"/>
                      <w:bCs w:val="0"/>
                      <w:color w:val="auto"/>
                      <w:kern w:val="2"/>
                      <w:sz w:val="21"/>
                      <w:szCs w:val="21"/>
                      <w:lang w:val="en-US" w:eastAsia="zh-CN" w:bidi="ar-SA"/>
                    </w:rPr>
                    <w:t xml:space="preserve"> 0.05</w:t>
                  </w:r>
                </w:p>
              </w:tc>
              <w:tc>
                <w:tcPr>
                  <w:tcW w:w="1208" w:type="dxa"/>
                  <w:shd w:val="clear" w:color="auto" w:fill="auto"/>
                  <w:noWrap w:val="0"/>
                  <w:vAlign w:val="center"/>
                </w:tcPr>
                <w:p w14:paraId="18663E92">
                  <w:pPr>
                    <w:jc w:val="center"/>
                    <w:rPr>
                      <w:rFonts w:hint="eastAsia" w:cs="Times New Roman" w:asciiTheme="minorHAnsi" w:hAnsiTheme="minorHAnsi" w:eastAsiaTheme="minorEastAsia"/>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auto"/>
                      <w:kern w:val="2"/>
                      <w:sz w:val="21"/>
                      <w:szCs w:val="21"/>
                      <w:lang w:val="en-US" w:eastAsia="zh-CN" w:bidi="ar-SA"/>
                    </w:rPr>
                    <w:t>&lt;</w:t>
                  </w:r>
                  <w:r>
                    <w:rPr>
                      <w:rFonts w:hint="eastAsia" w:cs="Times New Roman"/>
                      <w:b w:val="0"/>
                      <w:bCs w:val="0"/>
                      <w:color w:val="auto"/>
                      <w:kern w:val="2"/>
                      <w:sz w:val="21"/>
                      <w:szCs w:val="21"/>
                      <w:lang w:val="en-US" w:eastAsia="zh-CN" w:bidi="ar-SA"/>
                    </w:rPr>
                    <w:t xml:space="preserve"> 0.05</w:t>
                  </w:r>
                </w:p>
              </w:tc>
              <w:tc>
                <w:tcPr>
                  <w:tcW w:w="1020" w:type="dxa"/>
                  <w:shd w:val="clear" w:color="auto" w:fill="auto"/>
                  <w:noWrap w:val="0"/>
                  <w:vAlign w:val="center"/>
                </w:tcPr>
                <w:p w14:paraId="3C7DFD0F">
                  <w:pPr>
                    <w:jc w:val="center"/>
                    <w:rPr>
                      <w:rFonts w:hint="eastAsia" w:cs="Times New Roman" w:asciiTheme="minorHAnsi" w:hAnsiTheme="minorHAnsi" w:eastAsiaTheme="minorEastAsia"/>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auto"/>
                      <w:kern w:val="2"/>
                      <w:sz w:val="21"/>
                      <w:szCs w:val="21"/>
                      <w:lang w:val="en-US" w:eastAsia="zh-CN" w:bidi="ar-SA"/>
                    </w:rPr>
                    <w:t>&lt;</w:t>
                  </w:r>
                  <w:r>
                    <w:rPr>
                      <w:rFonts w:hint="eastAsia" w:cs="Times New Roman"/>
                      <w:b w:val="0"/>
                      <w:bCs w:val="0"/>
                      <w:color w:val="auto"/>
                      <w:kern w:val="2"/>
                      <w:sz w:val="21"/>
                      <w:szCs w:val="21"/>
                      <w:lang w:val="en-US" w:eastAsia="zh-CN" w:bidi="ar-SA"/>
                    </w:rPr>
                    <w:t xml:space="preserve"> 0.05</w:t>
                  </w:r>
                </w:p>
              </w:tc>
              <w:tc>
                <w:tcPr>
                  <w:tcW w:w="1242" w:type="dxa"/>
                  <w:gridSpan w:val="2"/>
                  <w:noWrap w:val="0"/>
                  <w:vAlign w:val="center"/>
                </w:tcPr>
                <w:p w14:paraId="2CCDC9AE">
                  <w:pPr>
                    <w:jc w:val="center"/>
                    <w:rPr>
                      <w:rFonts w:hint="default"/>
                      <w:szCs w:val="21"/>
                      <w:lang w:val="en-US" w:eastAsia="zh-CN"/>
                    </w:rPr>
                  </w:pPr>
                  <w:r>
                    <w:rPr>
                      <w:rFonts w:hint="eastAsia"/>
                      <w:szCs w:val="21"/>
                      <w:lang w:val="en-US" w:eastAsia="zh-CN"/>
                    </w:rPr>
                    <w:t>/</w:t>
                  </w:r>
                </w:p>
              </w:tc>
              <w:tc>
                <w:tcPr>
                  <w:tcW w:w="1681" w:type="dxa"/>
                  <w:noWrap w:val="0"/>
                  <w:vAlign w:val="center"/>
                </w:tcPr>
                <w:p w14:paraId="4D6399DD">
                  <w:pPr>
                    <w:jc w:val="left"/>
                    <w:rPr>
                      <w:rFonts w:hint="eastAsia"/>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w:t>
                  </w:r>
                </w:p>
              </w:tc>
            </w:tr>
            <w:tr w14:paraId="67002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exact"/>
              </w:trPr>
              <w:tc>
                <w:tcPr>
                  <w:tcW w:w="2457" w:type="dxa"/>
                  <w:noWrap w:val="0"/>
                  <w:vAlign w:val="center"/>
                </w:tcPr>
                <w:p w14:paraId="78B31CA1">
                  <w:pPr>
                    <w:jc w:val="center"/>
                    <w:rPr>
                      <w:rFonts w:hint="eastAsia" w:eastAsiaTheme="minorEastAsia"/>
                      <w:b/>
                      <w:bCs/>
                      <w:szCs w:val="21"/>
                      <w:lang w:val="en-US" w:eastAsia="zh-CN"/>
                    </w:rPr>
                  </w:pPr>
                  <w:r>
                    <w:rPr>
                      <w:rFonts w:hint="eastAsia"/>
                      <w:b/>
                      <w:bCs/>
                      <w:szCs w:val="21"/>
                      <w:lang w:val="en-US" w:eastAsia="zh-CN"/>
                    </w:rPr>
                    <w:t>监测点位</w:t>
                  </w:r>
                </w:p>
              </w:tc>
              <w:tc>
                <w:tcPr>
                  <w:tcW w:w="2091" w:type="dxa"/>
                  <w:gridSpan w:val="2"/>
                  <w:noWrap w:val="0"/>
                  <w:vAlign w:val="center"/>
                </w:tcPr>
                <w:p w14:paraId="3CD5F774">
                  <w:pPr>
                    <w:jc w:val="center"/>
                    <w:rPr>
                      <w:rFonts w:hint="default" w:cs="Times New Roman"/>
                      <w:b/>
                      <w:bCs/>
                      <w:color w:val="auto"/>
                      <w:kern w:val="2"/>
                      <w:sz w:val="21"/>
                      <w:szCs w:val="21"/>
                      <w:lang w:val="en-US" w:eastAsia="zh-CN" w:bidi="ar-SA"/>
                    </w:rPr>
                  </w:pPr>
                  <w:r>
                    <w:rPr>
                      <w:rFonts w:hint="eastAsia" w:cs="Times New Roman"/>
                      <w:b/>
                      <w:bCs/>
                      <w:color w:val="auto"/>
                      <w:kern w:val="2"/>
                      <w:sz w:val="21"/>
                      <w:szCs w:val="21"/>
                      <w:lang w:val="en-US" w:eastAsia="zh-CN" w:bidi="ar-SA"/>
                    </w:rPr>
                    <w:t>废水总排口</w:t>
                  </w:r>
                </w:p>
              </w:tc>
              <w:tc>
                <w:tcPr>
                  <w:tcW w:w="1208" w:type="dxa"/>
                  <w:noWrap w:val="0"/>
                  <w:vAlign w:val="center"/>
                </w:tcPr>
                <w:p w14:paraId="36EF10C1">
                  <w:pPr>
                    <w:jc w:val="center"/>
                    <w:rPr>
                      <w:rFonts w:hint="default" w:cs="Times New Roman"/>
                      <w:b/>
                      <w:bCs/>
                      <w:color w:val="auto"/>
                      <w:kern w:val="2"/>
                      <w:sz w:val="21"/>
                      <w:szCs w:val="21"/>
                      <w:lang w:val="en-US" w:eastAsia="zh-CN" w:bidi="ar-SA"/>
                    </w:rPr>
                  </w:pPr>
                  <w:r>
                    <w:rPr>
                      <w:rFonts w:hint="eastAsia" w:cs="Times New Roman"/>
                      <w:b/>
                      <w:bCs/>
                      <w:color w:val="auto"/>
                      <w:kern w:val="2"/>
                      <w:sz w:val="21"/>
                      <w:szCs w:val="21"/>
                      <w:lang w:val="en-US" w:eastAsia="zh-CN" w:bidi="ar-SA"/>
                    </w:rPr>
                    <w:t>监测日期</w:t>
                  </w:r>
                </w:p>
              </w:tc>
              <w:tc>
                <w:tcPr>
                  <w:tcW w:w="3943" w:type="dxa"/>
                  <w:gridSpan w:val="4"/>
                  <w:noWrap w:val="0"/>
                  <w:vAlign w:val="center"/>
                </w:tcPr>
                <w:p w14:paraId="322308E7">
                  <w:pPr>
                    <w:ind w:firstLine="211" w:firstLineChars="100"/>
                    <w:jc w:val="both"/>
                    <w:rPr>
                      <w:rFonts w:hint="default"/>
                      <w:b/>
                      <w:bCs/>
                      <w:szCs w:val="21"/>
                      <w:lang w:val="en-US" w:eastAsia="zh-CN"/>
                    </w:rPr>
                  </w:pPr>
                  <w:r>
                    <w:rPr>
                      <w:rFonts w:hint="eastAsia"/>
                      <w:b/>
                      <w:bCs/>
                      <w:szCs w:val="21"/>
                      <w:lang w:val="en-US" w:eastAsia="zh-CN"/>
                    </w:rPr>
                    <w:t>2025.6.28</w:t>
                  </w:r>
                </w:p>
              </w:tc>
            </w:tr>
            <w:tr w14:paraId="18930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exact"/>
              </w:trPr>
              <w:tc>
                <w:tcPr>
                  <w:tcW w:w="2457" w:type="dxa"/>
                  <w:noWrap w:val="0"/>
                  <w:vAlign w:val="center"/>
                </w:tcPr>
                <w:p w14:paraId="4DFA0940">
                  <w:pPr>
                    <w:jc w:val="center"/>
                    <w:rPr>
                      <w:rFonts w:hint="default" w:eastAsiaTheme="minorEastAsia"/>
                      <w:szCs w:val="21"/>
                      <w:lang w:val="en-US" w:eastAsia="zh-CN"/>
                    </w:rPr>
                  </w:pPr>
                  <w:r>
                    <w:rPr>
                      <w:rFonts w:hint="eastAsia"/>
                      <w:szCs w:val="21"/>
                      <w:lang w:val="en-US" w:eastAsia="zh-CN"/>
                    </w:rPr>
                    <w:t>监测项目</w:t>
                  </w:r>
                </w:p>
              </w:tc>
              <w:tc>
                <w:tcPr>
                  <w:tcW w:w="1049" w:type="dxa"/>
                  <w:noWrap w:val="0"/>
                  <w:vAlign w:val="center"/>
                </w:tcPr>
                <w:p w14:paraId="2DEDFFBD">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第一次</w:t>
                  </w:r>
                </w:p>
              </w:tc>
              <w:tc>
                <w:tcPr>
                  <w:tcW w:w="1042" w:type="dxa"/>
                  <w:noWrap w:val="0"/>
                  <w:vAlign w:val="center"/>
                </w:tcPr>
                <w:p w14:paraId="4EDB58BD">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第二次</w:t>
                  </w:r>
                </w:p>
              </w:tc>
              <w:tc>
                <w:tcPr>
                  <w:tcW w:w="1208" w:type="dxa"/>
                  <w:noWrap w:val="0"/>
                  <w:vAlign w:val="center"/>
                </w:tcPr>
                <w:p w14:paraId="1457DCE8">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第三次</w:t>
                  </w:r>
                </w:p>
              </w:tc>
              <w:tc>
                <w:tcPr>
                  <w:tcW w:w="1020" w:type="dxa"/>
                  <w:noWrap w:val="0"/>
                  <w:vAlign w:val="center"/>
                </w:tcPr>
                <w:p w14:paraId="7B26C37D">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第四次</w:t>
                  </w:r>
                </w:p>
              </w:tc>
              <w:tc>
                <w:tcPr>
                  <w:tcW w:w="1212" w:type="dxa"/>
                  <w:noWrap w:val="0"/>
                  <w:vAlign w:val="center"/>
                </w:tcPr>
                <w:p w14:paraId="24028C5E">
                  <w:pPr>
                    <w:jc w:val="center"/>
                    <w:rPr>
                      <w:rFonts w:hint="default"/>
                      <w:szCs w:val="21"/>
                      <w:lang w:val="en-US" w:eastAsia="zh-CN"/>
                    </w:rPr>
                  </w:pPr>
                  <w:r>
                    <w:rPr>
                      <w:rFonts w:hint="eastAsia"/>
                      <w:szCs w:val="21"/>
                      <w:lang w:val="en-US" w:eastAsia="zh-CN"/>
                    </w:rPr>
                    <w:t>最大值</w:t>
                  </w:r>
                </w:p>
              </w:tc>
              <w:tc>
                <w:tcPr>
                  <w:tcW w:w="1711" w:type="dxa"/>
                  <w:gridSpan w:val="2"/>
                  <w:noWrap w:val="0"/>
                  <w:vAlign w:val="center"/>
                </w:tcPr>
                <w:p w14:paraId="3A2B1360">
                  <w:pPr>
                    <w:jc w:val="both"/>
                    <w:rPr>
                      <w:rFonts w:hint="eastAsia"/>
                      <w:szCs w:val="21"/>
                      <w:lang w:val="en-US" w:eastAsia="zh-CN"/>
                    </w:rPr>
                  </w:pPr>
                  <w:r>
                    <w:rPr>
                      <w:rFonts w:hint="eastAsia"/>
                      <w:szCs w:val="21"/>
                      <w:lang w:val="en-US" w:eastAsia="zh-CN"/>
                    </w:rPr>
                    <w:t>标准限值</w:t>
                  </w:r>
                </w:p>
              </w:tc>
            </w:tr>
            <w:tr w14:paraId="5A7AB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exact"/>
              </w:trPr>
              <w:tc>
                <w:tcPr>
                  <w:tcW w:w="2457" w:type="dxa"/>
                  <w:noWrap w:val="0"/>
                  <w:vAlign w:val="center"/>
                </w:tcPr>
                <w:p w14:paraId="11E664B5">
                  <w:pPr>
                    <w:jc w:val="center"/>
                    <w:rPr>
                      <w:rFonts w:hint="eastAsia" w:eastAsia="宋体"/>
                      <w:szCs w:val="21"/>
                      <w:lang w:val="en-US" w:eastAsia="zh-CN"/>
                    </w:rPr>
                  </w:pPr>
                  <w:r>
                    <w:rPr>
                      <w:szCs w:val="21"/>
                    </w:rPr>
                    <w:t>pH（无量纲）</w:t>
                  </w:r>
                </w:p>
              </w:tc>
              <w:tc>
                <w:tcPr>
                  <w:tcW w:w="1049" w:type="dxa"/>
                  <w:noWrap w:val="0"/>
                  <w:vAlign w:val="center"/>
                </w:tcPr>
                <w:p w14:paraId="6DCABB3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8.12</w:t>
                  </w:r>
                </w:p>
              </w:tc>
              <w:tc>
                <w:tcPr>
                  <w:tcW w:w="1042" w:type="dxa"/>
                  <w:noWrap w:val="0"/>
                  <w:vAlign w:val="center"/>
                </w:tcPr>
                <w:p w14:paraId="39243DAA">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8.10</w:t>
                  </w:r>
                </w:p>
              </w:tc>
              <w:tc>
                <w:tcPr>
                  <w:tcW w:w="1208" w:type="dxa"/>
                  <w:noWrap w:val="0"/>
                  <w:vAlign w:val="center"/>
                </w:tcPr>
                <w:p w14:paraId="3217FA89">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7.97</w:t>
                  </w:r>
                </w:p>
              </w:tc>
              <w:tc>
                <w:tcPr>
                  <w:tcW w:w="1020" w:type="dxa"/>
                  <w:noWrap w:val="0"/>
                  <w:vAlign w:val="center"/>
                </w:tcPr>
                <w:p w14:paraId="43519E0C">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7.96</w:t>
                  </w:r>
                </w:p>
              </w:tc>
              <w:tc>
                <w:tcPr>
                  <w:tcW w:w="1212" w:type="dxa"/>
                  <w:noWrap w:val="0"/>
                  <w:vAlign w:val="center"/>
                </w:tcPr>
                <w:p w14:paraId="070DA1C6">
                  <w:pPr>
                    <w:jc w:val="center"/>
                    <w:rPr>
                      <w:rFonts w:hint="default" w:eastAsia="宋体"/>
                      <w:szCs w:val="21"/>
                      <w:lang w:val="en-US" w:eastAsia="zh-CN"/>
                    </w:rPr>
                  </w:pPr>
                  <w:r>
                    <w:rPr>
                      <w:rFonts w:hint="eastAsia" w:eastAsia="宋体"/>
                      <w:szCs w:val="21"/>
                      <w:lang w:val="en-US" w:eastAsia="zh-CN"/>
                    </w:rPr>
                    <w:t>8.12</w:t>
                  </w:r>
                </w:p>
              </w:tc>
              <w:tc>
                <w:tcPr>
                  <w:tcW w:w="1711" w:type="dxa"/>
                  <w:gridSpan w:val="2"/>
                  <w:shd w:val="clear" w:color="auto" w:fill="auto"/>
                  <w:noWrap w:val="0"/>
                  <w:vAlign w:val="center"/>
                </w:tcPr>
                <w:p w14:paraId="6FAA8246">
                  <w:pPr>
                    <w:jc w:val="left"/>
                    <w:rPr>
                      <w:rFonts w:hint="eastAsia" w:eastAsia="宋体" w:asciiTheme="minorHAnsi" w:hAnsiTheme="minorHAnsi" w:cstheme="minorBidi"/>
                      <w:color w:val="000000" w:themeColor="text1"/>
                      <w:kern w:val="2"/>
                      <w:sz w:val="21"/>
                      <w:szCs w:val="21"/>
                      <w:lang w:val="en-US" w:eastAsia="zh-CN" w:bidi="ar-SA"/>
                      <w14:textFill>
                        <w14:solidFill>
                          <w14:schemeClr w14:val="tx1"/>
                        </w14:solidFill>
                      </w14:textFill>
                    </w:rPr>
                  </w:pPr>
                  <w:r>
                    <w:rPr>
                      <w:rFonts w:hint="eastAsia"/>
                      <w:color w:val="000000" w:themeColor="text1"/>
                      <w:szCs w:val="21"/>
                      <w:lang w:val="en-US" w:eastAsia="zh-CN"/>
                      <w14:textFill>
                        <w14:solidFill>
                          <w14:schemeClr w14:val="tx1"/>
                        </w14:solidFill>
                      </w14:textFill>
                    </w:rPr>
                    <w:t>6~8.5</w:t>
                  </w:r>
                </w:p>
              </w:tc>
            </w:tr>
            <w:tr w14:paraId="32B38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exact"/>
              </w:trPr>
              <w:tc>
                <w:tcPr>
                  <w:tcW w:w="2457" w:type="dxa"/>
                  <w:noWrap w:val="0"/>
                  <w:vAlign w:val="center"/>
                </w:tcPr>
                <w:p w14:paraId="2A36D97A">
                  <w:pPr>
                    <w:jc w:val="center"/>
                    <w:rPr>
                      <w:szCs w:val="21"/>
                    </w:rPr>
                  </w:pPr>
                  <w:r>
                    <w:rPr>
                      <w:rFonts w:hint="eastAsia"/>
                      <w:szCs w:val="21"/>
                      <w:lang w:eastAsia="zh-CN"/>
                    </w:rPr>
                    <w:t>五日生化需氧量</w:t>
                  </w:r>
                  <w:r>
                    <w:rPr>
                      <w:szCs w:val="21"/>
                    </w:rPr>
                    <w:t>（mg/L）</w:t>
                  </w:r>
                </w:p>
              </w:tc>
              <w:tc>
                <w:tcPr>
                  <w:tcW w:w="1049" w:type="dxa"/>
                  <w:noWrap w:val="0"/>
                  <w:vAlign w:val="center"/>
                </w:tcPr>
                <w:p w14:paraId="3569801F">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5.1</w:t>
                  </w:r>
                </w:p>
              </w:tc>
              <w:tc>
                <w:tcPr>
                  <w:tcW w:w="1042" w:type="dxa"/>
                  <w:noWrap w:val="0"/>
                  <w:vAlign w:val="center"/>
                </w:tcPr>
                <w:p w14:paraId="3976DB3D">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5.1</w:t>
                  </w:r>
                </w:p>
              </w:tc>
              <w:tc>
                <w:tcPr>
                  <w:tcW w:w="1208" w:type="dxa"/>
                  <w:noWrap w:val="0"/>
                  <w:vAlign w:val="center"/>
                </w:tcPr>
                <w:p w14:paraId="0ADF8A04">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4.9</w:t>
                  </w:r>
                </w:p>
              </w:tc>
              <w:tc>
                <w:tcPr>
                  <w:tcW w:w="1020" w:type="dxa"/>
                  <w:noWrap w:val="0"/>
                  <w:vAlign w:val="center"/>
                </w:tcPr>
                <w:p w14:paraId="763F2576">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5.0</w:t>
                  </w:r>
                </w:p>
              </w:tc>
              <w:tc>
                <w:tcPr>
                  <w:tcW w:w="1212" w:type="dxa"/>
                  <w:noWrap w:val="0"/>
                  <w:vAlign w:val="center"/>
                </w:tcPr>
                <w:p w14:paraId="66CCB88F">
                  <w:pPr>
                    <w:jc w:val="center"/>
                    <w:rPr>
                      <w:rFonts w:hint="default" w:eastAsia="宋体"/>
                      <w:szCs w:val="21"/>
                      <w:lang w:val="en-US" w:eastAsia="zh-CN"/>
                    </w:rPr>
                  </w:pPr>
                  <w:r>
                    <w:rPr>
                      <w:rFonts w:hint="eastAsia" w:eastAsia="宋体"/>
                      <w:szCs w:val="21"/>
                      <w:lang w:val="en-US" w:eastAsia="zh-CN"/>
                    </w:rPr>
                    <w:t>5.1</w:t>
                  </w:r>
                </w:p>
              </w:tc>
              <w:tc>
                <w:tcPr>
                  <w:tcW w:w="1711" w:type="dxa"/>
                  <w:gridSpan w:val="2"/>
                  <w:shd w:val="clear" w:color="auto" w:fill="auto"/>
                  <w:noWrap w:val="0"/>
                  <w:vAlign w:val="center"/>
                </w:tcPr>
                <w:p w14:paraId="5C55AD6B">
                  <w:pPr>
                    <w:jc w:val="left"/>
                    <w:rPr>
                      <w:rFonts w:hint="eastAsia" w:eastAsia="宋体" w:asciiTheme="minorHAnsi" w:hAnsiTheme="minorHAnsi" w:cstheme="minorBidi"/>
                      <w:color w:val="000000" w:themeColor="text1"/>
                      <w:kern w:val="2"/>
                      <w:sz w:val="21"/>
                      <w:szCs w:val="21"/>
                      <w:lang w:val="en-US" w:eastAsia="zh-CN" w:bidi="ar-SA"/>
                      <w14:textFill>
                        <w14:solidFill>
                          <w14:schemeClr w14:val="tx1"/>
                        </w14:solidFill>
                      </w14:textFill>
                    </w:rPr>
                  </w:pPr>
                  <w:r>
                    <w:rPr>
                      <w:rFonts w:hint="eastAsia"/>
                      <w:color w:val="000000" w:themeColor="text1"/>
                      <w:szCs w:val="21"/>
                      <w:lang w:val="en-US" w:eastAsia="zh-CN"/>
                      <w14:textFill>
                        <w14:solidFill>
                          <w14:schemeClr w14:val="tx1"/>
                        </w14:solidFill>
                      </w14:textFill>
                    </w:rPr>
                    <w:t>30</w:t>
                  </w:r>
                </w:p>
              </w:tc>
            </w:tr>
            <w:tr w14:paraId="05399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exact"/>
              </w:trPr>
              <w:tc>
                <w:tcPr>
                  <w:tcW w:w="2457" w:type="dxa"/>
                  <w:noWrap w:val="0"/>
                  <w:vAlign w:val="center"/>
                </w:tcPr>
                <w:p w14:paraId="0943D05C">
                  <w:pPr>
                    <w:jc w:val="center"/>
                    <w:rPr>
                      <w:szCs w:val="21"/>
                    </w:rPr>
                  </w:pPr>
                  <w:r>
                    <w:rPr>
                      <w:szCs w:val="21"/>
                    </w:rPr>
                    <w:t>化学需氧量（mg/L）</w:t>
                  </w:r>
                </w:p>
              </w:tc>
              <w:tc>
                <w:tcPr>
                  <w:tcW w:w="1049" w:type="dxa"/>
                  <w:noWrap w:val="0"/>
                  <w:vAlign w:val="center"/>
                </w:tcPr>
                <w:p w14:paraId="48B53261">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1042" w:type="dxa"/>
                  <w:noWrap w:val="0"/>
                  <w:vAlign w:val="center"/>
                </w:tcPr>
                <w:p w14:paraId="474A2FCC">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21</w:t>
                  </w:r>
                </w:p>
              </w:tc>
              <w:tc>
                <w:tcPr>
                  <w:tcW w:w="1208" w:type="dxa"/>
                  <w:noWrap w:val="0"/>
                  <w:vAlign w:val="center"/>
                </w:tcPr>
                <w:p w14:paraId="356C620D">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1020" w:type="dxa"/>
                  <w:noWrap w:val="0"/>
                  <w:vAlign w:val="center"/>
                </w:tcPr>
                <w:p w14:paraId="6EED79CF">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19</w:t>
                  </w:r>
                </w:p>
              </w:tc>
              <w:tc>
                <w:tcPr>
                  <w:tcW w:w="1242" w:type="dxa"/>
                  <w:gridSpan w:val="2"/>
                  <w:noWrap w:val="0"/>
                  <w:vAlign w:val="center"/>
                </w:tcPr>
                <w:p w14:paraId="5454CA8A">
                  <w:pPr>
                    <w:jc w:val="center"/>
                    <w:rPr>
                      <w:rFonts w:hint="default" w:eastAsia="宋体"/>
                      <w:szCs w:val="21"/>
                      <w:lang w:val="en-US" w:eastAsia="zh-CN"/>
                    </w:rPr>
                  </w:pPr>
                  <w:r>
                    <w:rPr>
                      <w:rFonts w:hint="eastAsia" w:eastAsia="宋体"/>
                      <w:szCs w:val="21"/>
                      <w:lang w:val="en-US" w:eastAsia="zh-CN"/>
                    </w:rPr>
                    <w:t>21</w:t>
                  </w:r>
                </w:p>
              </w:tc>
              <w:tc>
                <w:tcPr>
                  <w:tcW w:w="1681" w:type="dxa"/>
                  <w:shd w:val="clear" w:color="auto" w:fill="auto"/>
                  <w:noWrap w:val="0"/>
                  <w:vAlign w:val="center"/>
                </w:tcPr>
                <w:p w14:paraId="2C6DB01C">
                  <w:pPr>
                    <w:jc w:val="left"/>
                    <w:rPr>
                      <w:rFonts w:hint="eastAsia" w:eastAsia="宋体" w:asciiTheme="minorHAnsi" w:hAnsiTheme="minorHAnsi" w:cstheme="minorBidi"/>
                      <w:color w:val="000000" w:themeColor="text1"/>
                      <w:kern w:val="2"/>
                      <w:sz w:val="21"/>
                      <w:szCs w:val="21"/>
                      <w:lang w:val="en-US" w:eastAsia="zh-CN" w:bidi="ar-SA"/>
                      <w14:textFill>
                        <w14:solidFill>
                          <w14:schemeClr w14:val="tx1"/>
                        </w14:solidFill>
                      </w14:textFill>
                    </w:rPr>
                  </w:pPr>
                  <w:r>
                    <w:rPr>
                      <w:rFonts w:hint="eastAsia"/>
                      <w:color w:val="000000" w:themeColor="text1"/>
                      <w:szCs w:val="21"/>
                      <w:lang w:val="en-US" w:eastAsia="zh-CN"/>
                      <w14:textFill>
                        <w14:solidFill>
                          <w14:schemeClr w14:val="tx1"/>
                        </w14:solidFill>
                      </w14:textFill>
                    </w:rPr>
                    <w:t>80</w:t>
                  </w:r>
                </w:p>
              </w:tc>
            </w:tr>
            <w:tr w14:paraId="64452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exact"/>
              </w:trPr>
              <w:tc>
                <w:tcPr>
                  <w:tcW w:w="2457" w:type="dxa"/>
                  <w:noWrap w:val="0"/>
                  <w:vAlign w:val="center"/>
                </w:tcPr>
                <w:p w14:paraId="4BF5BAD0">
                  <w:pPr>
                    <w:jc w:val="center"/>
                    <w:rPr>
                      <w:rFonts w:hint="eastAsia" w:eastAsia="宋体"/>
                      <w:szCs w:val="21"/>
                      <w:lang w:eastAsia="zh-CN"/>
                    </w:rPr>
                  </w:pPr>
                  <w:r>
                    <w:rPr>
                      <w:szCs w:val="21"/>
                    </w:rPr>
                    <w:t>氨氮（mg/L）</w:t>
                  </w:r>
                </w:p>
              </w:tc>
              <w:tc>
                <w:tcPr>
                  <w:tcW w:w="1049" w:type="dxa"/>
                  <w:noWrap w:val="0"/>
                  <w:vAlign w:val="center"/>
                </w:tcPr>
                <w:p w14:paraId="1BC1E6FD">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11.4</w:t>
                  </w:r>
                </w:p>
              </w:tc>
              <w:tc>
                <w:tcPr>
                  <w:tcW w:w="1042" w:type="dxa"/>
                  <w:noWrap w:val="0"/>
                  <w:vAlign w:val="center"/>
                </w:tcPr>
                <w:p w14:paraId="189B0F6F">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11.2</w:t>
                  </w:r>
                </w:p>
              </w:tc>
              <w:tc>
                <w:tcPr>
                  <w:tcW w:w="1208" w:type="dxa"/>
                  <w:noWrap w:val="0"/>
                  <w:vAlign w:val="center"/>
                </w:tcPr>
                <w:p w14:paraId="60234CA6">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11.3</w:t>
                  </w:r>
                </w:p>
              </w:tc>
              <w:tc>
                <w:tcPr>
                  <w:tcW w:w="1020" w:type="dxa"/>
                  <w:noWrap w:val="0"/>
                  <w:vAlign w:val="center"/>
                </w:tcPr>
                <w:p w14:paraId="2106DBD6">
                  <w:pPr>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11.3</w:t>
                  </w:r>
                </w:p>
              </w:tc>
              <w:tc>
                <w:tcPr>
                  <w:tcW w:w="1242" w:type="dxa"/>
                  <w:gridSpan w:val="2"/>
                  <w:noWrap w:val="0"/>
                  <w:vAlign w:val="center"/>
                </w:tcPr>
                <w:p w14:paraId="0AE639A4">
                  <w:pPr>
                    <w:jc w:val="center"/>
                    <w:rPr>
                      <w:rFonts w:hint="default" w:eastAsia="宋体"/>
                      <w:szCs w:val="21"/>
                      <w:lang w:val="en-US" w:eastAsia="zh-CN"/>
                    </w:rPr>
                  </w:pPr>
                  <w:r>
                    <w:rPr>
                      <w:rFonts w:hint="eastAsia" w:eastAsia="宋体"/>
                      <w:szCs w:val="21"/>
                      <w:lang w:val="en-US" w:eastAsia="zh-CN"/>
                    </w:rPr>
                    <w:t>11.4</w:t>
                  </w:r>
                </w:p>
              </w:tc>
              <w:tc>
                <w:tcPr>
                  <w:tcW w:w="1681" w:type="dxa"/>
                  <w:shd w:val="clear" w:color="auto" w:fill="auto"/>
                  <w:noWrap w:val="0"/>
                  <w:vAlign w:val="center"/>
                </w:tcPr>
                <w:p w14:paraId="7DEB243C">
                  <w:pPr>
                    <w:jc w:val="left"/>
                    <w:rPr>
                      <w:rFonts w:hint="eastAsia" w:eastAsia="宋体" w:asciiTheme="minorHAnsi" w:hAnsiTheme="minorHAnsi" w:cstheme="minorBidi"/>
                      <w:color w:val="000000" w:themeColor="text1"/>
                      <w:kern w:val="2"/>
                      <w:sz w:val="21"/>
                      <w:szCs w:val="21"/>
                      <w:lang w:val="en-US" w:eastAsia="zh-CN" w:bidi="ar-SA"/>
                      <w14:textFill>
                        <w14:solidFill>
                          <w14:schemeClr w14:val="tx1"/>
                        </w14:solidFill>
                      </w14:textFill>
                    </w:rPr>
                  </w:pPr>
                  <w:r>
                    <w:rPr>
                      <w:rFonts w:hint="eastAsia"/>
                      <w:color w:val="000000" w:themeColor="text1"/>
                      <w:szCs w:val="21"/>
                      <w:lang w:val="en-US" w:eastAsia="zh-CN"/>
                      <w14:textFill>
                        <w14:solidFill>
                          <w14:schemeClr w14:val="tx1"/>
                        </w14:solidFill>
                      </w14:textFill>
                    </w:rPr>
                    <w:t>15</w:t>
                  </w:r>
                </w:p>
              </w:tc>
            </w:tr>
            <w:tr w14:paraId="18FCB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2457" w:type="dxa"/>
                  <w:noWrap w:val="0"/>
                  <w:vAlign w:val="center"/>
                </w:tcPr>
                <w:p w14:paraId="623E1AA1">
                  <w:pPr>
                    <w:jc w:val="center"/>
                    <w:rPr>
                      <w:rFonts w:hint="eastAsia" w:eastAsia="宋体"/>
                      <w:szCs w:val="21"/>
                      <w:lang w:eastAsia="zh-CN"/>
                    </w:rPr>
                  </w:pPr>
                  <w:r>
                    <w:rPr>
                      <w:rFonts w:hint="eastAsia"/>
                      <w:szCs w:val="21"/>
                      <w:lang w:eastAsia="zh-CN"/>
                    </w:rPr>
                    <w:t>悬浮物</w:t>
                  </w:r>
                  <w:r>
                    <w:rPr>
                      <w:color w:val="auto"/>
                      <w:szCs w:val="21"/>
                    </w:rPr>
                    <w:t>（mg/L）</w:t>
                  </w:r>
                </w:p>
              </w:tc>
              <w:tc>
                <w:tcPr>
                  <w:tcW w:w="1049" w:type="dxa"/>
                  <w:noWrap w:val="0"/>
                  <w:vAlign w:val="center"/>
                </w:tcPr>
                <w:p w14:paraId="0367E6A9">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w:t>
                  </w:r>
                </w:p>
              </w:tc>
              <w:tc>
                <w:tcPr>
                  <w:tcW w:w="1042" w:type="dxa"/>
                  <w:noWrap w:val="0"/>
                  <w:vAlign w:val="center"/>
                </w:tcPr>
                <w:p w14:paraId="31C02D9B">
                  <w:pPr>
                    <w:jc w:val="center"/>
                    <w:rPr>
                      <w:rFonts w:hint="eastAsia" w:cs="Times New Roman"/>
                      <w:color w:val="auto"/>
                      <w:kern w:val="2"/>
                      <w:sz w:val="21"/>
                      <w:szCs w:val="21"/>
                      <w:lang w:val="en-US" w:eastAsia="zh-CN" w:bidi="ar-SA"/>
                    </w:rPr>
                  </w:pPr>
                  <w:r>
                    <w:rPr>
                      <w:rFonts w:hint="eastAsia" w:cs="Times New Roman"/>
                      <w:color w:val="auto"/>
                      <w:kern w:val="2"/>
                      <w:sz w:val="21"/>
                      <w:szCs w:val="21"/>
                      <w:lang w:val="en-US" w:eastAsia="zh-CN" w:bidi="ar-SA"/>
                    </w:rPr>
                    <w:t>8</w:t>
                  </w:r>
                </w:p>
              </w:tc>
              <w:tc>
                <w:tcPr>
                  <w:tcW w:w="1208" w:type="dxa"/>
                  <w:noWrap w:val="0"/>
                  <w:vAlign w:val="center"/>
                </w:tcPr>
                <w:p w14:paraId="0C57559C">
                  <w:pPr>
                    <w:jc w:val="center"/>
                    <w:rPr>
                      <w:rFonts w:hint="eastAsia" w:cs="Times New Roman"/>
                      <w:color w:val="auto"/>
                      <w:kern w:val="2"/>
                      <w:sz w:val="21"/>
                      <w:szCs w:val="21"/>
                      <w:lang w:val="en-US" w:eastAsia="zh-CN" w:bidi="ar-SA"/>
                    </w:rPr>
                  </w:pPr>
                  <w:r>
                    <w:rPr>
                      <w:rFonts w:hint="eastAsia" w:cs="Times New Roman"/>
                      <w:color w:val="auto"/>
                      <w:kern w:val="2"/>
                      <w:sz w:val="21"/>
                      <w:szCs w:val="21"/>
                      <w:lang w:val="en-US" w:eastAsia="zh-CN" w:bidi="ar-SA"/>
                    </w:rPr>
                    <w:t>8</w:t>
                  </w:r>
                </w:p>
              </w:tc>
              <w:tc>
                <w:tcPr>
                  <w:tcW w:w="1020" w:type="dxa"/>
                  <w:noWrap w:val="0"/>
                  <w:vAlign w:val="center"/>
                </w:tcPr>
                <w:p w14:paraId="0CDB48D8">
                  <w:pPr>
                    <w:jc w:val="center"/>
                    <w:rPr>
                      <w:rFonts w:hint="eastAsia" w:cs="Times New Roman"/>
                      <w:color w:val="auto"/>
                      <w:kern w:val="2"/>
                      <w:sz w:val="21"/>
                      <w:szCs w:val="21"/>
                      <w:lang w:val="en-US" w:eastAsia="zh-CN" w:bidi="ar-SA"/>
                    </w:rPr>
                  </w:pPr>
                  <w:r>
                    <w:rPr>
                      <w:rFonts w:hint="eastAsia" w:cs="Times New Roman"/>
                      <w:color w:val="auto"/>
                      <w:kern w:val="2"/>
                      <w:sz w:val="21"/>
                      <w:szCs w:val="21"/>
                      <w:lang w:val="en-US" w:eastAsia="zh-CN" w:bidi="ar-SA"/>
                    </w:rPr>
                    <w:t>8</w:t>
                  </w:r>
                </w:p>
              </w:tc>
              <w:tc>
                <w:tcPr>
                  <w:tcW w:w="1242" w:type="dxa"/>
                  <w:gridSpan w:val="2"/>
                  <w:noWrap w:val="0"/>
                  <w:vAlign w:val="center"/>
                </w:tcPr>
                <w:p w14:paraId="4AC4ABB8">
                  <w:pPr>
                    <w:jc w:val="center"/>
                    <w:rPr>
                      <w:rFonts w:hint="default" w:eastAsia="宋体"/>
                      <w:szCs w:val="21"/>
                      <w:lang w:val="en-US" w:eastAsia="zh-CN"/>
                    </w:rPr>
                  </w:pPr>
                  <w:r>
                    <w:rPr>
                      <w:rFonts w:hint="eastAsia" w:eastAsia="宋体"/>
                      <w:szCs w:val="21"/>
                      <w:lang w:val="en-US" w:eastAsia="zh-CN"/>
                    </w:rPr>
                    <w:t>8</w:t>
                  </w:r>
                </w:p>
              </w:tc>
              <w:tc>
                <w:tcPr>
                  <w:tcW w:w="1681" w:type="dxa"/>
                  <w:shd w:val="clear" w:color="auto" w:fill="auto"/>
                  <w:noWrap w:val="0"/>
                  <w:vAlign w:val="center"/>
                </w:tcPr>
                <w:p w14:paraId="0E225697">
                  <w:pPr>
                    <w:jc w:val="left"/>
                    <w:rPr>
                      <w:rFonts w:hint="eastAsia" w:eastAsia="宋体" w:asciiTheme="minorHAnsi" w:hAnsiTheme="minorHAnsi" w:cstheme="minorBidi"/>
                      <w:color w:val="000000" w:themeColor="text1"/>
                      <w:kern w:val="2"/>
                      <w:sz w:val="21"/>
                      <w:szCs w:val="21"/>
                      <w:lang w:val="en-US" w:eastAsia="zh-CN" w:bidi="ar-SA"/>
                      <w14:textFill>
                        <w14:solidFill>
                          <w14:schemeClr w14:val="tx1"/>
                        </w14:solidFill>
                      </w14:textFill>
                    </w:rPr>
                  </w:pPr>
                  <w:r>
                    <w:rPr>
                      <w:rFonts w:hint="eastAsia"/>
                      <w:color w:val="000000" w:themeColor="text1"/>
                      <w:szCs w:val="21"/>
                      <w:lang w:val="en-US" w:eastAsia="zh-CN"/>
                      <w14:textFill>
                        <w14:solidFill>
                          <w14:schemeClr w14:val="tx1"/>
                        </w14:solidFill>
                      </w14:textFill>
                    </w:rPr>
                    <w:t>60</w:t>
                  </w:r>
                </w:p>
              </w:tc>
            </w:tr>
            <w:tr w14:paraId="1B3ED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exact"/>
              </w:trPr>
              <w:tc>
                <w:tcPr>
                  <w:tcW w:w="2457" w:type="dxa"/>
                  <w:noWrap w:val="0"/>
                  <w:vAlign w:val="center"/>
                </w:tcPr>
                <w:p w14:paraId="64DA5F92">
                  <w:pPr>
                    <w:jc w:val="center"/>
                    <w:rPr>
                      <w:rFonts w:hint="eastAsia"/>
                      <w:color w:val="000000" w:themeColor="text1"/>
                      <w:szCs w:val="21"/>
                      <w:highlight w:val="none"/>
                      <w:lang w:eastAsia="zh-CN"/>
                      <w14:textFill>
                        <w14:solidFill>
                          <w14:schemeClr w14:val="tx1"/>
                        </w14:solidFill>
                      </w14:textFill>
                    </w:rPr>
                  </w:pPr>
                  <w:r>
                    <w:rPr>
                      <w:szCs w:val="21"/>
                      <w:highlight w:val="none"/>
                    </w:rPr>
                    <w:t>粪大肠菌群（</w:t>
                  </w:r>
                  <w:r>
                    <w:rPr>
                      <w:rFonts w:hint="eastAsia"/>
                      <w:szCs w:val="21"/>
                      <w:highlight w:val="none"/>
                      <w:lang w:val="en-US" w:eastAsia="zh-CN"/>
                    </w:rPr>
                    <w:t>MPN</w:t>
                  </w:r>
                  <w:r>
                    <w:rPr>
                      <w:szCs w:val="21"/>
                      <w:highlight w:val="none"/>
                    </w:rPr>
                    <w:t>/L）</w:t>
                  </w:r>
                </w:p>
              </w:tc>
              <w:tc>
                <w:tcPr>
                  <w:tcW w:w="1049" w:type="dxa"/>
                  <w:noWrap w:val="0"/>
                  <w:vAlign w:val="center"/>
                </w:tcPr>
                <w:p w14:paraId="4AD47062">
                  <w:pPr>
                    <w:jc w:val="center"/>
                    <w:rPr>
                      <w:rFonts w:hint="eastAsia" w:cs="Times New Roman"/>
                      <w:color w:val="000000" w:themeColor="text1"/>
                      <w:kern w:val="2"/>
                      <w:sz w:val="21"/>
                      <w:szCs w:val="21"/>
                      <w:lang w:val="en-US" w:eastAsia="zh-CN" w:bidi="ar-SA"/>
                      <w14:textFill>
                        <w14:solidFill>
                          <w14:schemeClr w14:val="tx1"/>
                        </w14:solidFill>
                      </w14:textFill>
                    </w:rPr>
                  </w:pPr>
                  <w:r>
                    <w:rPr>
                      <w:rFonts w:hint="eastAsia"/>
                      <w:b w:val="0"/>
                      <w:bCs w:val="0"/>
                      <w:color w:val="000000" w:themeColor="text1"/>
                      <w:sz w:val="21"/>
                      <w:szCs w:val="21"/>
                      <w:highlight w:val="none"/>
                      <w:lang w:val="en-US" w:eastAsia="zh-CN"/>
                      <w14:textFill>
                        <w14:solidFill>
                          <w14:schemeClr w14:val="tx1"/>
                        </w14:solidFill>
                      </w14:textFill>
                    </w:rPr>
                    <w:t>4.0×10</w:t>
                  </w:r>
                  <w:r>
                    <w:rPr>
                      <w:rFonts w:hint="eastAsia"/>
                      <w:b w:val="0"/>
                      <w:bCs w:val="0"/>
                      <w:color w:val="000000" w:themeColor="text1"/>
                      <w:sz w:val="21"/>
                      <w:szCs w:val="21"/>
                      <w:highlight w:val="none"/>
                      <w:vertAlign w:val="superscript"/>
                      <w:lang w:val="en-US" w:eastAsia="zh-CN"/>
                      <w14:textFill>
                        <w14:solidFill>
                          <w14:schemeClr w14:val="tx1"/>
                        </w14:solidFill>
                      </w14:textFill>
                    </w:rPr>
                    <w:t>2</w:t>
                  </w:r>
                </w:p>
              </w:tc>
              <w:tc>
                <w:tcPr>
                  <w:tcW w:w="1042" w:type="dxa"/>
                  <w:noWrap w:val="0"/>
                  <w:vAlign w:val="center"/>
                </w:tcPr>
                <w:p w14:paraId="67025561">
                  <w:pPr>
                    <w:jc w:val="center"/>
                    <w:rPr>
                      <w:rFonts w:hint="eastAsia"/>
                      <w:b w:val="0"/>
                      <w:bCs w:val="0"/>
                      <w:color w:val="000000" w:themeColor="text1"/>
                      <w:sz w:val="21"/>
                      <w:szCs w:val="21"/>
                      <w:highlight w:val="none"/>
                      <w:lang w:val="en-US" w:eastAsia="zh-CN"/>
                      <w14:textFill>
                        <w14:solidFill>
                          <w14:schemeClr w14:val="tx1"/>
                        </w14:solidFill>
                      </w14:textFill>
                    </w:rPr>
                  </w:pPr>
                  <w:r>
                    <w:rPr>
                      <w:rFonts w:hint="eastAsia"/>
                      <w:b w:val="0"/>
                      <w:bCs w:val="0"/>
                      <w:color w:val="000000" w:themeColor="text1"/>
                      <w:sz w:val="21"/>
                      <w:szCs w:val="21"/>
                      <w:highlight w:val="none"/>
                      <w:lang w:val="en-US" w:eastAsia="zh-CN"/>
                      <w14:textFill>
                        <w14:solidFill>
                          <w14:schemeClr w14:val="tx1"/>
                        </w14:solidFill>
                      </w14:textFill>
                    </w:rPr>
                    <w:t>4.2×10</w:t>
                  </w:r>
                  <w:r>
                    <w:rPr>
                      <w:rFonts w:hint="eastAsia"/>
                      <w:b w:val="0"/>
                      <w:bCs w:val="0"/>
                      <w:color w:val="000000" w:themeColor="text1"/>
                      <w:sz w:val="21"/>
                      <w:szCs w:val="21"/>
                      <w:highlight w:val="none"/>
                      <w:vertAlign w:val="superscript"/>
                      <w:lang w:val="en-US" w:eastAsia="zh-CN"/>
                      <w14:textFill>
                        <w14:solidFill>
                          <w14:schemeClr w14:val="tx1"/>
                        </w14:solidFill>
                      </w14:textFill>
                    </w:rPr>
                    <w:t>2</w:t>
                  </w:r>
                </w:p>
              </w:tc>
              <w:tc>
                <w:tcPr>
                  <w:tcW w:w="1208" w:type="dxa"/>
                  <w:noWrap w:val="0"/>
                  <w:vAlign w:val="center"/>
                </w:tcPr>
                <w:p w14:paraId="3C4E68DD">
                  <w:pPr>
                    <w:jc w:val="center"/>
                    <w:rPr>
                      <w:rFonts w:hint="eastAsia"/>
                      <w:b w:val="0"/>
                      <w:bCs w:val="0"/>
                      <w:color w:val="000000" w:themeColor="text1"/>
                      <w:sz w:val="21"/>
                      <w:szCs w:val="21"/>
                      <w:highlight w:val="none"/>
                      <w:lang w:val="en-US" w:eastAsia="zh-CN"/>
                      <w14:textFill>
                        <w14:solidFill>
                          <w14:schemeClr w14:val="tx1"/>
                        </w14:solidFill>
                      </w14:textFill>
                    </w:rPr>
                  </w:pPr>
                  <w:r>
                    <w:rPr>
                      <w:rFonts w:hint="eastAsia"/>
                      <w:b w:val="0"/>
                      <w:bCs w:val="0"/>
                      <w:color w:val="000000" w:themeColor="text1"/>
                      <w:sz w:val="21"/>
                      <w:szCs w:val="21"/>
                      <w:highlight w:val="none"/>
                      <w:lang w:val="en-US" w:eastAsia="zh-CN"/>
                      <w14:textFill>
                        <w14:solidFill>
                          <w14:schemeClr w14:val="tx1"/>
                        </w14:solidFill>
                      </w14:textFill>
                    </w:rPr>
                    <w:t>4.4×10</w:t>
                  </w:r>
                  <w:r>
                    <w:rPr>
                      <w:rFonts w:hint="eastAsia"/>
                      <w:b w:val="0"/>
                      <w:bCs w:val="0"/>
                      <w:color w:val="000000" w:themeColor="text1"/>
                      <w:sz w:val="21"/>
                      <w:szCs w:val="21"/>
                      <w:highlight w:val="none"/>
                      <w:vertAlign w:val="superscript"/>
                      <w:lang w:val="en-US" w:eastAsia="zh-CN"/>
                      <w14:textFill>
                        <w14:solidFill>
                          <w14:schemeClr w14:val="tx1"/>
                        </w14:solidFill>
                      </w14:textFill>
                    </w:rPr>
                    <w:t>2</w:t>
                  </w:r>
                </w:p>
              </w:tc>
              <w:tc>
                <w:tcPr>
                  <w:tcW w:w="1020" w:type="dxa"/>
                  <w:noWrap w:val="0"/>
                  <w:vAlign w:val="center"/>
                </w:tcPr>
                <w:p w14:paraId="6310FBB7">
                  <w:pPr>
                    <w:jc w:val="center"/>
                    <w:rPr>
                      <w:rFonts w:hint="eastAsia"/>
                      <w:b w:val="0"/>
                      <w:bCs w:val="0"/>
                      <w:color w:val="000000" w:themeColor="text1"/>
                      <w:sz w:val="21"/>
                      <w:szCs w:val="21"/>
                      <w:highlight w:val="none"/>
                      <w:lang w:val="en-US" w:eastAsia="zh-CN"/>
                      <w14:textFill>
                        <w14:solidFill>
                          <w14:schemeClr w14:val="tx1"/>
                        </w14:solidFill>
                      </w14:textFill>
                    </w:rPr>
                  </w:pPr>
                  <w:r>
                    <w:rPr>
                      <w:rFonts w:hint="eastAsia"/>
                      <w:b w:val="0"/>
                      <w:bCs w:val="0"/>
                      <w:color w:val="000000" w:themeColor="text1"/>
                      <w:sz w:val="21"/>
                      <w:szCs w:val="21"/>
                      <w:highlight w:val="none"/>
                      <w:lang w:val="en-US" w:eastAsia="zh-CN"/>
                      <w14:textFill>
                        <w14:solidFill>
                          <w14:schemeClr w14:val="tx1"/>
                        </w14:solidFill>
                      </w14:textFill>
                    </w:rPr>
                    <w:t>4.5×10</w:t>
                  </w:r>
                  <w:r>
                    <w:rPr>
                      <w:rFonts w:hint="eastAsia"/>
                      <w:b w:val="0"/>
                      <w:bCs w:val="0"/>
                      <w:color w:val="000000" w:themeColor="text1"/>
                      <w:sz w:val="21"/>
                      <w:szCs w:val="21"/>
                      <w:highlight w:val="none"/>
                      <w:vertAlign w:val="superscript"/>
                      <w:lang w:val="en-US" w:eastAsia="zh-CN"/>
                      <w14:textFill>
                        <w14:solidFill>
                          <w14:schemeClr w14:val="tx1"/>
                        </w14:solidFill>
                      </w14:textFill>
                    </w:rPr>
                    <w:t>2</w:t>
                  </w:r>
                </w:p>
              </w:tc>
              <w:tc>
                <w:tcPr>
                  <w:tcW w:w="1242" w:type="dxa"/>
                  <w:gridSpan w:val="2"/>
                  <w:noWrap w:val="0"/>
                  <w:vAlign w:val="center"/>
                </w:tcPr>
                <w:p w14:paraId="707A91BF">
                  <w:pPr>
                    <w:jc w:val="center"/>
                    <w:rPr>
                      <w:rFonts w:hint="default"/>
                      <w:szCs w:val="21"/>
                      <w:lang w:val="en-US" w:eastAsia="zh-CN"/>
                    </w:rPr>
                  </w:pPr>
                  <w:r>
                    <w:rPr>
                      <w:rFonts w:hint="eastAsia"/>
                      <w:b w:val="0"/>
                      <w:bCs w:val="0"/>
                      <w:color w:val="000000" w:themeColor="text1"/>
                      <w:sz w:val="21"/>
                      <w:szCs w:val="21"/>
                      <w:highlight w:val="none"/>
                      <w:lang w:val="en-US" w:eastAsia="zh-CN"/>
                      <w14:textFill>
                        <w14:solidFill>
                          <w14:schemeClr w14:val="tx1"/>
                        </w14:solidFill>
                      </w14:textFill>
                    </w:rPr>
                    <w:t>4.5×10</w:t>
                  </w:r>
                  <w:r>
                    <w:rPr>
                      <w:rFonts w:hint="eastAsia"/>
                      <w:b w:val="0"/>
                      <w:bCs w:val="0"/>
                      <w:color w:val="000000" w:themeColor="text1"/>
                      <w:sz w:val="21"/>
                      <w:szCs w:val="21"/>
                      <w:highlight w:val="none"/>
                      <w:vertAlign w:val="superscript"/>
                      <w:lang w:val="en-US" w:eastAsia="zh-CN"/>
                      <w14:textFill>
                        <w14:solidFill>
                          <w14:schemeClr w14:val="tx1"/>
                        </w14:solidFill>
                      </w14:textFill>
                    </w:rPr>
                    <w:t>2</w:t>
                  </w:r>
                </w:p>
              </w:tc>
              <w:tc>
                <w:tcPr>
                  <w:tcW w:w="1681" w:type="dxa"/>
                  <w:shd w:val="clear" w:color="auto" w:fill="auto"/>
                  <w:noWrap w:val="0"/>
                  <w:vAlign w:val="center"/>
                </w:tcPr>
                <w:p w14:paraId="40890A42">
                  <w:pPr>
                    <w:jc w:val="left"/>
                    <w:rPr>
                      <w:rFonts w:hint="eastAsia" w:asciiTheme="minorHAnsi" w:hAnsiTheme="minorHAnsi" w:eastAsiaTheme="minorEastAsia" w:cstheme="minorBidi"/>
                      <w:b w:val="0"/>
                      <w:bCs w:val="0"/>
                      <w:color w:val="000000" w:themeColor="text1"/>
                      <w:kern w:val="2"/>
                      <w:sz w:val="21"/>
                      <w:szCs w:val="21"/>
                      <w:highlight w:val="none"/>
                      <w:lang w:val="en-US" w:eastAsia="zh-CN" w:bidi="ar-SA"/>
                      <w14:textFill>
                        <w14:solidFill>
                          <w14:schemeClr w14:val="tx1"/>
                        </w14:solidFill>
                      </w14:textFill>
                    </w:rPr>
                  </w:pPr>
                  <w:r>
                    <w:rPr>
                      <w:rFonts w:hint="eastAsia"/>
                      <w:color w:val="000000" w:themeColor="text1"/>
                      <w:szCs w:val="21"/>
                      <w:lang w:val="en-US" w:eastAsia="zh-CN"/>
                      <w14:textFill>
                        <w14:solidFill>
                          <w14:schemeClr w14:val="tx1"/>
                        </w14:solidFill>
                      </w14:textFill>
                    </w:rPr>
                    <w:t>5000</w:t>
                  </w:r>
                </w:p>
              </w:tc>
            </w:tr>
            <w:tr w14:paraId="03421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exact"/>
              </w:trPr>
              <w:tc>
                <w:tcPr>
                  <w:tcW w:w="2457" w:type="dxa"/>
                  <w:noWrap w:val="0"/>
                  <w:vAlign w:val="center"/>
                </w:tcPr>
                <w:p w14:paraId="420F7525">
                  <w:pPr>
                    <w:jc w:val="center"/>
                    <w:rPr>
                      <w:szCs w:val="21"/>
                    </w:rPr>
                  </w:pPr>
                  <w:r>
                    <w:rPr>
                      <w:rFonts w:hint="eastAsia"/>
                      <w:color w:val="000000" w:themeColor="text1"/>
                      <w:szCs w:val="21"/>
                      <w:highlight w:val="none"/>
                      <w:lang w:eastAsia="zh-CN"/>
                      <w14:textFill>
                        <w14:solidFill>
                          <w14:schemeClr w14:val="tx1"/>
                        </w14:solidFill>
                      </w14:textFill>
                    </w:rPr>
                    <w:t>动植物油</w:t>
                  </w:r>
                  <w:r>
                    <w:rPr>
                      <w:color w:val="000000" w:themeColor="text1"/>
                      <w:szCs w:val="21"/>
                      <w:highlight w:val="none"/>
                      <w14:textFill>
                        <w14:solidFill>
                          <w14:schemeClr w14:val="tx1"/>
                        </w14:solidFill>
                      </w14:textFill>
                    </w:rPr>
                    <w:t>（mg/L）</w:t>
                  </w:r>
                </w:p>
              </w:tc>
              <w:tc>
                <w:tcPr>
                  <w:tcW w:w="1049" w:type="dxa"/>
                  <w:noWrap w:val="0"/>
                  <w:vAlign w:val="center"/>
                </w:tcPr>
                <w:p w14:paraId="4496609F">
                  <w:pPr>
                    <w:jc w:val="center"/>
                    <w:rPr>
                      <w:rFonts w:hint="default" w:cs="Times New Roman"/>
                      <w:color w:val="000000" w:themeColor="text1"/>
                      <w:kern w:val="2"/>
                      <w:sz w:val="21"/>
                      <w:szCs w:val="21"/>
                      <w:lang w:val="en-US" w:eastAsia="zh-CN" w:bidi="ar-SA"/>
                      <w14:textFill>
                        <w14:solidFill>
                          <w14:schemeClr w14:val="tx1"/>
                        </w14:solidFill>
                      </w14:textFill>
                    </w:rPr>
                  </w:pPr>
                  <w:r>
                    <w:rPr>
                      <w:rFonts w:hint="eastAsia" w:cs="Times New Roman"/>
                      <w:color w:val="000000" w:themeColor="text1"/>
                      <w:kern w:val="2"/>
                      <w:sz w:val="21"/>
                      <w:szCs w:val="21"/>
                      <w:lang w:val="en-US" w:eastAsia="zh-CN" w:bidi="ar-SA"/>
                      <w14:textFill>
                        <w14:solidFill>
                          <w14:schemeClr w14:val="tx1"/>
                        </w14:solidFill>
                      </w14:textFill>
                    </w:rPr>
                    <w:t>0.23</w:t>
                  </w:r>
                </w:p>
              </w:tc>
              <w:tc>
                <w:tcPr>
                  <w:tcW w:w="1042" w:type="dxa"/>
                  <w:noWrap w:val="0"/>
                  <w:vAlign w:val="center"/>
                </w:tcPr>
                <w:p w14:paraId="6EDBE54D">
                  <w:pPr>
                    <w:jc w:val="center"/>
                    <w:rPr>
                      <w:rFonts w:hint="default" w:cs="Times New Roman"/>
                      <w:color w:val="000000" w:themeColor="text1"/>
                      <w:kern w:val="2"/>
                      <w:sz w:val="21"/>
                      <w:szCs w:val="21"/>
                      <w:lang w:val="en-US" w:eastAsia="zh-CN" w:bidi="ar-SA"/>
                      <w14:textFill>
                        <w14:solidFill>
                          <w14:schemeClr w14:val="tx1"/>
                        </w14:solidFill>
                      </w14:textFill>
                    </w:rPr>
                  </w:pPr>
                  <w:r>
                    <w:rPr>
                      <w:rFonts w:hint="eastAsia" w:cs="Times New Roman"/>
                      <w:color w:val="000000" w:themeColor="text1"/>
                      <w:kern w:val="2"/>
                      <w:sz w:val="21"/>
                      <w:szCs w:val="21"/>
                      <w:lang w:val="en-US" w:eastAsia="zh-CN" w:bidi="ar-SA"/>
                      <w14:textFill>
                        <w14:solidFill>
                          <w14:schemeClr w14:val="tx1"/>
                        </w14:solidFill>
                      </w14:textFill>
                    </w:rPr>
                    <w:t>0.29</w:t>
                  </w:r>
                </w:p>
              </w:tc>
              <w:tc>
                <w:tcPr>
                  <w:tcW w:w="1208" w:type="dxa"/>
                  <w:noWrap w:val="0"/>
                  <w:vAlign w:val="center"/>
                </w:tcPr>
                <w:p w14:paraId="6033AF23">
                  <w:pPr>
                    <w:jc w:val="center"/>
                    <w:rPr>
                      <w:rFonts w:hint="default" w:cs="Times New Roman"/>
                      <w:color w:val="000000" w:themeColor="text1"/>
                      <w:kern w:val="2"/>
                      <w:sz w:val="21"/>
                      <w:szCs w:val="21"/>
                      <w:lang w:val="en-US" w:eastAsia="zh-CN" w:bidi="ar-SA"/>
                      <w14:textFill>
                        <w14:solidFill>
                          <w14:schemeClr w14:val="tx1"/>
                        </w14:solidFill>
                      </w14:textFill>
                    </w:rPr>
                  </w:pPr>
                  <w:r>
                    <w:rPr>
                      <w:rFonts w:hint="eastAsia" w:cs="Times New Roman"/>
                      <w:color w:val="000000" w:themeColor="text1"/>
                      <w:kern w:val="2"/>
                      <w:sz w:val="21"/>
                      <w:szCs w:val="21"/>
                      <w:lang w:val="en-US" w:eastAsia="zh-CN" w:bidi="ar-SA"/>
                      <w14:textFill>
                        <w14:solidFill>
                          <w14:schemeClr w14:val="tx1"/>
                        </w14:solidFill>
                      </w14:textFill>
                    </w:rPr>
                    <w:t>0.18</w:t>
                  </w:r>
                </w:p>
              </w:tc>
              <w:tc>
                <w:tcPr>
                  <w:tcW w:w="1020" w:type="dxa"/>
                  <w:noWrap w:val="0"/>
                  <w:vAlign w:val="center"/>
                </w:tcPr>
                <w:p w14:paraId="26A351BE">
                  <w:pPr>
                    <w:jc w:val="center"/>
                    <w:rPr>
                      <w:rFonts w:hint="default" w:cs="Times New Roman"/>
                      <w:color w:val="000000" w:themeColor="text1"/>
                      <w:kern w:val="2"/>
                      <w:sz w:val="21"/>
                      <w:szCs w:val="21"/>
                      <w:lang w:val="en-US" w:eastAsia="zh-CN" w:bidi="ar-SA"/>
                      <w14:textFill>
                        <w14:solidFill>
                          <w14:schemeClr w14:val="tx1"/>
                        </w14:solidFill>
                      </w14:textFill>
                    </w:rPr>
                  </w:pPr>
                  <w:r>
                    <w:rPr>
                      <w:rFonts w:hint="eastAsia" w:cs="Times New Roman"/>
                      <w:color w:val="000000" w:themeColor="text1"/>
                      <w:kern w:val="2"/>
                      <w:sz w:val="21"/>
                      <w:szCs w:val="21"/>
                      <w:lang w:val="en-US" w:eastAsia="zh-CN" w:bidi="ar-SA"/>
                      <w14:textFill>
                        <w14:solidFill>
                          <w14:schemeClr w14:val="tx1"/>
                        </w14:solidFill>
                      </w14:textFill>
                    </w:rPr>
                    <w:t>0.27</w:t>
                  </w:r>
                </w:p>
              </w:tc>
              <w:tc>
                <w:tcPr>
                  <w:tcW w:w="1242" w:type="dxa"/>
                  <w:gridSpan w:val="2"/>
                  <w:noWrap w:val="0"/>
                  <w:vAlign w:val="center"/>
                </w:tcPr>
                <w:p w14:paraId="254C5FC0">
                  <w:pPr>
                    <w:jc w:val="center"/>
                    <w:rPr>
                      <w:rFonts w:hint="default"/>
                      <w:szCs w:val="21"/>
                      <w:lang w:val="en-US" w:eastAsia="zh-CN"/>
                    </w:rPr>
                  </w:pPr>
                  <w:r>
                    <w:rPr>
                      <w:rFonts w:hint="eastAsia" w:cs="Times New Roman"/>
                      <w:color w:val="000000" w:themeColor="text1"/>
                      <w:kern w:val="2"/>
                      <w:sz w:val="21"/>
                      <w:szCs w:val="21"/>
                      <w:lang w:val="en-US" w:eastAsia="zh-CN" w:bidi="ar-SA"/>
                      <w14:textFill>
                        <w14:solidFill>
                          <w14:schemeClr w14:val="tx1"/>
                        </w14:solidFill>
                      </w14:textFill>
                    </w:rPr>
                    <w:t>0.29</w:t>
                  </w:r>
                </w:p>
              </w:tc>
              <w:tc>
                <w:tcPr>
                  <w:tcW w:w="1681" w:type="dxa"/>
                  <w:shd w:val="clear" w:color="auto" w:fill="auto"/>
                  <w:noWrap w:val="0"/>
                  <w:vAlign w:val="center"/>
                </w:tcPr>
                <w:p w14:paraId="5D800B14">
                  <w:pPr>
                    <w:jc w:val="left"/>
                    <w:rPr>
                      <w:rFonts w:hint="eastAsia" w:asciiTheme="minorHAnsi" w:hAnsiTheme="minorHAnsi" w:eastAsiaTheme="minorEastAsia" w:cstheme="minorBidi"/>
                      <w:color w:val="000000" w:themeColor="text1"/>
                      <w:kern w:val="2"/>
                      <w:sz w:val="21"/>
                      <w:szCs w:val="21"/>
                      <w:lang w:val="en-US" w:eastAsia="zh-CN" w:bidi="ar-SA"/>
                      <w14:textFill>
                        <w14:solidFill>
                          <w14:schemeClr w14:val="tx1"/>
                        </w14:solidFill>
                      </w14:textFill>
                    </w:rPr>
                  </w:pPr>
                  <w:r>
                    <w:rPr>
                      <w:rFonts w:hint="eastAsia"/>
                      <w:color w:val="000000" w:themeColor="text1"/>
                      <w:szCs w:val="21"/>
                      <w:lang w:val="en-US" w:eastAsia="zh-CN"/>
                      <w14:textFill>
                        <w14:solidFill>
                          <w14:schemeClr w14:val="tx1"/>
                        </w14:solidFill>
                      </w14:textFill>
                    </w:rPr>
                    <w:t>15</w:t>
                  </w:r>
                </w:p>
              </w:tc>
            </w:tr>
            <w:tr w14:paraId="20F7B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exact"/>
              </w:trPr>
              <w:tc>
                <w:tcPr>
                  <w:tcW w:w="2457" w:type="dxa"/>
                  <w:noWrap w:val="0"/>
                  <w:vAlign w:val="center"/>
                </w:tcPr>
                <w:p w14:paraId="1F882519">
                  <w:pPr>
                    <w:jc w:val="center"/>
                    <w:rPr>
                      <w:rFonts w:hint="eastAsia"/>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总磷</w:t>
                  </w:r>
                  <w:r>
                    <w:rPr>
                      <w:color w:val="000000" w:themeColor="text1"/>
                      <w:szCs w:val="21"/>
                      <w:highlight w:val="none"/>
                      <w14:textFill>
                        <w14:solidFill>
                          <w14:schemeClr w14:val="tx1"/>
                        </w14:solidFill>
                      </w14:textFill>
                    </w:rPr>
                    <w:t>（mg/L）</w:t>
                  </w:r>
                </w:p>
              </w:tc>
              <w:tc>
                <w:tcPr>
                  <w:tcW w:w="1049" w:type="dxa"/>
                  <w:noWrap w:val="0"/>
                  <w:vAlign w:val="center"/>
                </w:tcPr>
                <w:p w14:paraId="771EDC8A">
                  <w:pPr>
                    <w:jc w:val="center"/>
                    <w:rPr>
                      <w:rFonts w:hint="default" w:cs="Times New Roman"/>
                      <w:color w:val="000000" w:themeColor="text1"/>
                      <w:kern w:val="2"/>
                      <w:sz w:val="21"/>
                      <w:szCs w:val="21"/>
                      <w:lang w:val="en-US" w:eastAsia="zh-CN" w:bidi="ar-SA"/>
                      <w14:textFill>
                        <w14:solidFill>
                          <w14:schemeClr w14:val="tx1"/>
                        </w14:solidFill>
                      </w14:textFill>
                    </w:rPr>
                  </w:pPr>
                  <w:r>
                    <w:rPr>
                      <w:rFonts w:hint="eastAsia" w:cs="Times New Roman"/>
                      <w:color w:val="000000" w:themeColor="text1"/>
                      <w:kern w:val="2"/>
                      <w:sz w:val="21"/>
                      <w:szCs w:val="21"/>
                      <w:lang w:val="en-US" w:eastAsia="zh-CN" w:bidi="ar-SA"/>
                      <w14:textFill>
                        <w14:solidFill>
                          <w14:schemeClr w14:val="tx1"/>
                        </w14:solidFill>
                      </w14:textFill>
                    </w:rPr>
                    <w:t>0.22</w:t>
                  </w:r>
                </w:p>
              </w:tc>
              <w:tc>
                <w:tcPr>
                  <w:tcW w:w="1042" w:type="dxa"/>
                  <w:noWrap w:val="0"/>
                  <w:vAlign w:val="center"/>
                </w:tcPr>
                <w:p w14:paraId="0D645963">
                  <w:pPr>
                    <w:jc w:val="center"/>
                    <w:rPr>
                      <w:rFonts w:hint="default" w:cs="Times New Roman"/>
                      <w:color w:val="000000" w:themeColor="text1"/>
                      <w:kern w:val="2"/>
                      <w:sz w:val="21"/>
                      <w:szCs w:val="21"/>
                      <w:lang w:val="en-US" w:eastAsia="zh-CN" w:bidi="ar-SA"/>
                      <w14:textFill>
                        <w14:solidFill>
                          <w14:schemeClr w14:val="tx1"/>
                        </w14:solidFill>
                      </w14:textFill>
                    </w:rPr>
                  </w:pPr>
                  <w:r>
                    <w:rPr>
                      <w:rFonts w:hint="eastAsia" w:cs="Times New Roman"/>
                      <w:color w:val="000000" w:themeColor="text1"/>
                      <w:kern w:val="2"/>
                      <w:sz w:val="21"/>
                      <w:szCs w:val="21"/>
                      <w:lang w:val="en-US" w:eastAsia="zh-CN" w:bidi="ar-SA"/>
                      <w14:textFill>
                        <w14:solidFill>
                          <w14:schemeClr w14:val="tx1"/>
                        </w14:solidFill>
                      </w14:textFill>
                    </w:rPr>
                    <w:t>0.21</w:t>
                  </w:r>
                </w:p>
              </w:tc>
              <w:tc>
                <w:tcPr>
                  <w:tcW w:w="1208" w:type="dxa"/>
                  <w:noWrap w:val="0"/>
                  <w:vAlign w:val="center"/>
                </w:tcPr>
                <w:p w14:paraId="4A457612">
                  <w:pPr>
                    <w:jc w:val="center"/>
                    <w:rPr>
                      <w:rFonts w:hint="default" w:cs="Times New Roman"/>
                      <w:color w:val="000000" w:themeColor="text1"/>
                      <w:kern w:val="2"/>
                      <w:sz w:val="21"/>
                      <w:szCs w:val="21"/>
                      <w:lang w:val="en-US" w:eastAsia="zh-CN" w:bidi="ar-SA"/>
                      <w14:textFill>
                        <w14:solidFill>
                          <w14:schemeClr w14:val="tx1"/>
                        </w14:solidFill>
                      </w14:textFill>
                    </w:rPr>
                  </w:pPr>
                  <w:r>
                    <w:rPr>
                      <w:rFonts w:hint="eastAsia" w:cs="Times New Roman"/>
                      <w:color w:val="000000" w:themeColor="text1"/>
                      <w:kern w:val="2"/>
                      <w:sz w:val="21"/>
                      <w:szCs w:val="21"/>
                      <w:lang w:val="en-US" w:eastAsia="zh-CN" w:bidi="ar-SA"/>
                      <w14:textFill>
                        <w14:solidFill>
                          <w14:schemeClr w14:val="tx1"/>
                        </w14:solidFill>
                      </w14:textFill>
                    </w:rPr>
                    <w:t>0.21</w:t>
                  </w:r>
                </w:p>
              </w:tc>
              <w:tc>
                <w:tcPr>
                  <w:tcW w:w="1020" w:type="dxa"/>
                  <w:noWrap w:val="0"/>
                  <w:vAlign w:val="center"/>
                </w:tcPr>
                <w:p w14:paraId="7B818B97">
                  <w:pPr>
                    <w:jc w:val="center"/>
                    <w:rPr>
                      <w:rFonts w:hint="default" w:cs="Times New Roman"/>
                      <w:color w:val="000000" w:themeColor="text1"/>
                      <w:kern w:val="2"/>
                      <w:sz w:val="21"/>
                      <w:szCs w:val="21"/>
                      <w:lang w:val="en-US" w:eastAsia="zh-CN" w:bidi="ar-SA"/>
                      <w14:textFill>
                        <w14:solidFill>
                          <w14:schemeClr w14:val="tx1"/>
                        </w14:solidFill>
                      </w14:textFill>
                    </w:rPr>
                  </w:pPr>
                  <w:r>
                    <w:rPr>
                      <w:rFonts w:hint="eastAsia" w:cs="Times New Roman"/>
                      <w:color w:val="000000" w:themeColor="text1"/>
                      <w:kern w:val="2"/>
                      <w:sz w:val="21"/>
                      <w:szCs w:val="21"/>
                      <w:lang w:val="en-US" w:eastAsia="zh-CN" w:bidi="ar-SA"/>
                      <w14:textFill>
                        <w14:solidFill>
                          <w14:schemeClr w14:val="tx1"/>
                        </w14:solidFill>
                      </w14:textFill>
                    </w:rPr>
                    <w:t>0.22</w:t>
                  </w:r>
                </w:p>
              </w:tc>
              <w:tc>
                <w:tcPr>
                  <w:tcW w:w="1242" w:type="dxa"/>
                  <w:gridSpan w:val="2"/>
                  <w:noWrap w:val="0"/>
                  <w:vAlign w:val="center"/>
                </w:tcPr>
                <w:p w14:paraId="3F290ECA">
                  <w:pPr>
                    <w:jc w:val="center"/>
                    <w:rPr>
                      <w:rFonts w:hint="default"/>
                      <w:color w:val="C00000"/>
                      <w:szCs w:val="21"/>
                      <w:lang w:val="en-US" w:eastAsia="zh-CN"/>
                    </w:rPr>
                  </w:pPr>
                  <w:r>
                    <w:rPr>
                      <w:rFonts w:hint="eastAsia"/>
                      <w:color w:val="000000" w:themeColor="text1"/>
                      <w:szCs w:val="21"/>
                      <w:lang w:val="en-US" w:eastAsia="zh-CN"/>
                      <w14:textFill>
                        <w14:solidFill>
                          <w14:schemeClr w14:val="tx1"/>
                        </w14:solidFill>
                      </w14:textFill>
                    </w:rPr>
                    <w:t>0.22</w:t>
                  </w:r>
                </w:p>
              </w:tc>
              <w:tc>
                <w:tcPr>
                  <w:tcW w:w="1681" w:type="dxa"/>
                  <w:shd w:val="clear" w:color="auto" w:fill="auto"/>
                  <w:noWrap w:val="0"/>
                  <w:vAlign w:val="center"/>
                </w:tcPr>
                <w:p w14:paraId="210927F9">
                  <w:pPr>
                    <w:jc w:val="left"/>
                    <w:rPr>
                      <w:rFonts w:hint="eastAsia" w:asciiTheme="minorHAnsi" w:hAnsiTheme="minorHAnsi" w:eastAsiaTheme="minorEastAsia" w:cstheme="minorBidi"/>
                      <w:color w:val="000000" w:themeColor="text1"/>
                      <w:kern w:val="2"/>
                      <w:sz w:val="21"/>
                      <w:szCs w:val="21"/>
                      <w:lang w:val="en-US" w:eastAsia="zh-CN" w:bidi="ar-SA"/>
                      <w14:textFill>
                        <w14:solidFill>
                          <w14:schemeClr w14:val="tx1"/>
                        </w14:solidFill>
                      </w14:textFill>
                    </w:rPr>
                  </w:pPr>
                  <w:r>
                    <w:rPr>
                      <w:rFonts w:hint="eastAsia"/>
                      <w:color w:val="000000" w:themeColor="text1"/>
                      <w:szCs w:val="21"/>
                      <w:lang w:val="en-US" w:eastAsia="zh-CN"/>
                      <w14:textFill>
                        <w14:solidFill>
                          <w14:schemeClr w14:val="tx1"/>
                        </w14:solidFill>
                      </w14:textFill>
                    </w:rPr>
                    <w:t>0.5</w:t>
                  </w:r>
                </w:p>
              </w:tc>
            </w:tr>
            <w:tr w14:paraId="0566D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exact"/>
              </w:trPr>
              <w:tc>
                <w:tcPr>
                  <w:tcW w:w="2457" w:type="dxa"/>
                  <w:noWrap w:val="0"/>
                  <w:vAlign w:val="center"/>
                </w:tcPr>
                <w:p w14:paraId="71798ADF">
                  <w:pPr>
                    <w:jc w:val="center"/>
                    <w:rPr>
                      <w:rFonts w:hint="eastAsia"/>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总氮</w:t>
                  </w:r>
                  <w:r>
                    <w:rPr>
                      <w:color w:val="000000" w:themeColor="text1"/>
                      <w:szCs w:val="21"/>
                      <w:highlight w:val="none"/>
                      <w14:textFill>
                        <w14:solidFill>
                          <w14:schemeClr w14:val="tx1"/>
                        </w14:solidFill>
                      </w14:textFill>
                    </w:rPr>
                    <w:t>（mg/L）</w:t>
                  </w:r>
                </w:p>
              </w:tc>
              <w:tc>
                <w:tcPr>
                  <w:tcW w:w="1049" w:type="dxa"/>
                  <w:noWrap w:val="0"/>
                  <w:vAlign w:val="center"/>
                </w:tcPr>
                <w:p w14:paraId="0084C4B8">
                  <w:pPr>
                    <w:jc w:val="center"/>
                    <w:rPr>
                      <w:rFonts w:hint="default" w:cs="Times New Roman"/>
                      <w:color w:val="000000" w:themeColor="text1"/>
                      <w:kern w:val="2"/>
                      <w:sz w:val="21"/>
                      <w:szCs w:val="21"/>
                      <w:lang w:val="en-US" w:eastAsia="zh-CN" w:bidi="ar-SA"/>
                      <w14:textFill>
                        <w14:solidFill>
                          <w14:schemeClr w14:val="tx1"/>
                        </w14:solidFill>
                      </w14:textFill>
                    </w:rPr>
                  </w:pPr>
                  <w:r>
                    <w:rPr>
                      <w:rFonts w:hint="eastAsia" w:cs="Times New Roman"/>
                      <w:color w:val="000000" w:themeColor="text1"/>
                      <w:kern w:val="2"/>
                      <w:sz w:val="21"/>
                      <w:szCs w:val="21"/>
                      <w:lang w:val="en-US" w:eastAsia="zh-CN" w:bidi="ar-SA"/>
                      <w14:textFill>
                        <w14:solidFill>
                          <w14:schemeClr w14:val="tx1"/>
                        </w14:solidFill>
                      </w14:textFill>
                    </w:rPr>
                    <w:t>20.3</w:t>
                  </w:r>
                </w:p>
              </w:tc>
              <w:tc>
                <w:tcPr>
                  <w:tcW w:w="1042" w:type="dxa"/>
                  <w:noWrap w:val="0"/>
                  <w:vAlign w:val="center"/>
                </w:tcPr>
                <w:p w14:paraId="162E20C5">
                  <w:pPr>
                    <w:jc w:val="center"/>
                    <w:rPr>
                      <w:rFonts w:hint="default" w:cs="Times New Roman"/>
                      <w:color w:val="000000" w:themeColor="text1"/>
                      <w:kern w:val="2"/>
                      <w:sz w:val="21"/>
                      <w:szCs w:val="21"/>
                      <w:lang w:val="en-US" w:eastAsia="zh-CN" w:bidi="ar-SA"/>
                      <w14:textFill>
                        <w14:solidFill>
                          <w14:schemeClr w14:val="tx1"/>
                        </w14:solidFill>
                      </w14:textFill>
                    </w:rPr>
                  </w:pPr>
                  <w:r>
                    <w:rPr>
                      <w:rFonts w:hint="eastAsia" w:cs="Times New Roman"/>
                      <w:color w:val="000000" w:themeColor="text1"/>
                      <w:kern w:val="2"/>
                      <w:sz w:val="21"/>
                      <w:szCs w:val="21"/>
                      <w:lang w:val="en-US" w:eastAsia="zh-CN" w:bidi="ar-SA"/>
                      <w14:textFill>
                        <w14:solidFill>
                          <w14:schemeClr w14:val="tx1"/>
                        </w14:solidFill>
                      </w14:textFill>
                    </w:rPr>
                    <w:t>20.3</w:t>
                  </w:r>
                </w:p>
              </w:tc>
              <w:tc>
                <w:tcPr>
                  <w:tcW w:w="1208" w:type="dxa"/>
                  <w:noWrap w:val="0"/>
                  <w:vAlign w:val="center"/>
                </w:tcPr>
                <w:p w14:paraId="5298B3A6">
                  <w:pPr>
                    <w:jc w:val="center"/>
                    <w:rPr>
                      <w:rFonts w:hint="default" w:cs="Times New Roman"/>
                      <w:color w:val="000000" w:themeColor="text1"/>
                      <w:kern w:val="2"/>
                      <w:sz w:val="21"/>
                      <w:szCs w:val="21"/>
                      <w:lang w:val="en-US" w:eastAsia="zh-CN" w:bidi="ar-SA"/>
                      <w14:textFill>
                        <w14:solidFill>
                          <w14:schemeClr w14:val="tx1"/>
                        </w14:solidFill>
                      </w14:textFill>
                    </w:rPr>
                  </w:pPr>
                  <w:r>
                    <w:rPr>
                      <w:rFonts w:hint="eastAsia" w:cs="Times New Roman"/>
                      <w:color w:val="000000" w:themeColor="text1"/>
                      <w:kern w:val="2"/>
                      <w:sz w:val="21"/>
                      <w:szCs w:val="21"/>
                      <w:lang w:val="en-US" w:eastAsia="zh-CN" w:bidi="ar-SA"/>
                      <w14:textFill>
                        <w14:solidFill>
                          <w14:schemeClr w14:val="tx1"/>
                        </w14:solidFill>
                      </w14:textFill>
                    </w:rPr>
                    <w:t>20.2</w:t>
                  </w:r>
                </w:p>
              </w:tc>
              <w:tc>
                <w:tcPr>
                  <w:tcW w:w="1020" w:type="dxa"/>
                  <w:noWrap w:val="0"/>
                  <w:vAlign w:val="center"/>
                </w:tcPr>
                <w:p w14:paraId="7A2718FB">
                  <w:pPr>
                    <w:jc w:val="center"/>
                    <w:rPr>
                      <w:rFonts w:hint="default" w:cs="Times New Roman"/>
                      <w:color w:val="000000" w:themeColor="text1"/>
                      <w:kern w:val="2"/>
                      <w:sz w:val="21"/>
                      <w:szCs w:val="21"/>
                      <w:lang w:val="en-US" w:eastAsia="zh-CN" w:bidi="ar-SA"/>
                      <w14:textFill>
                        <w14:solidFill>
                          <w14:schemeClr w14:val="tx1"/>
                        </w14:solidFill>
                      </w14:textFill>
                    </w:rPr>
                  </w:pPr>
                  <w:r>
                    <w:rPr>
                      <w:rFonts w:hint="eastAsia" w:cs="Times New Roman"/>
                      <w:color w:val="000000" w:themeColor="text1"/>
                      <w:kern w:val="2"/>
                      <w:sz w:val="21"/>
                      <w:szCs w:val="21"/>
                      <w:lang w:val="en-US" w:eastAsia="zh-CN" w:bidi="ar-SA"/>
                      <w14:textFill>
                        <w14:solidFill>
                          <w14:schemeClr w14:val="tx1"/>
                        </w14:solidFill>
                      </w14:textFill>
                    </w:rPr>
                    <w:t>20.4</w:t>
                  </w:r>
                </w:p>
              </w:tc>
              <w:tc>
                <w:tcPr>
                  <w:tcW w:w="1242" w:type="dxa"/>
                  <w:gridSpan w:val="2"/>
                  <w:noWrap w:val="0"/>
                  <w:vAlign w:val="center"/>
                </w:tcPr>
                <w:p w14:paraId="6CF7A614">
                  <w:pPr>
                    <w:jc w:val="center"/>
                    <w:rPr>
                      <w:rFonts w:hint="default"/>
                      <w:color w:val="C00000"/>
                      <w:szCs w:val="21"/>
                      <w:lang w:val="en-US" w:eastAsia="zh-CN"/>
                    </w:rPr>
                  </w:pPr>
                  <w:r>
                    <w:rPr>
                      <w:rFonts w:hint="eastAsia"/>
                      <w:color w:val="000000" w:themeColor="text1"/>
                      <w:szCs w:val="21"/>
                      <w:lang w:val="en-US" w:eastAsia="zh-CN"/>
                      <w14:textFill>
                        <w14:solidFill>
                          <w14:schemeClr w14:val="tx1"/>
                        </w14:solidFill>
                      </w14:textFill>
                    </w:rPr>
                    <w:t>20.4</w:t>
                  </w:r>
                </w:p>
              </w:tc>
              <w:tc>
                <w:tcPr>
                  <w:tcW w:w="1681" w:type="dxa"/>
                  <w:shd w:val="clear" w:color="auto" w:fill="auto"/>
                  <w:noWrap w:val="0"/>
                  <w:vAlign w:val="center"/>
                </w:tcPr>
                <w:p w14:paraId="03588AEC">
                  <w:pPr>
                    <w:jc w:val="left"/>
                    <w:rPr>
                      <w:rFonts w:hint="eastAsia" w:asciiTheme="minorHAnsi" w:hAnsiTheme="minorHAnsi" w:eastAsiaTheme="minorEastAsia" w:cstheme="minorBidi"/>
                      <w:color w:val="000000" w:themeColor="text1"/>
                      <w:kern w:val="2"/>
                      <w:sz w:val="21"/>
                      <w:szCs w:val="21"/>
                      <w:lang w:val="en-US" w:eastAsia="zh-CN" w:bidi="ar-SA"/>
                      <w14:textFill>
                        <w14:solidFill>
                          <w14:schemeClr w14:val="tx1"/>
                        </w14:solidFill>
                      </w14:textFill>
                    </w:rPr>
                  </w:pPr>
                  <w:r>
                    <w:rPr>
                      <w:rFonts w:hint="eastAsia"/>
                      <w:color w:val="000000" w:themeColor="text1"/>
                      <w:szCs w:val="21"/>
                      <w:lang w:val="en-US" w:eastAsia="zh-CN"/>
                      <w14:textFill>
                        <w14:solidFill>
                          <w14:schemeClr w14:val="tx1"/>
                        </w14:solidFill>
                      </w14:textFill>
                    </w:rPr>
                    <w:t>15</w:t>
                  </w:r>
                </w:p>
              </w:tc>
            </w:tr>
            <w:tr w14:paraId="59488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exact"/>
              </w:trPr>
              <w:tc>
                <w:tcPr>
                  <w:tcW w:w="2457" w:type="dxa"/>
                  <w:noWrap w:val="0"/>
                  <w:vAlign w:val="center"/>
                </w:tcPr>
                <w:p w14:paraId="0647FA6F">
                  <w:pPr>
                    <w:jc w:val="center"/>
                    <w:rPr>
                      <w:rFonts w:hint="eastAsia"/>
                      <w:color w:val="000000" w:themeColor="text1"/>
                      <w:szCs w:val="21"/>
                      <w:highlight w:val="none"/>
                      <w:lang w:eastAsia="zh-CN"/>
                      <w14:textFill>
                        <w14:solidFill>
                          <w14:schemeClr w14:val="tx1"/>
                        </w14:solidFill>
                      </w14:textFill>
                    </w:rPr>
                  </w:pPr>
                  <w:r>
                    <w:rPr>
                      <w:rFonts w:hint="eastAsia" w:ascii="Times New Roman" w:hAnsi="Times New Roman" w:eastAsia="宋体" w:cs="Times New Roman"/>
                      <w:color w:val="auto"/>
                      <w:szCs w:val="21"/>
                      <w:shd w:val="clear"/>
                      <w:lang w:val="en-US" w:eastAsia="zh-CN"/>
                    </w:rPr>
                    <w:t>阴离子表面活性剂</w:t>
                  </w:r>
                  <w:r>
                    <w:rPr>
                      <w:rFonts w:hint="eastAsia" w:ascii="Times New Roman" w:hAnsi="Times New Roman" w:eastAsia="宋体" w:cs="Times New Roman"/>
                      <w:color w:val="auto"/>
                      <w:szCs w:val="21"/>
                      <w:shd w:val="clear"/>
                      <w:lang w:eastAsia="zh-CN"/>
                    </w:rPr>
                    <w:t>（mg/L）</w:t>
                  </w:r>
                </w:p>
              </w:tc>
              <w:tc>
                <w:tcPr>
                  <w:tcW w:w="1049" w:type="dxa"/>
                  <w:noWrap w:val="0"/>
                  <w:vAlign w:val="center"/>
                </w:tcPr>
                <w:p w14:paraId="386919E3">
                  <w:pPr>
                    <w:jc w:val="center"/>
                    <w:rPr>
                      <w:rFonts w:hint="eastAsia" w:cs="Times New Roman"/>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auto"/>
                      <w:kern w:val="2"/>
                      <w:sz w:val="21"/>
                      <w:szCs w:val="21"/>
                      <w:lang w:val="en-US" w:eastAsia="zh-CN" w:bidi="ar-SA"/>
                    </w:rPr>
                    <w:t>&lt;</w:t>
                  </w:r>
                  <w:r>
                    <w:rPr>
                      <w:rFonts w:hint="eastAsia" w:cs="Times New Roman"/>
                      <w:b w:val="0"/>
                      <w:bCs w:val="0"/>
                      <w:color w:val="auto"/>
                      <w:kern w:val="2"/>
                      <w:sz w:val="21"/>
                      <w:szCs w:val="21"/>
                      <w:lang w:val="en-US" w:eastAsia="zh-CN" w:bidi="ar-SA"/>
                    </w:rPr>
                    <w:t xml:space="preserve"> 0.05</w:t>
                  </w:r>
                </w:p>
              </w:tc>
              <w:tc>
                <w:tcPr>
                  <w:tcW w:w="1042" w:type="dxa"/>
                  <w:noWrap w:val="0"/>
                  <w:vAlign w:val="center"/>
                </w:tcPr>
                <w:p w14:paraId="3D038D7E">
                  <w:pPr>
                    <w:jc w:val="center"/>
                    <w:rPr>
                      <w:rFonts w:hint="eastAsia" w:cs="Times New Roman"/>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auto"/>
                      <w:kern w:val="2"/>
                      <w:sz w:val="21"/>
                      <w:szCs w:val="21"/>
                      <w:lang w:val="en-US" w:eastAsia="zh-CN" w:bidi="ar-SA"/>
                    </w:rPr>
                    <w:t>&lt;</w:t>
                  </w:r>
                  <w:r>
                    <w:rPr>
                      <w:rFonts w:hint="eastAsia" w:cs="Times New Roman"/>
                      <w:b w:val="0"/>
                      <w:bCs w:val="0"/>
                      <w:color w:val="auto"/>
                      <w:kern w:val="2"/>
                      <w:sz w:val="21"/>
                      <w:szCs w:val="21"/>
                      <w:lang w:val="en-US" w:eastAsia="zh-CN" w:bidi="ar-SA"/>
                    </w:rPr>
                    <w:t xml:space="preserve"> 0.05</w:t>
                  </w:r>
                </w:p>
              </w:tc>
              <w:tc>
                <w:tcPr>
                  <w:tcW w:w="1208" w:type="dxa"/>
                  <w:noWrap w:val="0"/>
                  <w:vAlign w:val="center"/>
                </w:tcPr>
                <w:p w14:paraId="139A47B6">
                  <w:pPr>
                    <w:jc w:val="center"/>
                    <w:rPr>
                      <w:rFonts w:hint="eastAsia" w:cs="Times New Roman"/>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auto"/>
                      <w:kern w:val="2"/>
                      <w:sz w:val="21"/>
                      <w:szCs w:val="21"/>
                      <w:lang w:val="en-US" w:eastAsia="zh-CN" w:bidi="ar-SA"/>
                    </w:rPr>
                    <w:t>&lt;</w:t>
                  </w:r>
                  <w:r>
                    <w:rPr>
                      <w:rFonts w:hint="eastAsia" w:cs="Times New Roman"/>
                      <w:b w:val="0"/>
                      <w:bCs w:val="0"/>
                      <w:color w:val="auto"/>
                      <w:kern w:val="2"/>
                      <w:sz w:val="21"/>
                      <w:szCs w:val="21"/>
                      <w:lang w:val="en-US" w:eastAsia="zh-CN" w:bidi="ar-SA"/>
                    </w:rPr>
                    <w:t xml:space="preserve"> 0.05</w:t>
                  </w:r>
                </w:p>
              </w:tc>
              <w:tc>
                <w:tcPr>
                  <w:tcW w:w="1020" w:type="dxa"/>
                  <w:noWrap w:val="0"/>
                  <w:vAlign w:val="center"/>
                </w:tcPr>
                <w:p w14:paraId="051FA34C">
                  <w:pPr>
                    <w:jc w:val="center"/>
                    <w:rPr>
                      <w:rFonts w:hint="eastAsia" w:cs="Times New Roman"/>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auto"/>
                      <w:kern w:val="2"/>
                      <w:sz w:val="21"/>
                      <w:szCs w:val="21"/>
                      <w:lang w:val="en-US" w:eastAsia="zh-CN" w:bidi="ar-SA"/>
                    </w:rPr>
                    <w:t>&lt;</w:t>
                  </w:r>
                  <w:r>
                    <w:rPr>
                      <w:rFonts w:hint="eastAsia" w:cs="Times New Roman"/>
                      <w:b w:val="0"/>
                      <w:bCs w:val="0"/>
                      <w:color w:val="auto"/>
                      <w:kern w:val="2"/>
                      <w:sz w:val="21"/>
                      <w:szCs w:val="21"/>
                      <w:lang w:val="en-US" w:eastAsia="zh-CN" w:bidi="ar-SA"/>
                    </w:rPr>
                    <w:t xml:space="preserve"> 0.05</w:t>
                  </w:r>
                </w:p>
              </w:tc>
              <w:tc>
                <w:tcPr>
                  <w:tcW w:w="1242" w:type="dxa"/>
                  <w:gridSpan w:val="2"/>
                  <w:noWrap w:val="0"/>
                  <w:vAlign w:val="center"/>
                </w:tcPr>
                <w:p w14:paraId="3578568B">
                  <w:pPr>
                    <w:jc w:val="center"/>
                    <w:rPr>
                      <w:rFonts w:hint="default"/>
                      <w:szCs w:val="21"/>
                      <w:lang w:val="en-US" w:eastAsia="zh-CN"/>
                    </w:rPr>
                  </w:pPr>
                  <w:r>
                    <w:rPr>
                      <w:rFonts w:hint="eastAsia"/>
                      <w:szCs w:val="21"/>
                      <w:lang w:val="en-US" w:eastAsia="zh-CN"/>
                    </w:rPr>
                    <w:t>/</w:t>
                  </w:r>
                </w:p>
              </w:tc>
              <w:tc>
                <w:tcPr>
                  <w:tcW w:w="1681" w:type="dxa"/>
                  <w:shd w:val="clear" w:color="auto" w:fill="auto"/>
                  <w:noWrap w:val="0"/>
                  <w:vAlign w:val="center"/>
                </w:tcPr>
                <w:p w14:paraId="7E937CB6">
                  <w:pPr>
                    <w:jc w:val="left"/>
                    <w:rPr>
                      <w:rFonts w:hint="eastAsia" w:asciiTheme="minorHAnsi" w:hAnsiTheme="minorHAnsi" w:eastAsiaTheme="minorEastAsia" w:cstheme="minorBidi"/>
                      <w:color w:val="000000" w:themeColor="text1"/>
                      <w:kern w:val="2"/>
                      <w:sz w:val="21"/>
                      <w:szCs w:val="21"/>
                      <w:lang w:val="en-US" w:eastAsia="zh-CN" w:bidi="ar-SA"/>
                      <w14:textFill>
                        <w14:solidFill>
                          <w14:schemeClr w14:val="tx1"/>
                        </w14:solidFill>
                      </w14:textFill>
                    </w:rPr>
                  </w:pPr>
                  <w:r>
                    <w:rPr>
                      <w:rFonts w:hint="eastAsia"/>
                      <w:color w:val="000000" w:themeColor="text1"/>
                      <w:szCs w:val="21"/>
                      <w:lang w:val="en-US" w:eastAsia="zh-CN"/>
                      <w14:textFill>
                        <w14:solidFill>
                          <w14:schemeClr w14:val="tx1"/>
                        </w14:solidFill>
                      </w14:textFill>
                    </w:rPr>
                    <w:t>/</w:t>
                  </w:r>
                </w:p>
              </w:tc>
            </w:tr>
            <w:tr w14:paraId="1304A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exact"/>
              </w:trPr>
              <w:tc>
                <w:tcPr>
                  <w:tcW w:w="2457" w:type="dxa"/>
                  <w:noWrap w:val="0"/>
                  <w:vAlign w:val="center"/>
                </w:tcPr>
                <w:p w14:paraId="29898F44">
                  <w:pPr>
                    <w:jc w:val="center"/>
                    <w:rPr>
                      <w:rFonts w:hint="default" w:ascii="Times New Roman" w:hAnsi="Times New Roman" w:eastAsia="宋体" w:cs="Times New Roman"/>
                      <w:b/>
                      <w:bCs/>
                      <w:color w:val="auto"/>
                      <w:szCs w:val="21"/>
                      <w:shd w:val="clear"/>
                      <w:lang w:val="en-US" w:eastAsia="zh-CN"/>
                    </w:rPr>
                  </w:pPr>
                  <w:r>
                    <w:rPr>
                      <w:rFonts w:hint="eastAsia" w:ascii="Times New Roman" w:hAnsi="Times New Roman" w:eastAsia="宋体" w:cs="Times New Roman"/>
                      <w:b/>
                      <w:bCs/>
                      <w:color w:val="auto"/>
                      <w:szCs w:val="21"/>
                      <w:shd w:val="clear"/>
                      <w:lang w:val="en-US" w:eastAsia="zh-CN"/>
                    </w:rPr>
                    <w:t>结论</w:t>
                  </w:r>
                </w:p>
              </w:tc>
              <w:tc>
                <w:tcPr>
                  <w:tcW w:w="7242" w:type="dxa"/>
                  <w:gridSpan w:val="7"/>
                  <w:noWrap w:val="0"/>
                  <w:vAlign w:val="center"/>
                </w:tcPr>
                <w:p w14:paraId="526EDF2E">
                  <w:pPr>
                    <w:jc w:val="center"/>
                    <w:rPr>
                      <w:rFonts w:hint="default"/>
                      <w:b/>
                      <w:bCs/>
                      <w:szCs w:val="21"/>
                      <w:lang w:val="en-US" w:eastAsia="zh-CN"/>
                    </w:rPr>
                  </w:pPr>
                  <w:r>
                    <w:rPr>
                      <w:rFonts w:hint="eastAsia" w:ascii="宋体" w:hAnsi="宋体" w:eastAsia="宋体" w:cs="宋体"/>
                      <w:b/>
                      <w:bCs/>
                      <w:color w:val="auto"/>
                      <w:kern w:val="2"/>
                      <w:sz w:val="21"/>
                      <w:szCs w:val="21"/>
                      <w:lang w:val="en-US" w:eastAsia="zh-CN" w:bidi="ar-SA"/>
                    </w:rPr>
                    <w:t>达标</w:t>
                  </w:r>
                </w:p>
              </w:tc>
            </w:tr>
          </w:tbl>
          <w:p w14:paraId="725C1D73">
            <w:pPr>
              <w:rPr>
                <w:rFonts w:hint="default"/>
                <w:lang w:val="en-US" w:eastAsia="zh-CN"/>
              </w:rPr>
            </w:pPr>
          </w:p>
          <w:p w14:paraId="1481C6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rPr>
            </w:pPr>
            <w:r>
              <w:rPr>
                <w:rFonts w:hint="eastAsia" w:ascii="宋体" w:hAnsi="宋体" w:eastAsia="宋体" w:cs="宋体"/>
                <w:sz w:val="24"/>
                <w:szCs w:val="24"/>
                <w:lang w:val="en-US" w:eastAsia="zh-CN"/>
              </w:rPr>
              <w:t>验收监测期间：本项目PH、五日生化需氧量、化学需氧量、氨氮、悬浮物、粪大肠菌群、动植物油、总磷、总氮、阴离子表面活性剂均满足《 肉类加工工业水污染物排放标准》（GB 13457-92）中表3畜类屠宰加工一级标准限值。</w:t>
            </w:r>
          </w:p>
          <w:p w14:paraId="6E032878">
            <w:pPr>
              <w:pStyle w:val="11"/>
              <w:spacing w:after="0"/>
              <w:ind w:right="0" w:rightChars="0"/>
              <w:jc w:val="left"/>
              <w:rPr>
                <w:rStyle w:val="18"/>
                <w:rFonts w:hint="default" w:ascii="Times New Roman" w:hAnsi="Times New Roman" w:cs="Times New Roman"/>
                <w:color w:val="auto"/>
                <w:sz w:val="28"/>
                <w:szCs w:val="28"/>
                <w:highlight w:val="none"/>
                <w:vertAlign w:val="baseline"/>
                <w:lang w:val="en-US" w:eastAsia="zh-CN"/>
              </w:rPr>
            </w:pPr>
          </w:p>
          <w:p w14:paraId="5CC4A160">
            <w:pPr>
              <w:pStyle w:val="11"/>
              <w:spacing w:after="0"/>
              <w:ind w:right="0" w:rightChars="0"/>
              <w:jc w:val="left"/>
              <w:rPr>
                <w:rStyle w:val="18"/>
                <w:rFonts w:hint="default" w:ascii="Times New Roman" w:hAnsi="Times New Roman" w:cs="Times New Roman"/>
                <w:color w:val="auto"/>
                <w:sz w:val="28"/>
                <w:szCs w:val="28"/>
                <w:highlight w:val="none"/>
                <w:vertAlign w:val="baseline"/>
                <w:lang w:val="en-US" w:eastAsia="zh-CN"/>
              </w:rPr>
            </w:pPr>
          </w:p>
          <w:p w14:paraId="68298E2E">
            <w:pPr>
              <w:pStyle w:val="11"/>
              <w:spacing w:after="0"/>
              <w:ind w:right="0" w:rightChars="0"/>
              <w:jc w:val="left"/>
              <w:rPr>
                <w:rStyle w:val="18"/>
                <w:rFonts w:hint="default" w:ascii="Times New Roman" w:hAnsi="Times New Roman" w:cs="Times New Roman"/>
                <w:color w:val="auto"/>
                <w:sz w:val="28"/>
                <w:szCs w:val="28"/>
                <w:highlight w:val="none"/>
                <w:vertAlign w:val="baseline"/>
                <w:lang w:val="en-US" w:eastAsia="zh-CN"/>
              </w:rPr>
            </w:pPr>
          </w:p>
          <w:p w14:paraId="67D6210C">
            <w:pPr>
              <w:pStyle w:val="11"/>
              <w:spacing w:after="0"/>
              <w:ind w:right="0" w:rightChars="0"/>
              <w:jc w:val="left"/>
              <w:rPr>
                <w:rStyle w:val="18"/>
                <w:rFonts w:hint="default" w:ascii="Times New Roman" w:hAnsi="Times New Roman" w:cs="Times New Roman"/>
                <w:color w:val="auto"/>
                <w:sz w:val="28"/>
                <w:szCs w:val="28"/>
                <w:highlight w:val="none"/>
                <w:vertAlign w:val="baseline"/>
                <w:lang w:val="en-US" w:eastAsia="zh-CN"/>
              </w:rPr>
            </w:pPr>
          </w:p>
          <w:p w14:paraId="183F6C9A">
            <w:pPr>
              <w:pStyle w:val="11"/>
              <w:spacing w:after="0"/>
              <w:ind w:right="0" w:rightChars="0"/>
              <w:jc w:val="left"/>
              <w:rPr>
                <w:rStyle w:val="18"/>
                <w:rFonts w:hint="default" w:ascii="Times New Roman" w:hAnsi="Times New Roman" w:cs="Times New Roman"/>
                <w:color w:val="auto"/>
                <w:sz w:val="28"/>
                <w:szCs w:val="28"/>
                <w:highlight w:val="none"/>
                <w:vertAlign w:val="baseline"/>
                <w:lang w:val="en-US" w:eastAsia="zh-CN"/>
              </w:rPr>
            </w:pPr>
          </w:p>
          <w:p w14:paraId="33130BB9">
            <w:pPr>
              <w:pStyle w:val="11"/>
              <w:spacing w:after="0"/>
              <w:ind w:right="0" w:rightChars="0"/>
              <w:jc w:val="left"/>
              <w:rPr>
                <w:rStyle w:val="18"/>
                <w:rFonts w:hint="default" w:ascii="Times New Roman" w:hAnsi="Times New Roman" w:cs="Times New Roman"/>
                <w:color w:val="auto"/>
                <w:sz w:val="28"/>
                <w:szCs w:val="28"/>
                <w:highlight w:val="none"/>
                <w:vertAlign w:val="baseline"/>
                <w:lang w:val="en-US" w:eastAsia="zh-CN"/>
              </w:rPr>
            </w:pPr>
          </w:p>
          <w:p w14:paraId="1C93AE0C">
            <w:pPr>
              <w:pStyle w:val="11"/>
              <w:spacing w:after="0"/>
              <w:ind w:right="0" w:rightChars="0"/>
              <w:jc w:val="left"/>
              <w:rPr>
                <w:rStyle w:val="18"/>
                <w:rFonts w:hint="default" w:ascii="Times New Roman" w:hAnsi="Times New Roman" w:cs="Times New Roman"/>
                <w:color w:val="auto"/>
                <w:sz w:val="28"/>
                <w:szCs w:val="28"/>
                <w:highlight w:val="none"/>
                <w:vertAlign w:val="baseline"/>
                <w:lang w:val="en-US" w:eastAsia="zh-CN"/>
              </w:rPr>
            </w:pPr>
          </w:p>
          <w:p w14:paraId="1D5058E4">
            <w:pPr>
              <w:pStyle w:val="11"/>
              <w:spacing w:after="0"/>
              <w:ind w:right="0" w:rightChars="0"/>
              <w:jc w:val="left"/>
              <w:rPr>
                <w:rStyle w:val="18"/>
                <w:rFonts w:hint="default" w:ascii="Times New Roman" w:hAnsi="Times New Roman" w:cs="Times New Roman"/>
                <w:color w:val="auto"/>
                <w:sz w:val="28"/>
                <w:szCs w:val="28"/>
                <w:highlight w:val="none"/>
                <w:vertAlign w:val="baseline"/>
                <w:lang w:val="en-US" w:eastAsia="zh-CN"/>
              </w:rPr>
            </w:pPr>
          </w:p>
          <w:p w14:paraId="29278D4F">
            <w:pPr>
              <w:pStyle w:val="11"/>
              <w:spacing w:after="0"/>
              <w:ind w:right="0" w:rightChars="0"/>
              <w:jc w:val="left"/>
              <w:rPr>
                <w:rStyle w:val="18"/>
                <w:rFonts w:hint="default" w:ascii="Times New Roman" w:hAnsi="Times New Roman" w:cs="Times New Roman"/>
                <w:color w:val="auto"/>
                <w:sz w:val="28"/>
                <w:szCs w:val="28"/>
                <w:highlight w:val="none"/>
                <w:vertAlign w:val="baseline"/>
                <w:lang w:val="en-US" w:eastAsia="zh-CN"/>
              </w:rPr>
            </w:pPr>
          </w:p>
          <w:p w14:paraId="1F2E75DF">
            <w:pPr>
              <w:pStyle w:val="11"/>
              <w:spacing w:after="0"/>
              <w:ind w:right="0" w:rightChars="0"/>
              <w:jc w:val="left"/>
              <w:rPr>
                <w:rStyle w:val="18"/>
                <w:rFonts w:hint="default" w:ascii="Times New Roman" w:hAnsi="Times New Roman" w:cs="Times New Roman"/>
                <w:color w:val="auto"/>
                <w:sz w:val="28"/>
                <w:szCs w:val="28"/>
                <w:highlight w:val="none"/>
                <w:vertAlign w:val="baseline"/>
                <w:lang w:val="en-US" w:eastAsia="zh-CN"/>
              </w:rPr>
            </w:pPr>
          </w:p>
          <w:p w14:paraId="58979C85">
            <w:pPr>
              <w:pStyle w:val="11"/>
              <w:spacing w:after="0"/>
              <w:ind w:right="0" w:rightChars="0"/>
              <w:jc w:val="left"/>
              <w:rPr>
                <w:rStyle w:val="18"/>
                <w:rFonts w:hint="default" w:ascii="Times New Roman" w:hAnsi="Times New Roman" w:cs="Times New Roman"/>
                <w:color w:val="auto"/>
                <w:sz w:val="28"/>
                <w:szCs w:val="28"/>
                <w:highlight w:val="none"/>
                <w:vertAlign w:val="baseline"/>
                <w:lang w:val="en-US" w:eastAsia="zh-CN"/>
              </w:rPr>
            </w:pPr>
          </w:p>
          <w:p w14:paraId="0C0ECF44">
            <w:pPr>
              <w:pStyle w:val="11"/>
              <w:spacing w:after="0"/>
              <w:ind w:left="0" w:leftChars="0" w:right="0" w:rightChars="0" w:firstLine="0" w:firstLineChars="0"/>
              <w:jc w:val="left"/>
              <w:rPr>
                <w:rStyle w:val="18"/>
                <w:rFonts w:hint="default" w:ascii="Times New Roman" w:hAnsi="Times New Roman" w:cs="Times New Roman"/>
                <w:color w:val="auto"/>
                <w:sz w:val="28"/>
                <w:szCs w:val="28"/>
                <w:highlight w:val="none"/>
                <w:vertAlign w:val="baseline"/>
                <w:lang w:val="en-US" w:eastAsia="zh-CN"/>
              </w:rPr>
            </w:pPr>
          </w:p>
        </w:tc>
      </w:tr>
    </w:tbl>
    <w:p w14:paraId="2E6E2392">
      <w:pPr>
        <w:pStyle w:val="11"/>
        <w:spacing w:after="0"/>
        <w:ind w:left="0" w:leftChars="0" w:right="0" w:rightChars="0" w:firstLine="0" w:firstLineChars="0"/>
        <w:jc w:val="left"/>
        <w:rPr>
          <w:rStyle w:val="18"/>
          <w:rFonts w:hint="default" w:ascii="Times New Roman" w:hAnsi="Times New Roman" w:cs="Times New Roman"/>
          <w:color w:val="auto"/>
          <w:sz w:val="28"/>
          <w:szCs w:val="28"/>
          <w:highlight w:val="none"/>
        </w:rPr>
      </w:pPr>
      <w:bookmarkStart w:id="17" w:name="_Toc26160"/>
      <w:r>
        <w:rPr>
          <w:rStyle w:val="18"/>
          <w:rFonts w:hint="default" w:ascii="Times New Roman" w:hAnsi="Times New Roman" w:cs="Times New Roman"/>
          <w:color w:val="auto"/>
          <w:sz w:val="28"/>
          <w:szCs w:val="28"/>
          <w:highlight w:val="none"/>
        </w:rPr>
        <w:t>表</w:t>
      </w:r>
      <w:r>
        <w:rPr>
          <w:rStyle w:val="18"/>
          <w:rFonts w:hint="default" w:ascii="Times New Roman" w:hAnsi="Times New Roman" w:cs="Times New Roman"/>
          <w:color w:val="auto"/>
          <w:sz w:val="28"/>
          <w:szCs w:val="28"/>
          <w:highlight w:val="none"/>
          <w:lang w:val="en-US" w:eastAsia="zh-CN"/>
        </w:rPr>
        <w:t>八</w:t>
      </w:r>
      <w:r>
        <w:rPr>
          <w:rStyle w:val="18"/>
          <w:rFonts w:hint="default" w:ascii="Times New Roman" w:hAnsi="Times New Roman" w:cs="Times New Roman"/>
          <w:color w:val="auto"/>
          <w:sz w:val="28"/>
          <w:szCs w:val="28"/>
          <w:highlight w:val="none"/>
        </w:rPr>
        <w:t xml:space="preserve">  环境管理检查</w:t>
      </w:r>
    </w:p>
    <w:bookmarkEnd w:id="17"/>
    <w:tbl>
      <w:tblPr>
        <w:tblStyle w:val="16"/>
        <w:tblW w:w="88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8"/>
      </w:tblGrid>
      <w:tr w14:paraId="5BEDF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0" w:hRule="atLeast"/>
        </w:trPr>
        <w:tc>
          <w:tcPr>
            <w:tcW w:w="8808" w:type="dxa"/>
          </w:tcPr>
          <w:p w14:paraId="5E92505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 w:val="24"/>
                <w:szCs w:val="24"/>
                <w:highlight w:val="none"/>
              </w:rPr>
            </w:pPr>
            <w:bookmarkStart w:id="18" w:name="_Toc370807588"/>
            <w:bookmarkStart w:id="19" w:name="_Toc407098325"/>
            <w:bookmarkStart w:id="20" w:name="_Toc407098024"/>
            <w:bookmarkStart w:id="21" w:name="_Toc18212"/>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.1</w:t>
            </w:r>
            <w:bookmarkEnd w:id="18"/>
            <w:bookmarkEnd w:id="19"/>
            <w:bookmarkEnd w:id="20"/>
            <w:r>
              <w:rPr>
                <w:rFonts w:hint="eastAsia" w:ascii="宋体" w:hAnsi="宋体" w:eastAsia="宋体" w:cs="宋体"/>
                <w:b/>
                <w:bCs/>
                <w:color w:val="auto"/>
                <w:sz w:val="24"/>
                <w:szCs w:val="24"/>
                <w:highlight w:val="none"/>
              </w:rPr>
              <w:t>环保审批手续及“三同时”执行情况</w:t>
            </w:r>
            <w:bookmarkEnd w:id="21"/>
          </w:p>
          <w:p w14:paraId="53A3DC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202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rPr>
              <w:t>，</w:t>
            </w:r>
            <w:r>
              <w:rPr>
                <w:rFonts w:hint="eastAsia" w:ascii="宋体" w:hAnsi="宋体" w:eastAsia="宋体" w:cs="宋体"/>
                <w:spacing w:val="2"/>
                <w:sz w:val="24"/>
                <w:szCs w:val="24"/>
              </w:rPr>
              <w:t>新疆中科同创环境科技有限公司</w:t>
            </w:r>
            <w:r>
              <w:rPr>
                <w:rFonts w:hint="eastAsia" w:ascii="宋体" w:hAnsi="宋体" w:eastAsia="宋体" w:cs="宋体"/>
                <w:color w:val="auto"/>
                <w:sz w:val="24"/>
                <w:szCs w:val="24"/>
                <w:highlight w:val="none"/>
              </w:rPr>
              <w:t>编制完成了《</w:t>
            </w:r>
            <w:r>
              <w:rPr>
                <w:rFonts w:hint="eastAsia" w:ascii="宋体" w:hAnsi="宋体" w:eastAsia="宋体" w:cs="宋体"/>
                <w:spacing w:val="2"/>
                <w:sz w:val="24"/>
                <w:szCs w:val="24"/>
              </w:rPr>
              <w:t>伽师县嘉腾养殖农民专业合作社屠宰加工点</w:t>
            </w:r>
            <w:r>
              <w:rPr>
                <w:rFonts w:hint="eastAsia" w:ascii="宋体" w:hAnsi="宋体" w:eastAsia="宋体" w:cs="宋体"/>
                <w:color w:val="auto"/>
                <w:sz w:val="24"/>
                <w:szCs w:val="24"/>
                <w:highlight w:val="none"/>
                <w:lang w:eastAsia="zh-CN"/>
              </w:rPr>
              <w:t>建设项目</w:t>
            </w:r>
            <w:r>
              <w:rPr>
                <w:rFonts w:hint="eastAsia" w:ascii="宋体" w:hAnsi="宋体" w:eastAsia="宋体" w:cs="宋体"/>
                <w:color w:val="auto"/>
                <w:sz w:val="24"/>
                <w:szCs w:val="24"/>
                <w:highlight w:val="none"/>
              </w:rPr>
              <w:t>环境影响报告表》；</w:t>
            </w:r>
          </w:p>
          <w:p w14:paraId="494EEF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2022年</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lang w:val="en-US" w:eastAsia="zh-CN"/>
              </w:rPr>
              <w:t>喀什地区生态环境局</w:t>
            </w:r>
            <w:r>
              <w:rPr>
                <w:rFonts w:hint="eastAsia" w:ascii="宋体" w:hAnsi="宋体" w:eastAsia="宋体" w:cs="宋体"/>
                <w:color w:val="auto"/>
                <w:sz w:val="24"/>
                <w:szCs w:val="24"/>
                <w:highlight w:val="none"/>
              </w:rPr>
              <w:t>以</w:t>
            </w:r>
            <w:r>
              <w:rPr>
                <w:rFonts w:hint="eastAsia" w:ascii="宋体" w:hAnsi="宋体" w:eastAsia="宋体" w:cs="宋体"/>
                <w:spacing w:val="12"/>
                <w:sz w:val="24"/>
                <w:szCs w:val="24"/>
              </w:rPr>
              <w:t>喀地环评字〔2022〕34号</w:t>
            </w:r>
            <w:r>
              <w:rPr>
                <w:rFonts w:hint="eastAsia" w:ascii="宋体" w:hAnsi="宋体" w:eastAsia="宋体" w:cs="宋体"/>
                <w:color w:val="auto"/>
                <w:sz w:val="24"/>
                <w:szCs w:val="24"/>
                <w:highlight w:val="none"/>
              </w:rPr>
              <w:t>文件对环境影响报告表予以批复</w:t>
            </w:r>
            <w:r>
              <w:rPr>
                <w:rFonts w:hint="eastAsia" w:ascii="宋体" w:hAnsi="宋体" w:eastAsia="宋体" w:cs="宋体"/>
                <w:color w:val="auto"/>
                <w:sz w:val="24"/>
                <w:szCs w:val="24"/>
                <w:highlight w:val="none"/>
                <w:lang w:val="en-US" w:eastAsia="zh-CN"/>
              </w:rPr>
              <w:t>。</w:t>
            </w:r>
          </w:p>
          <w:p w14:paraId="5F6561A8">
            <w:pPr>
              <w:keepNext w:val="0"/>
              <w:keepLines w:val="0"/>
              <w:pageBreakBefore w:val="0"/>
              <w:widowControl w:val="0"/>
              <w:kinsoku/>
              <w:wordWrap/>
              <w:overflowPunct/>
              <w:topLinePunct w:val="0"/>
              <w:autoSpaceDE/>
              <w:autoSpaceDN/>
              <w:bidi w:val="0"/>
              <w:adjustRightInd/>
              <w:snapToGrid/>
              <w:spacing w:line="360" w:lineRule="auto"/>
              <w:ind w:firstLine="488" w:firstLineChars="200"/>
              <w:textAlignment w:val="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rPr>
              <w:t>本项目</w:t>
            </w:r>
            <w:r>
              <w:rPr>
                <w:rFonts w:hint="eastAsia" w:ascii="宋体" w:hAnsi="宋体" w:eastAsia="宋体" w:cs="宋体"/>
                <w:spacing w:val="2"/>
                <w:sz w:val="24"/>
                <w:szCs w:val="24"/>
                <w:lang w:eastAsia="zh-CN"/>
              </w:rPr>
              <w:t>工程于</w:t>
            </w:r>
            <w:r>
              <w:rPr>
                <w:rFonts w:hint="eastAsia" w:ascii="宋体" w:hAnsi="宋体" w:eastAsia="宋体" w:cs="宋体"/>
                <w:spacing w:val="2"/>
                <w:sz w:val="24"/>
                <w:szCs w:val="24"/>
              </w:rPr>
              <w:t>202</w:t>
            </w:r>
            <w:r>
              <w:rPr>
                <w:rFonts w:hint="eastAsia" w:ascii="宋体" w:hAnsi="宋体" w:eastAsia="宋体" w:cs="宋体"/>
                <w:spacing w:val="2"/>
                <w:sz w:val="24"/>
                <w:szCs w:val="24"/>
                <w:lang w:val="en-US" w:eastAsia="zh-CN"/>
              </w:rPr>
              <w:t>2</w:t>
            </w:r>
            <w:r>
              <w:rPr>
                <w:rFonts w:hint="eastAsia" w:ascii="宋体" w:hAnsi="宋体" w:eastAsia="宋体" w:cs="宋体"/>
                <w:spacing w:val="2"/>
                <w:sz w:val="24"/>
                <w:szCs w:val="24"/>
              </w:rPr>
              <w:t>年</w:t>
            </w:r>
            <w:r>
              <w:rPr>
                <w:rFonts w:hint="eastAsia" w:ascii="宋体" w:hAnsi="宋体" w:eastAsia="宋体" w:cs="宋体"/>
                <w:spacing w:val="2"/>
                <w:sz w:val="24"/>
                <w:szCs w:val="24"/>
                <w:lang w:val="en-US" w:eastAsia="zh-CN"/>
              </w:rPr>
              <w:t>5</w:t>
            </w:r>
            <w:r>
              <w:rPr>
                <w:rFonts w:hint="eastAsia" w:ascii="宋体" w:hAnsi="宋体" w:eastAsia="宋体" w:cs="宋体"/>
                <w:spacing w:val="2"/>
                <w:sz w:val="24"/>
                <w:szCs w:val="24"/>
              </w:rPr>
              <w:t>月开工建设，20</w:t>
            </w:r>
            <w:r>
              <w:rPr>
                <w:rFonts w:hint="eastAsia" w:ascii="宋体" w:hAnsi="宋体" w:eastAsia="宋体" w:cs="宋体"/>
                <w:spacing w:val="2"/>
                <w:sz w:val="24"/>
                <w:szCs w:val="24"/>
                <w:lang w:val="en-US" w:eastAsia="zh-CN"/>
              </w:rPr>
              <w:t>23</w:t>
            </w:r>
            <w:r>
              <w:rPr>
                <w:rFonts w:hint="eastAsia" w:ascii="宋体" w:hAnsi="宋体" w:eastAsia="宋体" w:cs="宋体"/>
                <w:spacing w:val="2"/>
                <w:sz w:val="24"/>
                <w:szCs w:val="24"/>
              </w:rPr>
              <w:t>年</w:t>
            </w:r>
            <w:r>
              <w:rPr>
                <w:rFonts w:hint="eastAsia" w:ascii="宋体" w:hAnsi="宋体" w:eastAsia="宋体" w:cs="宋体"/>
                <w:spacing w:val="2"/>
                <w:sz w:val="24"/>
                <w:szCs w:val="24"/>
                <w:lang w:val="en-US" w:eastAsia="zh-CN"/>
              </w:rPr>
              <w:t>5</w:t>
            </w:r>
            <w:r>
              <w:rPr>
                <w:rFonts w:hint="eastAsia" w:ascii="宋体" w:hAnsi="宋体" w:eastAsia="宋体" w:cs="宋体"/>
                <w:spacing w:val="2"/>
                <w:sz w:val="24"/>
                <w:szCs w:val="24"/>
              </w:rPr>
              <w:t>月建成</w:t>
            </w:r>
            <w:r>
              <w:rPr>
                <w:rFonts w:hint="eastAsia" w:ascii="宋体" w:hAnsi="宋体" w:eastAsia="宋体" w:cs="宋体"/>
                <w:spacing w:val="2"/>
                <w:sz w:val="24"/>
                <w:szCs w:val="24"/>
                <w:lang w:eastAsia="zh-CN"/>
              </w:rPr>
              <w:t>。</w:t>
            </w:r>
          </w:p>
          <w:p w14:paraId="451F7C8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.2环境管理规章制度的建立及其执行情况</w:t>
            </w:r>
          </w:p>
          <w:p w14:paraId="50EB0D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rPr>
              <w:t>根据企业自身情况，建设单位有人员兼职负责相关环境管理工作，负责建立环保档案、制定环境保护规章制度等</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highlight w:val="none"/>
                <w:lang w:eastAsia="zh-CN"/>
              </w:rPr>
              <w:t>废气排放点设置了规范的采样口，排气筒设置了规范化的污染物排放标识牌；危废贮存库满足防风、防雨、防晒要求，地面已按要求做防渗，张贴了标识标牌，建立台账及管理制度，已制定危废管理计划。</w:t>
            </w:r>
          </w:p>
          <w:p w14:paraId="22CA4043">
            <w:pPr>
              <w:keepNext w:val="0"/>
              <w:keepLines w:val="0"/>
              <w:pageBreakBefore w:val="0"/>
              <w:widowControl w:val="0"/>
              <w:kinsoku/>
              <w:wordWrap/>
              <w:overflowPunct/>
              <w:topLinePunct w:val="0"/>
              <w:autoSpaceDE/>
              <w:autoSpaceDN/>
              <w:bidi w:val="0"/>
              <w:adjustRightInd/>
              <w:snapToGrid/>
              <w:spacing w:line="360" w:lineRule="auto"/>
              <w:ind w:firstLine="488" w:firstLineChars="200"/>
              <w:textAlignment w:val="auto"/>
              <w:rPr>
                <w:rFonts w:hint="eastAsia" w:ascii="宋体" w:hAnsi="宋体" w:eastAsia="宋体" w:cs="宋体"/>
                <w:color w:val="auto"/>
                <w:sz w:val="24"/>
                <w:szCs w:val="24"/>
                <w:lang w:eastAsia="zh-CN"/>
              </w:rPr>
            </w:pPr>
            <w:r>
              <w:rPr>
                <w:rFonts w:hint="eastAsia" w:ascii="宋体" w:hAnsi="宋体" w:eastAsia="宋体" w:cs="宋体"/>
                <w:spacing w:val="2"/>
                <w:sz w:val="24"/>
                <w:szCs w:val="24"/>
              </w:rPr>
              <w:t>伽师县嘉腾</w:t>
            </w:r>
            <w:r>
              <w:rPr>
                <w:rFonts w:hint="eastAsia" w:ascii="宋体" w:hAnsi="宋体" w:eastAsia="宋体" w:cs="宋体"/>
                <w:spacing w:val="2"/>
                <w:sz w:val="24"/>
                <w:szCs w:val="24"/>
                <w:lang w:val="en-US" w:eastAsia="zh-CN"/>
              </w:rPr>
              <w:t>农民养殖专业合作社</w:t>
            </w:r>
            <w:r>
              <w:rPr>
                <w:rFonts w:hint="eastAsia" w:ascii="宋体" w:hAnsi="宋体" w:eastAsia="宋体" w:cs="宋体"/>
                <w:color w:val="auto"/>
                <w:sz w:val="24"/>
                <w:szCs w:val="24"/>
                <w:lang w:eastAsia="zh-CN"/>
              </w:rPr>
              <w:t>于</w:t>
            </w:r>
            <w:r>
              <w:rPr>
                <w:rFonts w:hint="eastAsia" w:ascii="宋体" w:hAnsi="宋体" w:eastAsia="宋体" w:cs="宋体"/>
                <w:color w:val="auto"/>
                <w:sz w:val="24"/>
                <w:szCs w:val="24"/>
                <w:highlight w:val="none"/>
                <w:lang w:eastAsia="zh-CN"/>
              </w:rPr>
              <w:t>202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27</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rPr>
              <w:t>办理</w:t>
            </w:r>
            <w:r>
              <w:rPr>
                <w:rFonts w:hint="eastAsia" w:ascii="宋体" w:hAnsi="宋体" w:eastAsia="宋体" w:cs="宋体"/>
                <w:color w:val="auto"/>
                <w:sz w:val="24"/>
                <w:szCs w:val="24"/>
                <w:lang w:eastAsia="zh-CN"/>
              </w:rPr>
              <w:t>排污许可（简化管理，证书编号：</w:t>
            </w:r>
            <w:r>
              <w:rPr>
                <w:rFonts w:hint="eastAsia" w:ascii="宋体" w:hAnsi="宋体" w:eastAsia="宋体" w:cs="宋体"/>
                <w:spacing w:val="2"/>
                <w:sz w:val="24"/>
                <w:szCs w:val="24"/>
                <w:lang w:val="en-US" w:eastAsia="zh-CN"/>
              </w:rPr>
              <w:t>93653129MA78XWDX71001Q</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highlight w:val="none"/>
                <w:lang w:eastAsia="zh-CN"/>
              </w:rPr>
              <w:t>有效期至20</w:t>
            </w:r>
            <w:r>
              <w:rPr>
                <w:rFonts w:hint="eastAsia" w:ascii="宋体" w:hAnsi="宋体" w:eastAsia="宋体" w:cs="宋体"/>
                <w:color w:val="auto"/>
                <w:sz w:val="24"/>
                <w:szCs w:val="24"/>
                <w:highlight w:val="none"/>
                <w:lang w:val="en-US" w:eastAsia="zh-CN"/>
              </w:rPr>
              <w:t>28</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lang w:eastAsia="zh-CN"/>
              </w:rPr>
              <w:t>月2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已将本项目纳入排污许可管理</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lang w:eastAsia="zh-CN"/>
              </w:rPr>
              <w:t>建设单位定期委托检测机构开展</w:t>
            </w:r>
            <w:r>
              <w:rPr>
                <w:rFonts w:hint="eastAsia" w:ascii="宋体" w:hAnsi="宋体" w:eastAsia="宋体" w:cs="宋体"/>
                <w:color w:val="auto"/>
                <w:sz w:val="24"/>
                <w:szCs w:val="24"/>
                <w:lang w:val="en-US" w:eastAsia="zh-CN"/>
              </w:rPr>
              <w:t>自行</w:t>
            </w:r>
            <w:r>
              <w:rPr>
                <w:rFonts w:hint="eastAsia" w:ascii="宋体" w:hAnsi="宋体" w:eastAsia="宋体" w:cs="宋体"/>
                <w:color w:val="auto"/>
                <w:sz w:val="24"/>
                <w:szCs w:val="24"/>
                <w:lang w:eastAsia="zh-CN"/>
              </w:rPr>
              <w:t>监测工作，最终报当地生态环境主管部门备案。</w:t>
            </w:r>
          </w:p>
          <w:p w14:paraId="7C05D16B">
            <w:pPr>
              <w:keepNext w:val="0"/>
              <w:keepLines w:val="0"/>
              <w:pageBreakBefore w:val="0"/>
              <w:widowControl w:val="0"/>
              <w:kinsoku/>
              <w:wordWrap/>
              <w:overflowPunct/>
              <w:topLinePunct w:val="0"/>
              <w:autoSpaceDE/>
              <w:autoSpaceDN/>
              <w:bidi w:val="0"/>
              <w:adjustRightInd/>
              <w:snapToGrid/>
              <w:spacing w:line="360" w:lineRule="auto"/>
              <w:ind w:firstLine="488"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spacing w:val="2"/>
                <w:sz w:val="24"/>
                <w:szCs w:val="24"/>
              </w:rPr>
              <w:t>伽师县嘉腾</w:t>
            </w:r>
            <w:r>
              <w:rPr>
                <w:rFonts w:hint="eastAsia" w:ascii="宋体" w:hAnsi="宋体" w:eastAsia="宋体" w:cs="宋体"/>
                <w:spacing w:val="2"/>
                <w:sz w:val="24"/>
                <w:szCs w:val="24"/>
                <w:lang w:val="en-US" w:eastAsia="zh-CN"/>
              </w:rPr>
              <w:t>农民养殖专业合作社</w:t>
            </w:r>
            <w:r>
              <w:rPr>
                <w:rFonts w:hint="eastAsia" w:ascii="宋体" w:hAnsi="宋体" w:eastAsia="宋体" w:cs="宋体"/>
                <w:color w:val="auto"/>
                <w:sz w:val="24"/>
                <w:szCs w:val="24"/>
                <w:highlight w:val="none"/>
                <w:lang w:val="en-US" w:eastAsia="zh-CN"/>
              </w:rPr>
              <w:t>已编制突发环境事件应急预案，2024年8月30日，于喀什地区生态环境局伽师县分局完成备案，备案编号为：653129-2024-007-L。</w:t>
            </w:r>
          </w:p>
          <w:p w14:paraId="25EBCFE1">
            <w:pPr>
              <w:keepNext w:val="0"/>
              <w:keepLines w:val="0"/>
              <w:pageBreakBefore w:val="0"/>
              <w:widowControl w:val="0"/>
              <w:kinsoku/>
              <w:wordWrap/>
              <w:overflowPunct/>
              <w:topLinePunct w:val="0"/>
              <w:autoSpaceDE/>
              <w:autoSpaceDN/>
              <w:bidi w:val="0"/>
              <w:adjustRightInd/>
              <w:snapToGrid/>
              <w:spacing w:line="360" w:lineRule="auto"/>
              <w:ind w:firstLine="488" w:firstLineChars="200"/>
              <w:textAlignment w:val="auto"/>
              <w:rPr>
                <w:rFonts w:hint="eastAsia" w:ascii="宋体" w:hAnsi="宋体" w:eastAsia="宋体" w:cs="宋体"/>
                <w:sz w:val="24"/>
                <w:szCs w:val="24"/>
              </w:rPr>
            </w:pPr>
            <w:r>
              <w:rPr>
                <w:rFonts w:hint="eastAsia" w:ascii="宋体" w:hAnsi="宋体" w:eastAsia="宋体" w:cs="宋体"/>
                <w:spacing w:val="2"/>
                <w:sz w:val="24"/>
                <w:szCs w:val="24"/>
              </w:rPr>
              <w:t>伽师县嘉腾</w:t>
            </w:r>
            <w:r>
              <w:rPr>
                <w:rFonts w:hint="eastAsia" w:ascii="宋体" w:hAnsi="宋体" w:eastAsia="宋体" w:cs="宋体"/>
                <w:spacing w:val="2"/>
                <w:sz w:val="24"/>
                <w:szCs w:val="24"/>
                <w:lang w:val="en-US" w:eastAsia="zh-CN"/>
              </w:rPr>
              <w:t>农民养殖专业合作社</w:t>
            </w:r>
            <w:r>
              <w:rPr>
                <w:rFonts w:hint="eastAsia" w:ascii="宋体" w:hAnsi="宋体" w:eastAsia="宋体" w:cs="宋体"/>
                <w:sz w:val="24"/>
                <w:szCs w:val="24"/>
              </w:rPr>
              <w:t>按照规范要求，认真落实了本项目排污口规范化治理工作，主要包括：</w:t>
            </w:r>
          </w:p>
          <w:p w14:paraId="0F5ADA42">
            <w:pPr>
              <w:keepNext w:val="0"/>
              <w:keepLines w:val="0"/>
              <w:pageBreakBefore w:val="0"/>
              <w:widowControl w:val="0"/>
              <w:numPr>
                <w:ilvl w:val="0"/>
                <w:numId w:val="3"/>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对废气</w:t>
            </w:r>
            <w:r>
              <w:rPr>
                <w:rFonts w:hint="eastAsia" w:ascii="宋体" w:hAnsi="宋体" w:eastAsia="宋体" w:cs="宋体"/>
                <w:sz w:val="24"/>
                <w:szCs w:val="24"/>
                <w:lang w:eastAsia="zh-CN"/>
              </w:rPr>
              <w:t>排气筒</w:t>
            </w:r>
            <w:r>
              <w:rPr>
                <w:rFonts w:hint="eastAsia" w:ascii="宋体" w:hAnsi="宋体" w:eastAsia="宋体" w:cs="宋体"/>
                <w:sz w:val="24"/>
                <w:szCs w:val="24"/>
              </w:rPr>
              <w:t>设置了规范的采样口。</w:t>
            </w:r>
          </w:p>
          <w:p w14:paraId="618D1324">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各类废气、</w:t>
            </w:r>
            <w:r>
              <w:rPr>
                <w:rFonts w:hint="eastAsia" w:ascii="宋体" w:hAnsi="宋体" w:eastAsia="宋体" w:cs="宋体"/>
                <w:color w:val="auto"/>
                <w:sz w:val="24"/>
                <w:szCs w:val="24"/>
                <w:lang w:val="en-US" w:eastAsia="zh-CN"/>
              </w:rPr>
              <w:t>废水、</w:t>
            </w:r>
            <w:r>
              <w:rPr>
                <w:rFonts w:hint="eastAsia" w:ascii="宋体" w:hAnsi="宋体" w:eastAsia="宋体" w:cs="宋体"/>
                <w:color w:val="auto"/>
                <w:sz w:val="24"/>
                <w:szCs w:val="24"/>
              </w:rPr>
              <w:t>固废排放点均设置了规范化的污染物排放标识牌。</w:t>
            </w:r>
          </w:p>
          <w:p w14:paraId="6C1D4BCC">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t>8.3投诉及处罚情况</w:t>
            </w:r>
          </w:p>
          <w:p w14:paraId="328053BF">
            <w:pPr>
              <w:pStyle w:val="11"/>
              <w:numPr>
                <w:ilvl w:val="0"/>
                <w:numId w:val="0"/>
              </w:numPr>
              <w:ind w:leftChars="0" w:right="1470" w:rightChars="700" w:firstLine="560" w:firstLineChars="200"/>
              <w:rPr>
                <w:rFonts w:hint="default" w:ascii="Times New Roman" w:hAnsi="Times New Roman" w:eastAsia="宋体" w:cs="Times New Roman"/>
                <w:color w:val="auto"/>
                <w:sz w:val="28"/>
                <w:szCs w:val="28"/>
                <w:highlight w:val="none"/>
              </w:rPr>
            </w:pPr>
            <w:r>
              <w:rPr>
                <w:rFonts w:hint="default" w:ascii="Times New Roman" w:hAnsi="Times New Roman" w:cs="Times New Roman"/>
                <w:color w:val="auto"/>
                <w:sz w:val="28"/>
                <w:szCs w:val="28"/>
                <w:highlight w:val="none"/>
                <w:lang w:eastAsia="zh-CN"/>
              </w:rPr>
              <w:t>本项目</w:t>
            </w:r>
            <w:r>
              <w:rPr>
                <w:rFonts w:hint="default" w:ascii="Times New Roman" w:hAnsi="Times New Roman" w:eastAsia="宋体" w:cs="Times New Roman"/>
                <w:color w:val="auto"/>
                <w:sz w:val="28"/>
                <w:szCs w:val="28"/>
                <w:highlight w:val="none"/>
              </w:rPr>
              <w:t>建设至今无</w:t>
            </w:r>
            <w:r>
              <w:rPr>
                <w:rFonts w:hint="default" w:ascii="Times New Roman" w:hAnsi="Times New Roman" w:eastAsia="宋体" w:cs="Times New Roman"/>
                <w:color w:val="auto"/>
                <w:sz w:val="28"/>
                <w:szCs w:val="28"/>
                <w:highlight w:val="none"/>
                <w:lang w:eastAsia="zh-CN"/>
              </w:rPr>
              <w:t>环保相关投诉</w:t>
            </w:r>
            <w:r>
              <w:rPr>
                <w:rFonts w:hint="default" w:ascii="Times New Roman" w:hAnsi="Times New Roman" w:eastAsia="宋体" w:cs="Times New Roman"/>
                <w:color w:val="auto"/>
                <w:sz w:val="28"/>
                <w:szCs w:val="28"/>
                <w:highlight w:val="none"/>
                <w:lang w:val="en-US" w:eastAsia="zh-CN"/>
              </w:rPr>
              <w:t>及处罚</w:t>
            </w:r>
            <w:r>
              <w:rPr>
                <w:rFonts w:hint="default" w:ascii="Times New Roman" w:hAnsi="Times New Roman" w:eastAsia="宋体" w:cs="Times New Roman"/>
                <w:color w:val="auto"/>
                <w:sz w:val="28"/>
                <w:szCs w:val="28"/>
                <w:highlight w:val="none"/>
                <w:lang w:eastAsia="zh-CN"/>
              </w:rPr>
              <w:t>记录</w:t>
            </w:r>
            <w:r>
              <w:rPr>
                <w:rFonts w:hint="default" w:ascii="Times New Roman" w:hAnsi="Times New Roman" w:eastAsia="宋体" w:cs="Times New Roman"/>
                <w:color w:val="auto"/>
                <w:sz w:val="28"/>
                <w:szCs w:val="28"/>
                <w:highlight w:val="none"/>
              </w:rPr>
              <w:t>。</w:t>
            </w:r>
          </w:p>
          <w:p w14:paraId="37CFBF05">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b/>
                <w:bCs/>
                <w:color w:val="auto"/>
                <w:sz w:val="28"/>
                <w:szCs w:val="28"/>
                <w:highlight w:val="none"/>
              </w:rPr>
              <w:t>8.</w:t>
            </w:r>
            <w:r>
              <w:rPr>
                <w:rFonts w:hint="eastAsia" w:ascii="Times New Roman" w:hAnsi="Times New Roman" w:cs="Times New Roman"/>
                <w:b/>
                <w:bCs/>
                <w:color w:val="auto"/>
                <w:sz w:val="28"/>
                <w:szCs w:val="28"/>
                <w:highlight w:val="none"/>
                <w:lang w:val="en-US" w:eastAsia="zh-CN"/>
              </w:rPr>
              <w:t>4</w:t>
            </w:r>
            <w:r>
              <w:rPr>
                <w:rFonts w:hint="default" w:ascii="Times New Roman" w:hAnsi="Times New Roman" w:eastAsia="宋体" w:cs="Times New Roman"/>
                <w:b/>
                <w:bCs/>
                <w:color w:val="auto"/>
                <w:sz w:val="28"/>
                <w:szCs w:val="28"/>
                <w:highlight w:val="none"/>
              </w:rPr>
              <w:t>环境保护措施落实情况</w:t>
            </w:r>
          </w:p>
          <w:p w14:paraId="6F66E41D">
            <w:pPr>
              <w:spacing w:line="360" w:lineRule="auto"/>
              <w:ind w:firstLine="560" w:firstLineChars="200"/>
              <w:jc w:val="left"/>
              <w:rPr>
                <w:rFonts w:hint="default" w:ascii="Times New Roman" w:hAnsi="Times New Roman" w:cs="Times New Roman"/>
                <w:b/>
                <w:bCs/>
                <w:color w:val="auto"/>
                <w:sz w:val="24"/>
                <w:highlight w:val="none"/>
              </w:rPr>
            </w:pPr>
            <w:r>
              <w:rPr>
                <w:rFonts w:hint="default" w:ascii="Times New Roman" w:hAnsi="Times New Roman" w:eastAsia="宋体" w:cs="Times New Roman"/>
                <w:color w:val="auto"/>
                <w:sz w:val="28"/>
                <w:szCs w:val="28"/>
                <w:highlight w:val="none"/>
              </w:rPr>
              <w:t>根据</w:t>
            </w:r>
            <w:r>
              <w:rPr>
                <w:rFonts w:hint="eastAsia" w:ascii="Times New Roman" w:hAnsi="Times New Roman" w:cs="Times New Roman"/>
                <w:color w:val="auto"/>
                <w:sz w:val="28"/>
                <w:szCs w:val="28"/>
                <w:highlight w:val="none"/>
                <w:lang w:val="en-US" w:eastAsia="zh-CN"/>
              </w:rPr>
              <w:t>喀什地区生态环境局</w:t>
            </w:r>
            <w:r>
              <w:rPr>
                <w:rFonts w:hint="default" w:ascii="Times New Roman" w:hAnsi="Times New Roman" w:eastAsia="宋体" w:cs="Times New Roman"/>
                <w:color w:val="auto"/>
                <w:sz w:val="28"/>
                <w:szCs w:val="28"/>
                <w:highlight w:val="none"/>
              </w:rPr>
              <w:t>对该项目环境影响报告表的批复和环境影响报告表中提出的环境保护措施，踏勘现场对各项环境保护措施的落实情况进行了验收核查，核查内容见表8-</w:t>
            </w:r>
            <w:r>
              <w:rPr>
                <w:rFonts w:hint="default" w:ascii="Times New Roman" w:hAnsi="Times New Roman" w:cs="Times New Roman"/>
                <w:color w:val="auto"/>
                <w:sz w:val="28"/>
                <w:szCs w:val="28"/>
                <w:highlight w:val="none"/>
                <w:lang w:val="en-US" w:eastAsia="zh-CN"/>
              </w:rPr>
              <w:t>2</w:t>
            </w:r>
            <w:r>
              <w:rPr>
                <w:rFonts w:hint="default" w:ascii="Times New Roman" w:hAnsi="Times New Roman" w:eastAsia="宋体" w:cs="Times New Roman"/>
                <w:color w:val="auto"/>
                <w:sz w:val="28"/>
                <w:szCs w:val="28"/>
                <w:highlight w:val="none"/>
              </w:rPr>
              <w:t>。</w:t>
            </w:r>
          </w:p>
          <w:p w14:paraId="2F186BF8">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b/>
                <w:bCs/>
                <w:color w:val="auto"/>
                <w:sz w:val="24"/>
                <w:highlight w:val="none"/>
              </w:rPr>
            </w:pPr>
          </w:p>
          <w:p w14:paraId="74A9BB84">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color w:val="auto"/>
                <w:sz w:val="24"/>
                <w:highlight w:val="none"/>
              </w:rPr>
            </w:pPr>
            <w:r>
              <w:rPr>
                <w:rFonts w:hint="default" w:ascii="Times New Roman" w:hAnsi="Times New Roman" w:cs="Times New Roman"/>
                <w:b/>
                <w:bCs/>
                <w:color w:val="auto"/>
                <w:sz w:val="24"/>
                <w:highlight w:val="none"/>
              </w:rPr>
              <w:t>表</w:t>
            </w:r>
            <w:r>
              <w:rPr>
                <w:rFonts w:hint="default" w:ascii="Times New Roman" w:hAnsi="Times New Roman" w:cs="Times New Roman"/>
                <w:b/>
                <w:bCs/>
                <w:color w:val="auto"/>
                <w:sz w:val="24"/>
                <w:highlight w:val="none"/>
                <w:lang w:val="en-US" w:eastAsia="zh-CN"/>
              </w:rPr>
              <w:t>8</w:t>
            </w:r>
            <w:r>
              <w:rPr>
                <w:rFonts w:hint="default" w:ascii="Times New Roman" w:hAnsi="Times New Roman" w:cs="Times New Roman"/>
                <w:b/>
                <w:bCs/>
                <w:color w:val="auto"/>
                <w:sz w:val="24"/>
                <w:highlight w:val="none"/>
              </w:rPr>
              <w:t>-</w:t>
            </w:r>
            <w:r>
              <w:rPr>
                <w:rFonts w:hint="default" w:ascii="Times New Roman" w:hAnsi="Times New Roman" w:cs="Times New Roman"/>
                <w:b/>
                <w:bCs/>
                <w:color w:val="auto"/>
                <w:sz w:val="24"/>
                <w:highlight w:val="none"/>
                <w:lang w:val="en-US" w:eastAsia="zh-CN"/>
              </w:rPr>
              <w:t>2</w:t>
            </w:r>
            <w:r>
              <w:rPr>
                <w:rFonts w:hint="default" w:ascii="Times New Roman" w:hAnsi="Times New Roman" w:cs="Times New Roman"/>
                <w:b/>
                <w:bCs/>
                <w:color w:val="auto"/>
                <w:sz w:val="24"/>
                <w:highlight w:val="none"/>
              </w:rPr>
              <w:t xml:space="preserve">            </w:t>
            </w:r>
            <w:r>
              <w:rPr>
                <w:rFonts w:hint="default" w:ascii="Times New Roman" w:hAnsi="Times New Roman" w:cs="Times New Roman"/>
                <w:b/>
                <w:bCs/>
                <w:color w:val="auto"/>
                <w:sz w:val="24"/>
                <w:highlight w:val="none"/>
                <w:lang w:val="en-US" w:eastAsia="zh-CN"/>
              </w:rPr>
              <w:t xml:space="preserve">    </w:t>
            </w:r>
            <w:r>
              <w:rPr>
                <w:rFonts w:hint="default" w:ascii="Times New Roman" w:hAnsi="Times New Roman" w:cs="Times New Roman"/>
                <w:b/>
                <w:bCs/>
                <w:color w:val="auto"/>
                <w:sz w:val="24"/>
                <w:highlight w:val="none"/>
              </w:rPr>
              <w:t xml:space="preserve">    </w:t>
            </w:r>
            <w:r>
              <w:rPr>
                <w:rFonts w:hint="default" w:ascii="Times New Roman" w:hAnsi="Times New Roman" w:cs="Times New Roman"/>
                <w:b/>
                <w:bCs/>
                <w:color w:val="auto"/>
                <w:sz w:val="24"/>
                <w:highlight w:val="none"/>
                <w:lang w:eastAsia="zh-CN"/>
              </w:rPr>
              <w:t>本项目</w:t>
            </w:r>
            <w:r>
              <w:rPr>
                <w:rFonts w:hint="default" w:ascii="Times New Roman" w:hAnsi="Times New Roman" w:cs="Times New Roman"/>
                <w:b/>
                <w:bCs/>
                <w:color w:val="auto"/>
                <w:sz w:val="24"/>
                <w:highlight w:val="none"/>
              </w:rPr>
              <w:t>环保措施落实情况</w:t>
            </w:r>
          </w:p>
          <w:tbl>
            <w:tblPr>
              <w:tblStyle w:val="15"/>
              <w:tblW w:w="8804" w:type="dxa"/>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700"/>
              <w:gridCol w:w="2558"/>
              <w:gridCol w:w="2584"/>
              <w:gridCol w:w="2962"/>
            </w:tblGrid>
            <w:tr w14:paraId="6E76648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700" w:type="dxa"/>
                  <w:tcBorders>
                    <w:right w:val="single" w:color="auto" w:sz="4" w:space="0"/>
                  </w:tcBorders>
                  <w:noWrap w:val="0"/>
                  <w:vAlign w:val="center"/>
                </w:tcPr>
                <w:p w14:paraId="6B0119FF">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cs="Times New Roman"/>
                      <w:b/>
                      <w:bCs/>
                      <w:color w:val="auto"/>
                      <w:sz w:val="21"/>
                      <w:szCs w:val="21"/>
                      <w:highlight w:val="none"/>
                      <w:lang w:eastAsia="zh-CN"/>
                    </w:rPr>
                    <w:t>类别</w:t>
                  </w:r>
                </w:p>
              </w:tc>
              <w:tc>
                <w:tcPr>
                  <w:tcW w:w="2558" w:type="dxa"/>
                  <w:tcBorders>
                    <w:left w:val="single" w:color="auto" w:sz="4" w:space="0"/>
                    <w:right w:val="single" w:color="auto" w:sz="4" w:space="0"/>
                  </w:tcBorders>
                  <w:noWrap w:val="0"/>
                  <w:vAlign w:val="center"/>
                </w:tcPr>
                <w:p w14:paraId="7E8D312E">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cs="Times New Roman"/>
                      <w:b/>
                      <w:bCs/>
                      <w:color w:val="auto"/>
                      <w:sz w:val="21"/>
                      <w:szCs w:val="21"/>
                      <w:highlight w:val="none"/>
                      <w:lang w:eastAsia="zh-CN"/>
                    </w:rPr>
                    <w:t>环评要求</w:t>
                  </w:r>
                </w:p>
              </w:tc>
              <w:tc>
                <w:tcPr>
                  <w:tcW w:w="2584" w:type="dxa"/>
                  <w:tcBorders>
                    <w:left w:val="single" w:color="auto" w:sz="4" w:space="0"/>
                  </w:tcBorders>
                  <w:noWrap w:val="0"/>
                  <w:vAlign w:val="center"/>
                </w:tcPr>
                <w:p w14:paraId="435BF2E1">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cs="Times New Roman"/>
                      <w:b/>
                      <w:bCs/>
                      <w:color w:val="auto"/>
                      <w:sz w:val="21"/>
                      <w:szCs w:val="21"/>
                      <w:highlight w:val="none"/>
                    </w:rPr>
                    <w:t>批复要求</w:t>
                  </w:r>
                </w:p>
              </w:tc>
              <w:tc>
                <w:tcPr>
                  <w:tcW w:w="2962" w:type="dxa"/>
                  <w:noWrap w:val="0"/>
                  <w:vAlign w:val="center"/>
                </w:tcPr>
                <w:p w14:paraId="312C9649">
                  <w:pPr>
                    <w:keepNext w:val="0"/>
                    <w:keepLines w:val="0"/>
                    <w:pageBreakBefore w:val="0"/>
                    <w:widowControl w:val="0"/>
                    <w:kinsoku/>
                    <w:wordWrap/>
                    <w:overflowPunct/>
                    <w:topLinePunct w:val="0"/>
                    <w:autoSpaceDE/>
                    <w:autoSpaceDN/>
                    <w:bidi w:val="0"/>
                    <w:spacing w:line="320" w:lineRule="exact"/>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落实情况</w:t>
                  </w:r>
                </w:p>
              </w:tc>
            </w:tr>
            <w:tr w14:paraId="3F372AC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700" w:type="dxa"/>
                  <w:tcBorders>
                    <w:right w:val="single" w:color="auto" w:sz="4" w:space="0"/>
                  </w:tcBorders>
                  <w:noWrap w:val="0"/>
                  <w:vAlign w:val="center"/>
                </w:tcPr>
                <w:p w14:paraId="04C455C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项目概况</w:t>
                  </w:r>
                </w:p>
              </w:tc>
              <w:tc>
                <w:tcPr>
                  <w:tcW w:w="2558" w:type="dxa"/>
                  <w:tcBorders>
                    <w:left w:val="single" w:color="auto" w:sz="4" w:space="0"/>
                    <w:right w:val="single" w:color="auto" w:sz="4" w:space="0"/>
                  </w:tcBorders>
                  <w:noWrap w:val="0"/>
                  <w:vAlign w:val="center"/>
                </w:tcPr>
                <w:p w14:paraId="7866CF91">
                  <w:pPr>
                    <w:rPr>
                      <w:sz w:val="25"/>
                      <w:szCs w:val="25"/>
                    </w:rPr>
                  </w:pPr>
                  <w:r>
                    <w:t>伽师县英买里乡巴格托格拉克(4)村，中心地理坐标为：东经76°54'33.240”,北纬39°26'55.631"。项目区东侧、西侧和南侧、北侧均为荒 地，项目距离最近居民点为巴格托格拉克村，距离约1500m。项目规划范围总用地面积为11641.27m²,总建筑面积为6727m²。其中： 待宰车间面积为2000m²,屠宰车间面积为2534.28m²,分割车间面积为60m², 冷库面积为90.84m²,化验室面积为30.195m²,生活区面积为2011.68m²。</w:t>
                  </w:r>
                </w:p>
                <w:p w14:paraId="5B19CD24">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eastAsia="宋体" w:cs="Times New Roman"/>
                      <w:color w:val="auto"/>
                      <w:sz w:val="21"/>
                      <w:szCs w:val="21"/>
                      <w:highlight w:val="none"/>
                      <w:lang w:val="en-US" w:eastAsia="zh-CN"/>
                    </w:rPr>
                  </w:pPr>
                </w:p>
              </w:tc>
              <w:tc>
                <w:tcPr>
                  <w:tcW w:w="2584" w:type="dxa"/>
                  <w:tcBorders>
                    <w:left w:val="single" w:color="auto" w:sz="4" w:space="0"/>
                  </w:tcBorders>
                  <w:noWrap w:val="0"/>
                  <w:vAlign w:val="center"/>
                </w:tcPr>
                <w:p w14:paraId="67D4F48E">
                  <w:r>
                    <w:t>该项目建设性质为新建项目，位于伽师县英买里乡巴格托格拉克(4)村，</w:t>
                  </w:r>
                </w:p>
                <w:p w14:paraId="48C9D689">
                  <w:r>
                    <w:t>中心地理坐标为 E76°54′33.240”,N39°26′</w:t>
                  </w:r>
                </w:p>
                <w:p w14:paraId="16007461">
                  <w:r>
                    <w:t>55.631”。项目区东侧、西侧、南侧、北侧均为荒地；项目周边 1km 范围内无居民区、水体、无产生有害气体、烟雾、粉尘或其 他污染源的工业或场所。项目占地面积约11641.27m², 总建筑面 积6727m²,主要建设待宰车间、屠宰车间、分割车间、冷库、化 验室、宿舍和办公区等，配套建设1套生产废水处理设施，日处 理规模约为150m³d。年屠宰牛5000只、羊9万只。项目所在区 域不属于自然保护区、森林公园、风景名胜区、世界文化自然遗 产、地质公园等禁止开发的生态红线区、重点保护生态红线区以  及脆弱生态保护红线区内。项目总投资2380万元，其中环保投资33万元，占总投资的1 . 4%。发改委立项文号：备案</w:t>
                  </w:r>
                </w:p>
                <w:p w14:paraId="15C72654">
                  <w:pPr>
                    <w:rPr>
                      <w:sz w:val="32"/>
                      <w:szCs w:val="32"/>
                    </w:rPr>
                  </w:pPr>
                  <w:r>
                    <w:t>[2021]71726093号。</w:t>
                  </w:r>
                </w:p>
                <w:p w14:paraId="12924DC0">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eastAsia="宋体" w:cs="Times New Roman"/>
                      <w:color w:val="auto"/>
                      <w:sz w:val="21"/>
                      <w:szCs w:val="21"/>
                      <w:highlight w:val="none"/>
                      <w:lang w:val="en-US" w:eastAsia="zh-CN"/>
                    </w:rPr>
                  </w:pPr>
                </w:p>
              </w:tc>
              <w:tc>
                <w:tcPr>
                  <w:tcW w:w="2962" w:type="dxa"/>
                  <w:noWrap w:val="0"/>
                  <w:vAlign w:val="center"/>
                </w:tcPr>
                <w:p w14:paraId="296CBF7F">
                  <w:pPr>
                    <w:rPr>
                      <w:sz w:val="25"/>
                      <w:szCs w:val="25"/>
                    </w:rPr>
                  </w:pPr>
                  <w:r>
                    <w:rPr>
                      <w:rFonts w:hint="default" w:ascii="Times New Roman" w:hAnsi="Times New Roman" w:eastAsia="宋体" w:cs="Times New Roman"/>
                      <w:b/>
                      <w:bCs/>
                      <w:color w:val="auto"/>
                      <w:sz w:val="21"/>
                      <w:szCs w:val="21"/>
                      <w:highlight w:val="none"/>
                      <w:lang w:val="en-US" w:eastAsia="zh-CN"/>
                    </w:rPr>
                    <w:t>已落实。</w:t>
                  </w:r>
                  <w:r>
                    <w:rPr>
                      <w:rFonts w:hint="default" w:ascii="Times New Roman" w:hAnsi="Times New Roman" w:eastAsia="宋体" w:cs="Times New Roman"/>
                      <w:color w:val="auto"/>
                      <w:sz w:val="21"/>
                      <w:szCs w:val="21"/>
                      <w:highlight w:val="none"/>
                      <w:lang w:val="en-US" w:eastAsia="zh-CN"/>
                    </w:rPr>
                    <w:t>本项目位于</w:t>
                  </w:r>
                  <w:r>
                    <w:t>伽师县英买里乡巴格托格拉克(4)村，中心地理坐标为：东经76°54'33.240”,北纬39°26'55.631"。项目规划范围总用地面积为11641.27m²,总建筑面积为6727m²。其中： 待宰车间面积为2000m²,屠宰车间面积为2534.28m²,分割车间面积为60m², 冷库面积为90.84m²,化验室面积为30.195m²,生活区面积为2011.68m²。</w:t>
                  </w:r>
                </w:p>
                <w:p w14:paraId="7BCEB593">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Times New Roman" w:hAnsi="Times New Roman" w:eastAsia="宋体" w:cs="Times New Roman"/>
                      <w:color w:val="auto"/>
                      <w:sz w:val="21"/>
                      <w:szCs w:val="21"/>
                      <w:highlight w:val="none"/>
                      <w:vertAlign w:val="baseline"/>
                      <w:lang w:val="en-US" w:eastAsia="zh-CN"/>
                    </w:rPr>
                  </w:pPr>
                </w:p>
              </w:tc>
            </w:tr>
            <w:tr w14:paraId="5783FA5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700" w:type="dxa"/>
                  <w:tcBorders>
                    <w:right w:val="single" w:color="auto" w:sz="4" w:space="0"/>
                  </w:tcBorders>
                  <w:noWrap w:val="0"/>
                  <w:vAlign w:val="center"/>
                </w:tcPr>
                <w:p w14:paraId="15D0EBA0">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废气</w:t>
                  </w:r>
                </w:p>
              </w:tc>
              <w:tc>
                <w:tcPr>
                  <w:tcW w:w="2558" w:type="dxa"/>
                  <w:tcBorders>
                    <w:left w:val="single" w:color="auto" w:sz="4" w:space="0"/>
                    <w:right w:val="single" w:color="auto" w:sz="4" w:space="0"/>
                  </w:tcBorders>
                  <w:noWrap w:val="0"/>
                  <w:vAlign w:val="center"/>
                </w:tcPr>
                <w:p w14:paraId="129A9E53">
                  <w:r>
                    <w:t>废气项目待宰车间、屠宰车间、固废储存区产生的恶臭 经 “UV光解除臭+活性炭吸附一体机”工艺处理后，通过15m 高 排气筒排放；污水处理设施(格栅井、调节池、污泥脱水池)产 生的恶臭，采用加盖封闭式设计，通过风机抽吸作用，将恶臭气 体收集后引至活性炭吸附除臭设备处理，通过15m 高排气筒排 放；执行《恶臭污染物排放标准》(GB14554-1993)   表2中排放 限值。无组织恶臭执行《恶臭污染物排放标准》(GB14554-1993)   表1中二级标准。食堂油烟经油烟净化器处理后通过8m 高排气  筒排放，油烟废气排放应达到《饮食业油烟排放标准》 (GB18483-2001) 中最高允许排放浓度(2mg/m³)。本项目100m   卫生防护距离范围内，不得规划建设诸如学校、医院、养老院等</w:t>
                  </w:r>
                </w:p>
                <w:p w14:paraId="7308FA1B">
                  <w:r>
                    <w:t>环境环境敏感目标。</w:t>
                  </w:r>
                </w:p>
                <w:p w14:paraId="35B96AC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Times New Roman" w:hAnsi="Times New Roman" w:cs="Times New Roman"/>
                      <w:color w:val="auto"/>
                      <w:sz w:val="21"/>
                      <w:szCs w:val="21"/>
                      <w:lang w:val="en-US" w:eastAsia="zh-CN"/>
                    </w:rPr>
                  </w:pPr>
                </w:p>
              </w:tc>
              <w:tc>
                <w:tcPr>
                  <w:tcW w:w="2584" w:type="dxa"/>
                  <w:tcBorders>
                    <w:left w:val="single" w:color="auto" w:sz="4" w:space="0"/>
                  </w:tcBorders>
                  <w:noWrap w:val="0"/>
                  <w:vAlign w:val="center"/>
                </w:tcPr>
                <w:p w14:paraId="3B0B5336">
                  <w:r>
                    <w:t>废气项目待宰车间、屠宰车间、固废储存区产生的恶臭 经 “UV光解除臭+活性炭吸附一体机”工艺处理后，通过15m 高 排气筒排放；污水处理设施(格栅井、调节池、污泥脱水池)产 生的恶臭，采用加盖封闭式设计，通过风机抽吸作用，将恶臭气 体收集后引至活性炭吸附除臭设备处理，通过15m 高排气筒排 放；执行《恶臭污染物排放标准》(GB14554-1993)   表2中排放 限值。无组织恶臭执行《恶臭污染物排放标准》(GB14554-1993)   表1中二级标准。食堂油烟经油烟净化器处理后通过8m 高排气 筒排放，油烟废气排放应达到《饮食业油烟排放标准》 (GB18483-2001) 中最高允许排放浓度(2mg/m³)。本项目100m 卫生防护距离范围内，不得规划建设诸如学校、医院、养老院等</w:t>
                  </w:r>
                </w:p>
                <w:p w14:paraId="6CC1298E">
                  <w:r>
                    <w:t>环境环境敏感目标。</w:t>
                  </w:r>
                </w:p>
                <w:p w14:paraId="77933BA5">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Times New Roman" w:hAnsi="Times New Roman" w:eastAsia="宋体" w:cs="Times New Roman"/>
                      <w:color w:val="auto"/>
                      <w:kern w:val="2"/>
                      <w:sz w:val="21"/>
                      <w:szCs w:val="21"/>
                      <w:highlight w:val="none"/>
                      <w:lang w:val="en-US" w:eastAsia="zh-CN" w:bidi="ar-SA"/>
                    </w:rPr>
                  </w:pPr>
                </w:p>
              </w:tc>
              <w:tc>
                <w:tcPr>
                  <w:tcW w:w="2962" w:type="dxa"/>
                  <w:noWrap w:val="0"/>
                  <w:vAlign w:val="center"/>
                </w:tcPr>
                <w:p w14:paraId="5F490349">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cs="Times New Roman"/>
                      <w:color w:val="auto"/>
                      <w:sz w:val="21"/>
                      <w:szCs w:val="21"/>
                      <w:lang w:eastAsia="zh-CN"/>
                    </w:rPr>
                  </w:pPr>
                  <w:r>
                    <w:rPr>
                      <w:rFonts w:hint="default" w:ascii="Times New Roman" w:hAnsi="Times New Roman" w:cs="Times New Roman"/>
                      <w:b/>
                      <w:bCs/>
                      <w:color w:val="auto"/>
                      <w:sz w:val="21"/>
                      <w:szCs w:val="21"/>
                      <w:highlight w:val="none"/>
                      <w:lang w:eastAsia="zh-CN"/>
                    </w:rPr>
                    <w:t>已落实。</w:t>
                  </w:r>
                  <w:r>
                    <w:t>废气项目待宰车间、屠宰车间、固废储存区产生的恶臭 经 “UV光解除臭+活性炭吸附一体机”工艺处理后，通过15m高排气筒</w:t>
                  </w:r>
                  <w:r>
                    <w:rPr>
                      <w:rFonts w:hint="eastAsia"/>
                      <w:lang w:val="en-US" w:eastAsia="zh-CN"/>
                    </w:rPr>
                    <w:t>DA001</w:t>
                  </w:r>
                  <w:r>
                    <w:t>排放；污水处理设施(格栅井、调节池、污泥脱水池)产 生的恶臭，采用加盖封闭式设计，通过风机抽吸作用，将恶臭气 体收集后引至活性炭吸附除臭设备处理，通过15m高排气筒</w:t>
                  </w:r>
                  <w:r>
                    <w:rPr>
                      <w:rFonts w:hint="eastAsia"/>
                      <w:lang w:val="en-US" w:eastAsia="zh-CN"/>
                    </w:rPr>
                    <w:t>DA002</w:t>
                  </w:r>
                  <w:r>
                    <w:t>排放；执行《恶臭污染物排放标准》(GB14554-1993) 表2中排放 限值。无组织恶臭执行《恶臭污染物排放标准》(GB14554-1993) 表1中二级标准。</w:t>
                  </w:r>
                </w:p>
                <w:p w14:paraId="239CF972">
                  <w:pP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验收期间：因工作时间限制，职工只在早8点-12点工作，不在企业就餐，未建设职工餐厅。</w:t>
                  </w:r>
                </w:p>
              </w:tc>
            </w:tr>
            <w:tr w14:paraId="62F33754">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700" w:type="dxa"/>
                  <w:tcBorders>
                    <w:right w:val="single" w:color="auto" w:sz="4" w:space="0"/>
                  </w:tcBorders>
                  <w:noWrap w:val="0"/>
                  <w:vAlign w:val="center"/>
                </w:tcPr>
                <w:p w14:paraId="38BCDBFD">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废水</w:t>
                  </w:r>
                </w:p>
              </w:tc>
              <w:tc>
                <w:tcPr>
                  <w:tcW w:w="2558" w:type="dxa"/>
                  <w:tcBorders>
                    <w:left w:val="single" w:color="auto" w:sz="4" w:space="0"/>
                    <w:right w:val="single" w:color="auto" w:sz="4" w:space="0"/>
                  </w:tcBorders>
                  <w:noWrap w:val="0"/>
                  <w:vAlign w:val="center"/>
                </w:tcPr>
                <w:p w14:paraId="3C4351B9">
                  <w:r>
                    <w:t>本项目运营期产生的废水主要为屠宰废水，污水  处理站处理工艺为：预处理(采用粗格栅及细格栅+旋流沉砂池) → 生化处理(水解酸化+AA/0工艺) → 深度处理(高密度沉淀池 +曝气生物滤池 BAF+ 滤布滤池) → 消毒(投加次氯酸钠溶液),   项目废水经处理后达到《肉类加工工业水污染物排放标准》 (GB13457-92)  表3中畜类屠宰加工的一级标准限值后，定期   拉运至伽师县纺织服装产业园区污水处理厂处理。项目屠宰车间  及车间内排水沟、危废暂存间、污水处理系统、待宰车间等区域  按要求进行分区防渗处理。</w:t>
                  </w:r>
                </w:p>
                <w:p w14:paraId="039CB107">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ascii="Times New Roman" w:hAnsi="Times New Roman" w:cs="Times New Roman"/>
                      <w:color w:val="auto"/>
                      <w:sz w:val="21"/>
                      <w:szCs w:val="21"/>
                      <w:highlight w:val="none"/>
                    </w:rPr>
                  </w:pPr>
                </w:p>
              </w:tc>
              <w:tc>
                <w:tcPr>
                  <w:tcW w:w="2584" w:type="dxa"/>
                  <w:tcBorders>
                    <w:left w:val="single" w:color="auto" w:sz="4" w:space="0"/>
                  </w:tcBorders>
                  <w:noWrap w:val="0"/>
                  <w:vAlign w:val="center"/>
                </w:tcPr>
                <w:p w14:paraId="5DA840C5">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2"/>
                      <w:sz w:val="21"/>
                      <w:szCs w:val="21"/>
                      <w:highlight w:val="none"/>
                      <w:lang w:val="en-US" w:eastAsia="zh-CN" w:bidi="ar-SA"/>
                    </w:rPr>
                  </w:pPr>
                  <w:r>
                    <w:t>本项目运营期产生的废水主要为屠宰废水，污水  处理站处理工艺为：预处理(采用粗格栅及细格栅+旋流沉砂池) → 生化处理(水解酸化+AA/0工艺) → 深度处理(高密度沉淀池 +曝气生物滤池 BAF+ 滤布滤池) → 消毒(投加次氯酸钠溶液),   项目废水经处理后达到《肉类加工工业水污染物排放标准》 (GB13457-92)  表3中畜类屠宰加工的一级标准限值后，定期   拉运至伽师县纺织服装产业园区污水处理厂处理。项目屠宰车间  及车间内排水沟、危废暂存间、污水处理系统、待宰车间等区域  按要求进行分区防渗处理。</w:t>
                  </w:r>
                </w:p>
              </w:tc>
              <w:tc>
                <w:tcPr>
                  <w:tcW w:w="2962" w:type="dxa"/>
                  <w:noWrap w:val="0"/>
                  <w:vAlign w:val="center"/>
                </w:tcPr>
                <w:p w14:paraId="56754AD2">
                  <w:pPr>
                    <w:keepNext w:val="0"/>
                    <w:keepLines w:val="0"/>
                    <w:pageBreakBefore w:val="0"/>
                    <w:widowControl w:val="0"/>
                    <w:kinsoku/>
                    <w:wordWrap/>
                    <w:overflowPunct/>
                    <w:topLinePunct w:val="0"/>
                    <w:autoSpaceDE/>
                    <w:autoSpaceDN/>
                    <w:bidi w:val="0"/>
                    <w:adjustRightInd/>
                    <w:snapToGrid/>
                    <w:textAlignment w:val="auto"/>
                  </w:pPr>
                  <w:r>
                    <w:rPr>
                      <w:rFonts w:hint="default" w:ascii="Times New Roman" w:hAnsi="Times New Roman" w:cs="Times New Roman"/>
                      <w:b/>
                      <w:bCs/>
                      <w:color w:val="auto"/>
                      <w:sz w:val="21"/>
                      <w:szCs w:val="21"/>
                      <w:highlight w:val="none"/>
                      <w:lang w:eastAsia="zh-CN"/>
                    </w:rPr>
                    <w:t>已落实。</w:t>
                  </w:r>
                  <w:r>
                    <w:t>本项目运营期产生的废水主要为屠宰废水，</w:t>
                  </w:r>
                  <w:r>
                    <w:rPr>
                      <w:rFonts w:hint="eastAsia"/>
                      <w:lang w:val="en-US" w:eastAsia="zh-CN"/>
                    </w:rPr>
                    <w:t>其主要污染物为：</w:t>
                  </w:r>
                  <w:r>
                    <w:rPr>
                      <w:rFonts w:hint="eastAsia" w:ascii="Times New Roman" w:hAnsi="Times New Roman" w:cs="Times New Roman"/>
                      <w:b w:val="0"/>
                      <w:bCs w:val="0"/>
                      <w:color w:val="auto"/>
                      <w:kern w:val="0"/>
                      <w:szCs w:val="21"/>
                      <w:lang w:eastAsia="zh-CN"/>
                    </w:rPr>
                    <w:t>五日生化需氧量、</w:t>
                  </w:r>
                  <w:r>
                    <w:rPr>
                      <w:rFonts w:hint="eastAsia" w:ascii="Times New Roman" w:hAnsi="Times New Roman" w:cs="Times New Roman"/>
                      <w:b w:val="0"/>
                      <w:bCs w:val="0"/>
                      <w:color w:val="auto"/>
                      <w:kern w:val="0"/>
                      <w:szCs w:val="21"/>
                    </w:rPr>
                    <w:t>化学需氧量</w:t>
                  </w:r>
                  <w:r>
                    <w:rPr>
                      <w:rFonts w:hint="eastAsia" w:ascii="Times New Roman" w:hAnsi="Times New Roman" w:cs="Times New Roman"/>
                      <w:b w:val="0"/>
                      <w:bCs w:val="0"/>
                      <w:color w:val="auto"/>
                      <w:kern w:val="0"/>
                      <w:szCs w:val="21"/>
                      <w:lang w:eastAsia="zh-CN"/>
                    </w:rPr>
                    <w:t>、</w:t>
                  </w:r>
                  <w:r>
                    <w:rPr>
                      <w:rFonts w:hint="eastAsia" w:ascii="Times New Roman" w:hAnsi="Times New Roman" w:cs="Times New Roman"/>
                      <w:b w:val="0"/>
                      <w:bCs w:val="0"/>
                      <w:color w:val="auto"/>
                      <w:kern w:val="0"/>
                      <w:szCs w:val="21"/>
                    </w:rPr>
                    <w:t>氨氮</w:t>
                  </w:r>
                  <w:r>
                    <w:rPr>
                      <w:rFonts w:hint="eastAsia" w:ascii="Times New Roman" w:hAnsi="Times New Roman" w:cs="Times New Roman"/>
                      <w:b w:val="0"/>
                      <w:bCs w:val="0"/>
                      <w:color w:val="auto"/>
                      <w:kern w:val="0"/>
                      <w:szCs w:val="21"/>
                      <w:lang w:eastAsia="zh-CN"/>
                    </w:rPr>
                    <w:t>、悬浮物、</w:t>
                  </w:r>
                  <w:r>
                    <w:rPr>
                      <w:rFonts w:hint="eastAsia" w:ascii="Times New Roman" w:hAnsi="Times New Roman" w:cs="Times New Roman"/>
                      <w:b w:val="0"/>
                      <w:bCs w:val="0"/>
                      <w:color w:val="auto"/>
                      <w:kern w:val="0"/>
                      <w:szCs w:val="21"/>
                    </w:rPr>
                    <w:t>粪大肠菌群</w:t>
                  </w:r>
                  <w:r>
                    <w:rPr>
                      <w:rFonts w:hint="eastAsia" w:ascii="Times New Roman" w:hAnsi="Times New Roman" w:cs="Times New Roman"/>
                      <w:b w:val="0"/>
                      <w:bCs w:val="0"/>
                      <w:color w:val="auto"/>
                      <w:kern w:val="0"/>
                      <w:szCs w:val="21"/>
                      <w:lang w:eastAsia="zh-CN"/>
                    </w:rPr>
                    <w:t>、动植物油、总磷、总氮、</w:t>
                  </w:r>
                  <w:r>
                    <w:rPr>
                      <w:rFonts w:hint="eastAsia" w:ascii="Times New Roman" w:hAnsi="Times New Roman" w:cs="Times New Roman"/>
                      <w:b w:val="0"/>
                      <w:bCs w:val="0"/>
                      <w:color w:val="auto"/>
                      <w:kern w:val="0"/>
                      <w:szCs w:val="21"/>
                      <w:lang w:val="en-US" w:eastAsia="zh-CN"/>
                    </w:rPr>
                    <w:t>阴离子表面活性剂。</w:t>
                  </w:r>
                  <w:r>
                    <w:t>污水处理站处理工艺为：预处理(采用粗格栅及细格栅+旋流沉砂池) → 生化处理(水解酸化+AA/0工艺) → 深度处理(高密度沉淀池 +曝气生物滤池 BAF+ 滤布滤池) → 消毒(投加次氯酸钠溶液), 项目废水经处理后达到《肉类加工工业水污染物排放标准》 (GB13457-92)  表3中畜类屠宰加工的一级标准限值后，定期拉运至伽师县纺织服装产业园区污水处理厂处理。项目屠宰车间及车间内排水沟、危废暂存间、污水处理系统、待宰车间等区域  按要求进行分区防渗处理。</w:t>
                  </w:r>
                </w:p>
                <w:p w14:paraId="64B74BD3">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eastAsia"/>
                      <w:b/>
                      <w:bCs/>
                      <w:lang w:val="en-US" w:eastAsia="zh-CN"/>
                    </w:rPr>
                    <w:t>验收监测期间：</w:t>
                  </w:r>
                  <w:r>
                    <w:rPr>
                      <w:rFonts w:hint="eastAsia"/>
                      <w:lang w:val="en-US" w:eastAsia="zh-CN"/>
                    </w:rPr>
                    <w:t>监测值均满足</w:t>
                  </w:r>
                  <w:r>
                    <w:t>《肉类加工工业水污染物排放标准》 (GB13457-92)  表3中畜类屠宰加工的一级标准限值</w:t>
                  </w:r>
                </w:p>
              </w:tc>
            </w:tr>
            <w:tr w14:paraId="3052930C">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700" w:type="dxa"/>
                  <w:tcBorders>
                    <w:right w:val="single" w:color="auto" w:sz="4" w:space="0"/>
                  </w:tcBorders>
                  <w:noWrap w:val="0"/>
                  <w:vAlign w:val="center"/>
                </w:tcPr>
                <w:p w14:paraId="3DEF232D">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噪声</w:t>
                  </w:r>
                </w:p>
              </w:tc>
              <w:tc>
                <w:tcPr>
                  <w:tcW w:w="2558" w:type="dxa"/>
                  <w:tcBorders>
                    <w:left w:val="single" w:color="auto" w:sz="4" w:space="0"/>
                    <w:right w:val="single" w:color="auto" w:sz="4" w:space="0"/>
                  </w:tcBorders>
                  <w:noWrap w:val="0"/>
                  <w:vAlign w:val="center"/>
                </w:tcPr>
                <w:p w14:paraId="4C3FD66E">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ascii="Times New Roman" w:hAnsi="Times New Roman" w:eastAsia="宋体" w:cs="Times New Roman"/>
                      <w:color w:val="auto"/>
                      <w:sz w:val="21"/>
                      <w:szCs w:val="21"/>
                      <w:highlight w:val="none"/>
                      <w:lang w:val="en-US" w:eastAsia="zh-CN"/>
                    </w:rPr>
                  </w:pPr>
                  <w:r>
                    <w:rPr>
                      <w:rFonts w:hint="eastAsia"/>
                      <w:lang w:val="en-US" w:eastAsia="zh-CN"/>
                    </w:rPr>
                    <w:t>加</w:t>
                  </w:r>
                  <w:r>
                    <w:t>强噪声源管理，项目主要噪声设备采用吸声、隔 声、基础减振、消声等降噪措施，应达到《工业企业厂界环境噪 声排放标准》(GB 12348-2008)中2类标准限值要求。</w:t>
                  </w:r>
                </w:p>
              </w:tc>
              <w:tc>
                <w:tcPr>
                  <w:tcW w:w="2584" w:type="dxa"/>
                  <w:tcBorders>
                    <w:left w:val="single" w:color="auto" w:sz="4" w:space="0"/>
                  </w:tcBorders>
                  <w:noWrap w:val="0"/>
                  <w:vAlign w:val="center"/>
                </w:tcPr>
                <w:p w14:paraId="509022F5">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lang w:val="en-US" w:eastAsia="zh-CN"/>
                    </w:rPr>
                    <w:t>加</w:t>
                  </w:r>
                  <w:r>
                    <w:t>强噪声源管理，项目主要噪声设备采用吸声、隔 声、基础减振、消声等降噪措施，应达到《工业企业厂界环境噪 声排放标准》(GB 12348-2008)中2类标准限值要求。</w:t>
                  </w:r>
                </w:p>
              </w:tc>
              <w:tc>
                <w:tcPr>
                  <w:tcW w:w="2962" w:type="dxa"/>
                  <w:noWrap w:val="0"/>
                  <w:vAlign w:val="center"/>
                </w:tcPr>
                <w:p w14:paraId="098722F6">
                  <w:pPr>
                    <w:keepNext w:val="0"/>
                    <w:keepLines w:val="0"/>
                    <w:pageBreakBefore w:val="0"/>
                    <w:widowControl w:val="0"/>
                    <w:kinsoku/>
                    <w:wordWrap/>
                    <w:overflowPunct/>
                    <w:topLinePunct w:val="0"/>
                    <w:autoSpaceDE/>
                    <w:autoSpaceDN/>
                    <w:bidi w:val="0"/>
                    <w:adjustRightInd w:val="0"/>
                    <w:snapToGrid w:val="0"/>
                    <w:spacing w:line="320" w:lineRule="exac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bCs/>
                      <w:color w:val="auto"/>
                      <w:sz w:val="21"/>
                      <w:szCs w:val="21"/>
                      <w:highlight w:val="none"/>
                      <w:lang w:eastAsia="zh-CN"/>
                    </w:rPr>
                    <w:t>已落实。</w:t>
                  </w:r>
                  <w:r>
                    <w:rPr>
                      <w:rFonts w:hint="default" w:ascii="Times New Roman" w:hAnsi="Times New Roman" w:eastAsia="宋体" w:cs="Times New Roman"/>
                      <w:color w:val="auto"/>
                      <w:sz w:val="21"/>
                      <w:szCs w:val="21"/>
                      <w:highlight w:val="none"/>
                      <w:lang w:val="en-US" w:eastAsia="zh-CN"/>
                    </w:rPr>
                    <w:t>本项目工程噪声主要为风机、泵、行车、天然气热风炉等设备运行过程中产生的机械噪声，经选用低噪声设备，采取基础减振等措施，通过厂房隔音后排放。</w:t>
                  </w:r>
                </w:p>
                <w:p w14:paraId="61878A70">
                  <w:pPr>
                    <w:keepNext w:val="0"/>
                    <w:keepLines w:val="0"/>
                    <w:pageBreakBefore w:val="0"/>
                    <w:widowControl w:val="0"/>
                    <w:kinsoku/>
                    <w:wordWrap/>
                    <w:overflowPunct/>
                    <w:topLinePunct w:val="0"/>
                    <w:autoSpaceDE/>
                    <w:autoSpaceDN/>
                    <w:bidi w:val="0"/>
                    <w:adjustRightInd w:val="0"/>
                    <w:snapToGrid w:val="0"/>
                    <w:spacing w:line="320" w:lineRule="exact"/>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bCs/>
                      <w:color w:val="auto"/>
                      <w:sz w:val="21"/>
                      <w:szCs w:val="21"/>
                      <w:highlight w:val="none"/>
                      <w:lang w:val="en-US" w:eastAsia="zh-CN"/>
                    </w:rPr>
                    <w:t>验收监测期间：</w:t>
                  </w:r>
                  <w:r>
                    <w:rPr>
                      <w:rFonts w:hint="default" w:ascii="Times New Roman" w:hAnsi="Times New Roman" w:eastAsia="宋体" w:cs="Times New Roman"/>
                      <w:color w:val="auto"/>
                      <w:sz w:val="21"/>
                      <w:szCs w:val="21"/>
                      <w:highlight w:val="none"/>
                      <w:lang w:val="en-US" w:eastAsia="zh-CN"/>
                    </w:rPr>
                    <w:t>本项目厂界外4个监测点位昼</w:t>
                  </w:r>
                  <w:r>
                    <w:rPr>
                      <w:rFonts w:hint="default" w:ascii="Times New Roman" w:hAnsi="Times New Roman"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夜间</w:t>
                  </w:r>
                  <w:r>
                    <w:rPr>
                      <w:rFonts w:hint="default" w:ascii="Times New Roman" w:hAnsi="Times New Roman" w:cs="Times New Roman"/>
                      <w:color w:val="auto"/>
                      <w:sz w:val="21"/>
                      <w:szCs w:val="21"/>
                      <w:highlight w:val="none"/>
                      <w:lang w:val="en-US" w:eastAsia="zh-CN"/>
                    </w:rPr>
                    <w:t>噪声值</w:t>
                  </w:r>
                  <w:r>
                    <w:rPr>
                      <w:rFonts w:hint="default" w:ascii="Times New Roman" w:hAnsi="Times New Roman" w:eastAsia="宋体" w:cs="Times New Roman"/>
                      <w:color w:val="auto"/>
                      <w:sz w:val="21"/>
                      <w:szCs w:val="21"/>
                      <w:highlight w:val="none"/>
                      <w:lang w:val="en-US" w:eastAsia="zh-CN"/>
                    </w:rPr>
                    <w:t>均满足《工业企业厂界环境噪声排放标准》（GB12348-2008）中</w:t>
                  </w:r>
                  <w:r>
                    <w:rPr>
                      <w:rFonts w:hint="eastAsia"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val="en-US" w:eastAsia="zh-CN"/>
                    </w:rPr>
                    <w:t>类标准限值要求。</w:t>
                  </w:r>
                </w:p>
              </w:tc>
            </w:tr>
            <w:tr w14:paraId="1384D78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700" w:type="dxa"/>
                  <w:tcBorders>
                    <w:right w:val="single" w:color="auto" w:sz="4" w:space="0"/>
                  </w:tcBorders>
                  <w:noWrap w:val="0"/>
                  <w:vAlign w:val="center"/>
                </w:tcPr>
                <w:p w14:paraId="355CF7CA">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固废</w:t>
                  </w:r>
                </w:p>
              </w:tc>
              <w:tc>
                <w:tcPr>
                  <w:tcW w:w="2558" w:type="dxa"/>
                  <w:tcBorders>
                    <w:left w:val="single" w:color="auto" w:sz="4" w:space="0"/>
                    <w:right w:val="single" w:color="auto" w:sz="4" w:space="0"/>
                  </w:tcBorders>
                  <w:noWrap w:val="0"/>
                  <w:vAlign w:val="center"/>
                </w:tcPr>
                <w:p w14:paraId="487BEE0E">
                  <w:r>
                    <w:t>(1)生活垃圾</w:t>
                  </w:r>
                  <w:r>
                    <w:rPr>
                      <w:rFonts w:hint="eastAsia"/>
                      <w:lang w:eastAsia="zh-CN"/>
                    </w:rPr>
                    <w:t>：</w:t>
                  </w:r>
                  <w:r>
                    <w:t>生活垃圾收集后交环卫部门定期清运，对环境影响较小。</w:t>
                  </w:r>
                </w:p>
                <w:p w14:paraId="7C547C9A">
                  <w:r>
                    <w:t>(2)一般固废</w:t>
                  </w:r>
                  <w:r>
                    <w:rPr>
                      <w:rFonts w:hint="eastAsia"/>
                      <w:lang w:eastAsia="zh-CN"/>
                    </w:rPr>
                    <w:t>：</w:t>
                  </w:r>
                  <w:r>
                    <w:t>粪便、未消化饲料收集后外售给附近专业公司作为有机肥原料使用；牛 羊血、牛羊皮收集后作为副产品外售；病死牛羊、下脚料严格按照《病害动 物和病害动物产品生物安全处理规程》(GB16548-2006)中相关要求进行无  害化处理，处理后的残渣可外卖专业公司作为有机肥原料使用；污水处理站 污泥收集后由环卫部门统一清运，日产日销。</w:t>
                  </w:r>
                </w:p>
                <w:p w14:paraId="2FF412DE">
                  <w:r>
                    <w:t>建议建设单位进一步规范一般固废暂时贮存场所，严格执行一般固废的 规范化贮存、转移和处置。一般固废暂存场所应满足：</w:t>
                  </w:r>
                </w:p>
                <w:p w14:paraId="46A6F0C1">
                  <w:r>
                    <w:t>①必须与生活垃圾存放地分开，有防雨淋的装置，地基高度应确保设施 内不受雨洪冲击或浸泡。</w:t>
                  </w:r>
                </w:p>
                <w:p w14:paraId="1E9303B4">
                  <w:r>
                    <w:t>②必须与生产区和人员活动密集区隔开，方便装卸及运送车辆的出入。</w:t>
                  </w:r>
                </w:p>
                <w:p w14:paraId="61B3178C">
                  <w:r>
                    <w:t>③应有严格的封闭措施，设专人管理，避免非工作人员进出，以及防鼠、 防蚊蝇、防蟑螂以及预防儿童接触等安全措施。</w:t>
                  </w:r>
                </w:p>
                <w:p w14:paraId="59CC55D8">
                  <w:r>
                    <w:t>④避免阳光直射库内，应有良好的照明设备和通风条件。</w:t>
                  </w:r>
                </w:p>
                <w:p w14:paraId="7BA28CD0">
                  <w:r>
                    <w:t>⑤库房内张贴“禁止吸烟、饮食”的警示标识。</w:t>
                  </w:r>
                </w:p>
                <w:p w14:paraId="741A37D9">
                  <w:r>
                    <w:t>(3)危险废物</w:t>
                  </w:r>
                </w:p>
                <w:p w14:paraId="6FFDE571">
                  <w:r>
                    <w:t>本项目产生的废活性炭为1.13t/a。根据《国家危险废物名录》附录“危 险废物豁免管理清单”,活性炭属于危险废物HW49,建议建设单位将废活</w:t>
                  </w:r>
                </w:p>
                <w:p w14:paraId="5EEC769D">
                  <w:pPr>
                    <w:rPr>
                      <w:rFonts w:hint="eastAsia" w:ascii="Times New Roman" w:hAnsi="Times New Roman" w:cs="Times New Roman" w:eastAsiaTheme="minorEastAsia"/>
                      <w:color w:val="auto"/>
                      <w:sz w:val="21"/>
                      <w:szCs w:val="21"/>
                      <w:highlight w:val="none"/>
                      <w:lang w:val="en-US" w:eastAsia="zh-CN"/>
                    </w:rPr>
                  </w:pPr>
                  <w:r>
                    <w:t>性炭集中收集后交给有资质的单位处理。对本项目所产生的活性炭危险固废 要严格按照《危险废物贮存污染控制标准》(GB18597-2001)相关规定，采  用专门的容器进行集中收集，并按规定设置警示标志。</w:t>
                  </w:r>
                </w:p>
              </w:tc>
              <w:tc>
                <w:tcPr>
                  <w:tcW w:w="2584" w:type="dxa"/>
                  <w:tcBorders>
                    <w:left w:val="single" w:color="auto" w:sz="4" w:space="0"/>
                  </w:tcBorders>
                  <w:noWrap w:val="0"/>
                  <w:vAlign w:val="center"/>
                </w:tcPr>
                <w:p w14:paraId="1EE18F2D">
                  <w:pPr>
                    <w:rPr>
                      <w:rFonts w:hint="default" w:ascii="Times New Roman" w:hAnsi="Times New Roman" w:eastAsia="宋体" w:cs="Times New Roman"/>
                      <w:color w:val="auto"/>
                      <w:kern w:val="2"/>
                      <w:sz w:val="21"/>
                      <w:szCs w:val="21"/>
                      <w:highlight w:val="none"/>
                      <w:lang w:val="en-US" w:eastAsia="zh-CN" w:bidi="ar-SA"/>
                    </w:rPr>
                  </w:pPr>
                  <w:r>
                    <w:t>本项目运营期固体废物主要为粪便、下脚料(不可 食用内脏及胴体、碎肉渣等)、未消化饲料(蓄类胃内容物)、牛 羊血、牛羊皮、病死牛羊等。项目采用干清法对粪便及时处理， 外售用于制成有机肥料；下脚料收集后按照《病害动物和病害动 物产品生物安全处理规程》(GB16548-2006);  未消化饲料用密封 桶装置于固废暂存间，外售用于制作饲料；牛羊血、牛羊皮集中  收集后作为副产品外售；病死牛羊根据《病死及病害动物无害化  处理技术规范》要求，统一收集并交当地畜牧防疫站指定的单位  进行处理；污水处理站产生的污泥、生活垃圾分类收集后交由环  卫部门统一清运处理；废活性炭严格按照《危险废物贮存污染控制标准》(GB18597-2001)  相关规定，采用专门的容器进行集中 收集，并按规定设置警示标志，定期交由危废资质单位处理。</w:t>
                  </w:r>
                </w:p>
              </w:tc>
              <w:tc>
                <w:tcPr>
                  <w:tcW w:w="2962" w:type="dxa"/>
                  <w:noWrap w:val="0"/>
                  <w:vAlign w:val="center"/>
                </w:tcPr>
                <w:p w14:paraId="279D6C96">
                  <w:pPr>
                    <w:pStyle w:val="20"/>
                    <w:keepNext w:val="0"/>
                    <w:keepLines w:val="0"/>
                    <w:pageBreakBefore w:val="0"/>
                    <w:widowControl w:val="0"/>
                    <w:kinsoku/>
                    <w:wordWrap/>
                    <w:overflowPunct/>
                    <w:topLinePunct w:val="0"/>
                    <w:autoSpaceDE/>
                    <w:autoSpaceDN/>
                    <w:bidi w:val="0"/>
                    <w:adjustRightInd/>
                    <w:snapToGrid/>
                    <w:spacing w:line="360" w:lineRule="auto"/>
                    <w:ind w:left="0" w:right="0" w:firstLine="422" w:firstLineChars="200"/>
                    <w:textAlignment w:val="auto"/>
                    <w:rPr>
                      <w:rFonts w:hint="eastAsia" w:ascii="宋体" w:hAnsi="宋体" w:eastAsia="宋体" w:cs="宋体"/>
                      <w:spacing w:val="3"/>
                      <w:kern w:val="2"/>
                      <w:sz w:val="21"/>
                      <w:szCs w:val="21"/>
                      <w:lang w:val="en-US" w:eastAsia="zh-CN" w:bidi="ar-SA"/>
                    </w:rPr>
                  </w:pPr>
                  <w:r>
                    <w:rPr>
                      <w:rFonts w:hint="default" w:ascii="Times New Roman" w:hAnsi="Times New Roman" w:cs="Times New Roman"/>
                      <w:b/>
                      <w:bCs/>
                      <w:color w:val="auto"/>
                      <w:sz w:val="21"/>
                      <w:szCs w:val="21"/>
                      <w:highlight w:val="none"/>
                      <w:lang w:eastAsia="zh-CN"/>
                    </w:rPr>
                    <w:t>已落实。</w:t>
                  </w:r>
                  <w:r>
                    <w:rPr>
                      <w:rFonts w:hint="eastAsia" w:ascii="宋体" w:hAnsi="宋体" w:eastAsia="宋体" w:cs="宋体"/>
                      <w:spacing w:val="3"/>
                      <w:kern w:val="2"/>
                      <w:sz w:val="21"/>
                      <w:szCs w:val="21"/>
                      <w:lang w:val="en-US" w:eastAsia="en-US" w:bidi="ar-SA"/>
                    </w:rPr>
                    <w:t>本项目运营期固体废物主要为粪便、下脚料(不可食用内脏及胴体、碎肉渣等)、未消化饲料(蓄类胃内容物)、牛羊血、牛羊皮、病死牛羊等。项目采用干清法对粪便及时处理，外售用于制成有机肥料；下脚料收集后按照《病害动物和病害动 物产品生物安全处理规程》(GB16548-2006); 未消化饲料用密封 桶装置于固废暂存间，外售用于制作饲料；牛羊血、牛羊皮集中 收集后作为副产品外售；病死牛羊根据《病死及病害动物无害化处理技术规范》要求，统一收集并交当地畜牧防疫站指定的单位进行处理；污水处理站产生的污泥、生活垃圾分类收集后交由环卫部门统一清运处理；废活性炭严格按照《危险废物贮存污染控</w:t>
                  </w:r>
                  <w:r>
                    <w:rPr>
                      <w:rFonts w:hint="eastAsia" w:ascii="宋体" w:hAnsi="宋体" w:eastAsia="宋体" w:cs="宋体"/>
                      <w:spacing w:val="3"/>
                      <w:kern w:val="2"/>
                      <w:sz w:val="21"/>
                      <w:szCs w:val="21"/>
                      <w:lang w:val="en-US" w:eastAsia="zh-CN" w:bidi="ar-SA"/>
                    </w:rPr>
                    <w:t>，</w:t>
                  </w:r>
                  <w:r>
                    <w:rPr>
                      <w:rFonts w:hint="eastAsia" w:ascii="宋体" w:hAnsi="宋体" w:eastAsia="宋体" w:cs="宋体"/>
                      <w:b w:val="0"/>
                      <w:bCs w:val="0"/>
                      <w:spacing w:val="-1"/>
                      <w:sz w:val="21"/>
                      <w:szCs w:val="21"/>
                      <w:lang w:val="en-US" w:eastAsia="zh-CN"/>
                    </w:rPr>
                    <w:t>定期交由有资质的</w:t>
                  </w:r>
                  <w:r>
                    <w:rPr>
                      <w:rFonts w:hint="eastAsia" w:ascii="宋体" w:hAnsi="宋体" w:eastAsia="宋体" w:cs="宋体"/>
                      <w:b w:val="0"/>
                      <w:bCs w:val="0"/>
                      <w:spacing w:val="-1"/>
                      <w:sz w:val="21"/>
                      <w:szCs w:val="21"/>
                      <w:lang w:eastAsia="zh-CN"/>
                    </w:rPr>
                    <w:t>新疆国兴环保科技有限责任公司</w:t>
                  </w:r>
                  <w:r>
                    <w:rPr>
                      <w:rFonts w:hint="eastAsia" w:ascii="宋体" w:hAnsi="宋体" w:eastAsia="宋体" w:cs="宋体"/>
                      <w:b w:val="0"/>
                      <w:bCs w:val="0"/>
                      <w:spacing w:val="-1"/>
                      <w:sz w:val="21"/>
                      <w:szCs w:val="21"/>
                      <w:lang w:val="en-US" w:eastAsia="zh-CN"/>
                    </w:rPr>
                    <w:t>进行处理</w:t>
                  </w:r>
                  <w:r>
                    <w:rPr>
                      <w:rFonts w:hint="eastAsia" w:ascii="宋体" w:hAnsi="宋体" w:eastAsia="宋体" w:cs="宋体"/>
                      <w:b w:val="0"/>
                      <w:bCs w:val="0"/>
                      <w:spacing w:val="-1"/>
                      <w:sz w:val="21"/>
                      <w:szCs w:val="21"/>
                    </w:rPr>
                    <w:t>。</w:t>
                  </w:r>
                </w:p>
                <w:p w14:paraId="6D83A8E4">
                  <w:pPr>
                    <w:keepNext w:val="0"/>
                    <w:keepLines w:val="0"/>
                    <w:pageBreakBefore w:val="0"/>
                    <w:widowControl w:val="0"/>
                    <w:kinsoku/>
                    <w:wordWrap/>
                    <w:overflowPunct/>
                    <w:topLinePunct w:val="0"/>
                    <w:autoSpaceDE/>
                    <w:autoSpaceDN/>
                    <w:bidi w:val="0"/>
                    <w:adjustRightInd w:val="0"/>
                    <w:snapToGrid/>
                    <w:ind w:firstLine="420" w:firstLineChars="200"/>
                    <w:textAlignment w:val="auto"/>
                    <w:rPr>
                      <w:rFonts w:hint="default" w:ascii="Times New Roman" w:hAnsi="Times New Roman" w:eastAsia="宋体" w:cs="Times New Roman"/>
                      <w:color w:val="auto"/>
                      <w:kern w:val="2"/>
                      <w:sz w:val="21"/>
                      <w:szCs w:val="21"/>
                      <w:highlight w:val="none"/>
                      <w:lang w:val="en-US" w:eastAsia="zh-CN" w:bidi="ar-SA"/>
                    </w:rPr>
                  </w:pPr>
                </w:p>
              </w:tc>
            </w:tr>
            <w:tr w14:paraId="602DE6F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700" w:type="dxa"/>
                  <w:tcBorders>
                    <w:right w:val="single" w:color="auto" w:sz="4" w:space="0"/>
                  </w:tcBorders>
                  <w:noWrap w:val="0"/>
                  <w:vAlign w:val="center"/>
                </w:tcPr>
                <w:p w14:paraId="412DA51A">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应急预案</w:t>
                  </w:r>
                </w:p>
              </w:tc>
              <w:tc>
                <w:tcPr>
                  <w:tcW w:w="2558" w:type="dxa"/>
                  <w:tcBorders>
                    <w:left w:val="single" w:color="auto" w:sz="4" w:space="0"/>
                    <w:right w:val="single" w:color="auto" w:sz="4" w:space="0"/>
                  </w:tcBorders>
                  <w:noWrap w:val="0"/>
                  <w:vAlign w:val="center"/>
                </w:tcPr>
                <w:p w14:paraId="42A6E457">
                  <w:pPr>
                    <w:keepNext w:val="0"/>
                    <w:keepLines w:val="0"/>
                    <w:pageBreakBefore w:val="0"/>
                    <w:widowControl w:val="0"/>
                    <w:kinsoku/>
                    <w:wordWrap/>
                    <w:overflowPunct/>
                    <w:topLinePunct w:val="0"/>
                    <w:autoSpaceDE/>
                    <w:autoSpaceDN/>
                    <w:bidi w:val="0"/>
                    <w:adjustRightInd w:val="0"/>
                    <w:snapToGrid/>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在发生事故后能正确采取相应的安全措施和及时启动事故应急预案，本项目的事故风险都是可以预防和控制的。</w:t>
                  </w:r>
                </w:p>
              </w:tc>
              <w:tc>
                <w:tcPr>
                  <w:tcW w:w="2584" w:type="dxa"/>
                  <w:tcBorders>
                    <w:left w:val="single" w:color="auto" w:sz="4" w:space="0"/>
                  </w:tcBorders>
                  <w:noWrap w:val="0"/>
                  <w:vAlign w:val="center"/>
                </w:tcPr>
                <w:p w14:paraId="26AE581F">
                  <w:pPr>
                    <w:keepNext w:val="0"/>
                    <w:keepLines w:val="0"/>
                    <w:pageBreakBefore w:val="0"/>
                    <w:widowControl w:val="0"/>
                    <w:kinsoku/>
                    <w:wordWrap/>
                    <w:overflowPunct/>
                    <w:topLinePunct w:val="0"/>
                    <w:autoSpaceDE/>
                    <w:autoSpaceDN/>
                    <w:bidi w:val="0"/>
                    <w:adjustRightInd w:val="0"/>
                    <w:snapToGrid/>
                    <w:ind w:firstLine="420" w:firstLineChars="200"/>
                    <w:jc w:val="left"/>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加强环境风险控制，建立健全环境风险防范措施，制订突发环境事件应急预案，报</w:t>
                  </w:r>
                  <w:r>
                    <w:rPr>
                      <w:rFonts w:hint="eastAsia" w:ascii="Times New Roman" w:hAnsi="Times New Roman" w:eastAsia="宋体" w:cs="Times New Roman"/>
                      <w:color w:val="auto"/>
                      <w:kern w:val="2"/>
                      <w:sz w:val="21"/>
                      <w:szCs w:val="21"/>
                      <w:highlight w:val="none"/>
                      <w:lang w:val="en-US" w:eastAsia="zh-CN" w:bidi="ar-SA"/>
                    </w:rPr>
                    <w:t>喀什地区生态环境局伽师县分局</w:t>
                  </w:r>
                  <w:r>
                    <w:rPr>
                      <w:rFonts w:hint="default" w:ascii="Times New Roman" w:hAnsi="Times New Roman" w:eastAsia="宋体" w:cs="Times New Roman"/>
                      <w:color w:val="auto"/>
                      <w:kern w:val="2"/>
                      <w:sz w:val="21"/>
                      <w:szCs w:val="21"/>
                      <w:highlight w:val="none"/>
                      <w:lang w:val="en-US" w:eastAsia="zh-CN" w:bidi="ar-SA"/>
                    </w:rPr>
                    <w:t>备案。同时加强应急演练，杜绝突发环境风险事故发生。</w:t>
                  </w:r>
                </w:p>
              </w:tc>
              <w:tc>
                <w:tcPr>
                  <w:tcW w:w="2962" w:type="dxa"/>
                  <w:noWrap w:val="0"/>
                  <w:vAlign w:val="center"/>
                </w:tcPr>
                <w:p w14:paraId="2DAB0501">
                  <w:pPr>
                    <w:keepNext w:val="0"/>
                    <w:keepLines w:val="0"/>
                    <w:pageBreakBefore w:val="0"/>
                    <w:widowControl w:val="0"/>
                    <w:kinsoku/>
                    <w:wordWrap/>
                    <w:overflowPunct/>
                    <w:topLinePunct w:val="0"/>
                    <w:autoSpaceDE/>
                    <w:autoSpaceDN/>
                    <w:bidi w:val="0"/>
                    <w:adjustRightInd w:val="0"/>
                    <w:snapToGrid/>
                    <w:ind w:firstLine="420" w:firstLineChars="200"/>
                    <w:jc w:val="left"/>
                    <w:textAlignment w:val="auto"/>
                    <w:rPr>
                      <w:rFonts w:hint="default" w:ascii="Times New Roman" w:hAnsi="Times New Roman" w:cs="Times New Roman"/>
                      <w:b/>
                      <w:bCs/>
                      <w:color w:val="auto"/>
                      <w:sz w:val="21"/>
                      <w:szCs w:val="21"/>
                      <w:highlight w:val="none"/>
                      <w:lang w:eastAsia="zh-CN"/>
                    </w:rPr>
                  </w:pPr>
                  <w:r>
                    <w:rPr>
                      <w:rFonts w:hint="default"/>
                      <w:sz w:val="21"/>
                      <w:szCs w:val="21"/>
                      <w:lang w:eastAsia="zh-CN"/>
                    </w:rPr>
                    <w:t>已落实。</w:t>
                  </w:r>
                  <w:r>
                    <w:rPr>
                      <w:sz w:val="21"/>
                      <w:szCs w:val="21"/>
                    </w:rPr>
                    <w:t>伽师县嘉腾</w:t>
                  </w:r>
                  <w:r>
                    <w:rPr>
                      <w:rFonts w:hint="eastAsia"/>
                      <w:sz w:val="21"/>
                      <w:szCs w:val="21"/>
                      <w:lang w:val="en-US" w:eastAsia="zh-CN"/>
                    </w:rPr>
                    <w:t>农民养殖专业合作社</w:t>
                  </w:r>
                  <w:r>
                    <w:rPr>
                      <w:rFonts w:hint="default"/>
                      <w:sz w:val="21"/>
                      <w:szCs w:val="21"/>
                      <w:lang w:val="en-US" w:eastAsia="zh-CN"/>
                    </w:rPr>
                    <w:t>已编制突发环境事件应急预案，</w:t>
                  </w:r>
                  <w:r>
                    <w:rPr>
                      <w:rFonts w:hint="eastAsia"/>
                      <w:sz w:val="21"/>
                      <w:szCs w:val="21"/>
                      <w:lang w:val="en-US" w:eastAsia="zh-CN"/>
                    </w:rPr>
                    <w:t>2024年8月30日</w:t>
                  </w:r>
                  <w:r>
                    <w:rPr>
                      <w:rFonts w:hint="default"/>
                      <w:sz w:val="21"/>
                      <w:szCs w:val="21"/>
                      <w:lang w:val="en-US" w:eastAsia="zh-CN"/>
                    </w:rPr>
                    <w:t>，于</w:t>
                  </w:r>
                  <w:r>
                    <w:rPr>
                      <w:rFonts w:hint="eastAsia"/>
                      <w:sz w:val="21"/>
                      <w:szCs w:val="21"/>
                      <w:lang w:val="en-US" w:eastAsia="zh-CN"/>
                    </w:rPr>
                    <w:t>喀什地区生态环境局伽师县分局</w:t>
                  </w:r>
                  <w:r>
                    <w:rPr>
                      <w:rFonts w:hint="default"/>
                      <w:sz w:val="21"/>
                      <w:szCs w:val="21"/>
                      <w:lang w:val="en-US" w:eastAsia="zh-CN"/>
                    </w:rPr>
                    <w:t>完成备案，备案编号为：</w:t>
                  </w:r>
                  <w:r>
                    <w:rPr>
                      <w:rFonts w:hint="eastAsia"/>
                      <w:sz w:val="21"/>
                      <w:szCs w:val="21"/>
                      <w:lang w:val="en-US" w:eastAsia="zh-CN"/>
                    </w:rPr>
                    <w:t>653129-2024-007-L</w:t>
                  </w:r>
                  <w:r>
                    <w:rPr>
                      <w:rFonts w:hint="default"/>
                      <w:sz w:val="21"/>
                      <w:szCs w:val="21"/>
                      <w:lang w:val="en-US" w:eastAsia="zh-CN"/>
                    </w:rPr>
                    <w:t>。</w:t>
                  </w:r>
                  <w:r>
                    <w:rPr>
                      <w:rFonts w:hint="default"/>
                      <w:sz w:val="21"/>
                      <w:szCs w:val="21"/>
                      <w:lang w:eastAsia="zh-CN"/>
                    </w:rPr>
                    <w:t>每年开展一次应急演练工作。</w:t>
                  </w:r>
                </w:p>
              </w:tc>
            </w:tr>
            <w:tr w14:paraId="1C63583C">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700" w:type="dxa"/>
                  <w:tcBorders>
                    <w:right w:val="single" w:color="auto" w:sz="4" w:space="0"/>
                  </w:tcBorders>
                  <w:noWrap w:val="0"/>
                  <w:vAlign w:val="center"/>
                </w:tcPr>
                <w:p w14:paraId="1DC08E04">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排污许可</w:t>
                  </w:r>
                </w:p>
              </w:tc>
              <w:tc>
                <w:tcPr>
                  <w:tcW w:w="2558" w:type="dxa"/>
                  <w:tcBorders>
                    <w:left w:val="single" w:color="auto" w:sz="4" w:space="0"/>
                    <w:right w:val="single" w:color="auto" w:sz="4" w:space="0"/>
                  </w:tcBorders>
                  <w:noWrap w:val="0"/>
                  <w:vAlign w:val="center"/>
                </w:tcPr>
                <w:p w14:paraId="24DB4C06">
                  <w:pPr>
                    <w:keepNext w:val="0"/>
                    <w:keepLines w:val="0"/>
                    <w:pageBreakBefore w:val="0"/>
                    <w:widowControl w:val="0"/>
                    <w:kinsoku/>
                    <w:wordWrap/>
                    <w:overflowPunct/>
                    <w:topLinePunct w:val="0"/>
                    <w:autoSpaceDE/>
                    <w:autoSpaceDN/>
                    <w:bidi w:val="0"/>
                    <w:adjustRightInd w:val="0"/>
                    <w:snapToGrid/>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根据《固定污染源排污许可分类管理名录》（2019年版），该项目属于排污许可证类别为简化。应在项目环保设施竣工验收前，在全国排污许可证管理信息平台申领排污许可证，登记基本信息、污染物排放去向、执行的污染物排放标准以及采取的污染防治措施等信息。</w:t>
                  </w:r>
                </w:p>
              </w:tc>
              <w:tc>
                <w:tcPr>
                  <w:tcW w:w="2584" w:type="dxa"/>
                  <w:tcBorders>
                    <w:left w:val="single" w:color="auto" w:sz="4" w:space="0"/>
                  </w:tcBorders>
                  <w:noWrap w:val="0"/>
                  <w:vAlign w:val="center"/>
                </w:tcPr>
                <w:p w14:paraId="4AF3B255">
                  <w:pPr>
                    <w:keepNext w:val="0"/>
                    <w:keepLines w:val="0"/>
                    <w:pageBreakBefore w:val="0"/>
                    <w:widowControl w:val="0"/>
                    <w:kinsoku/>
                    <w:wordWrap/>
                    <w:overflowPunct/>
                    <w:topLinePunct w:val="0"/>
                    <w:autoSpaceDE/>
                    <w:autoSpaceDN/>
                    <w:bidi w:val="0"/>
                    <w:adjustRightInd w:val="0"/>
                    <w:snapToGrid/>
                    <w:ind w:firstLine="420" w:firstLineChars="200"/>
                    <w:jc w:val="both"/>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应尽快申报办理相关排污许可证手续，排污许可证申请及 核发按《排污许可证管理条例》、《排污许可证管理办法》执行。</w:t>
                  </w:r>
                </w:p>
              </w:tc>
              <w:tc>
                <w:tcPr>
                  <w:tcW w:w="2962" w:type="dxa"/>
                  <w:noWrap w:val="0"/>
                  <w:vAlign w:val="center"/>
                </w:tcPr>
                <w:p w14:paraId="17E4EB60">
                  <w:pPr>
                    <w:keepNext w:val="0"/>
                    <w:keepLines w:val="0"/>
                    <w:pageBreakBefore w:val="0"/>
                    <w:widowControl w:val="0"/>
                    <w:kinsoku/>
                    <w:wordWrap/>
                    <w:overflowPunct/>
                    <w:topLinePunct w:val="0"/>
                    <w:autoSpaceDE/>
                    <w:autoSpaceDN/>
                    <w:bidi w:val="0"/>
                    <w:adjustRightInd w:val="0"/>
                    <w:snapToGrid/>
                    <w:ind w:firstLine="420" w:firstLineChars="200"/>
                    <w:jc w:val="left"/>
                    <w:textAlignment w:val="auto"/>
                    <w:rPr>
                      <w:rFonts w:hint="default"/>
                      <w:sz w:val="21"/>
                      <w:szCs w:val="21"/>
                      <w:lang w:eastAsia="zh-CN"/>
                    </w:rPr>
                  </w:pPr>
                  <w:r>
                    <w:rPr>
                      <w:rFonts w:hint="default"/>
                      <w:sz w:val="21"/>
                      <w:szCs w:val="21"/>
                      <w:lang w:eastAsia="zh-CN"/>
                    </w:rPr>
                    <w:t>已落实。伽师县嘉腾</w:t>
                  </w:r>
                  <w:r>
                    <w:rPr>
                      <w:rFonts w:hint="eastAsia"/>
                      <w:sz w:val="21"/>
                      <w:szCs w:val="21"/>
                      <w:lang w:val="en-US" w:eastAsia="zh-CN"/>
                    </w:rPr>
                    <w:t>农民养殖专业合作社</w:t>
                  </w:r>
                  <w:r>
                    <w:rPr>
                      <w:rFonts w:hint="default"/>
                      <w:sz w:val="21"/>
                      <w:szCs w:val="21"/>
                      <w:lang w:eastAsia="zh-CN"/>
                    </w:rPr>
                    <w:t>于202</w:t>
                  </w:r>
                  <w:r>
                    <w:rPr>
                      <w:rFonts w:hint="eastAsia"/>
                      <w:sz w:val="21"/>
                      <w:szCs w:val="21"/>
                      <w:lang w:val="en-US" w:eastAsia="zh-CN"/>
                    </w:rPr>
                    <w:t>3</w:t>
                  </w:r>
                  <w:r>
                    <w:rPr>
                      <w:rFonts w:hint="default"/>
                      <w:sz w:val="21"/>
                      <w:szCs w:val="21"/>
                      <w:lang w:eastAsia="zh-CN"/>
                    </w:rPr>
                    <w:t>年</w:t>
                  </w:r>
                  <w:r>
                    <w:rPr>
                      <w:rFonts w:hint="eastAsia"/>
                      <w:sz w:val="21"/>
                      <w:szCs w:val="21"/>
                      <w:lang w:val="en-US" w:eastAsia="zh-CN"/>
                    </w:rPr>
                    <w:t>12</w:t>
                  </w:r>
                  <w:r>
                    <w:rPr>
                      <w:rFonts w:hint="default"/>
                      <w:sz w:val="21"/>
                      <w:szCs w:val="21"/>
                      <w:lang w:eastAsia="zh-CN"/>
                    </w:rPr>
                    <w:t>月</w:t>
                  </w:r>
                  <w:r>
                    <w:rPr>
                      <w:rFonts w:hint="eastAsia"/>
                      <w:sz w:val="21"/>
                      <w:szCs w:val="21"/>
                      <w:lang w:val="en-US" w:eastAsia="zh-CN"/>
                    </w:rPr>
                    <w:t>27</w:t>
                  </w:r>
                  <w:r>
                    <w:rPr>
                      <w:rFonts w:hint="default"/>
                      <w:sz w:val="21"/>
                      <w:szCs w:val="21"/>
                      <w:lang w:eastAsia="zh-CN"/>
                    </w:rPr>
                    <w:t>日办理排污许可（</w:t>
                  </w:r>
                  <w:r>
                    <w:rPr>
                      <w:rFonts w:hint="eastAsia"/>
                      <w:sz w:val="21"/>
                      <w:szCs w:val="21"/>
                      <w:lang w:eastAsia="zh-CN"/>
                    </w:rPr>
                    <w:t>简化管理</w:t>
                  </w:r>
                  <w:r>
                    <w:rPr>
                      <w:rFonts w:hint="default"/>
                      <w:sz w:val="21"/>
                      <w:szCs w:val="21"/>
                      <w:lang w:eastAsia="zh-CN"/>
                    </w:rPr>
                    <w:t>，</w:t>
                  </w:r>
                  <w:r>
                    <w:rPr>
                      <w:rFonts w:hint="eastAsia"/>
                      <w:sz w:val="21"/>
                      <w:szCs w:val="21"/>
                      <w:lang w:eastAsia="zh-CN"/>
                    </w:rPr>
                    <w:t>证书编号：</w:t>
                  </w:r>
                  <w:r>
                    <w:rPr>
                      <w:rFonts w:hint="eastAsia"/>
                      <w:sz w:val="21"/>
                      <w:szCs w:val="21"/>
                      <w:lang w:val="en-US" w:eastAsia="zh-CN"/>
                    </w:rPr>
                    <w:t>93653129MA78XWDX71001Q</w:t>
                  </w:r>
                  <w:r>
                    <w:rPr>
                      <w:rFonts w:hint="eastAsia"/>
                      <w:sz w:val="21"/>
                      <w:szCs w:val="21"/>
                      <w:lang w:eastAsia="zh-CN"/>
                    </w:rPr>
                    <w:t>，</w:t>
                  </w:r>
                  <w:r>
                    <w:rPr>
                      <w:rFonts w:hint="default"/>
                      <w:sz w:val="21"/>
                      <w:szCs w:val="21"/>
                      <w:lang w:eastAsia="zh-CN"/>
                    </w:rPr>
                    <w:t>有效期至</w:t>
                  </w:r>
                  <w:r>
                    <w:rPr>
                      <w:rFonts w:hint="eastAsia"/>
                      <w:sz w:val="21"/>
                      <w:szCs w:val="21"/>
                      <w:lang w:eastAsia="zh-CN"/>
                    </w:rPr>
                    <w:t>20</w:t>
                  </w:r>
                  <w:r>
                    <w:rPr>
                      <w:rFonts w:hint="eastAsia"/>
                      <w:sz w:val="21"/>
                      <w:szCs w:val="21"/>
                      <w:lang w:val="en-US" w:eastAsia="zh-CN"/>
                    </w:rPr>
                    <w:t>28</w:t>
                  </w:r>
                  <w:r>
                    <w:rPr>
                      <w:rFonts w:hint="eastAsia"/>
                      <w:sz w:val="21"/>
                      <w:szCs w:val="21"/>
                      <w:lang w:eastAsia="zh-CN"/>
                    </w:rPr>
                    <w:t>年</w:t>
                  </w:r>
                  <w:r>
                    <w:rPr>
                      <w:rFonts w:hint="eastAsia"/>
                      <w:sz w:val="21"/>
                      <w:szCs w:val="21"/>
                      <w:lang w:val="en-US" w:eastAsia="zh-CN"/>
                    </w:rPr>
                    <w:t>12</w:t>
                  </w:r>
                  <w:r>
                    <w:rPr>
                      <w:rFonts w:hint="eastAsia"/>
                      <w:sz w:val="21"/>
                      <w:szCs w:val="21"/>
                      <w:lang w:eastAsia="zh-CN"/>
                    </w:rPr>
                    <w:t>月2</w:t>
                  </w:r>
                  <w:r>
                    <w:rPr>
                      <w:rFonts w:hint="eastAsia"/>
                      <w:sz w:val="21"/>
                      <w:szCs w:val="21"/>
                      <w:lang w:val="en-US" w:eastAsia="zh-CN"/>
                    </w:rPr>
                    <w:t>6</w:t>
                  </w:r>
                  <w:r>
                    <w:rPr>
                      <w:rFonts w:hint="eastAsia"/>
                      <w:sz w:val="21"/>
                      <w:szCs w:val="21"/>
                      <w:lang w:eastAsia="zh-CN"/>
                    </w:rPr>
                    <w:t>日</w:t>
                  </w:r>
                  <w:r>
                    <w:rPr>
                      <w:rFonts w:hint="default"/>
                      <w:sz w:val="21"/>
                      <w:szCs w:val="21"/>
                      <w:lang w:eastAsia="zh-CN"/>
                    </w:rPr>
                    <w:t>）</w:t>
                  </w:r>
                  <w:r>
                    <w:rPr>
                      <w:rFonts w:hint="default"/>
                      <w:sz w:val="21"/>
                      <w:szCs w:val="21"/>
                      <w:lang w:val="en-US" w:eastAsia="zh-CN"/>
                    </w:rPr>
                    <w:t>，</w:t>
                  </w:r>
                  <w:r>
                    <w:rPr>
                      <w:rFonts w:hint="default"/>
                      <w:sz w:val="21"/>
                      <w:szCs w:val="21"/>
                      <w:lang w:eastAsia="zh-CN"/>
                    </w:rPr>
                    <w:t>已将本项目纳入排污许可管理</w:t>
                  </w:r>
                  <w:r>
                    <w:rPr>
                      <w:rFonts w:hint="default"/>
                      <w:sz w:val="21"/>
                      <w:szCs w:val="21"/>
                      <w:lang w:val="en-US" w:eastAsia="zh-CN"/>
                    </w:rPr>
                    <w:t>。</w:t>
                  </w:r>
                  <w:r>
                    <w:rPr>
                      <w:rFonts w:hint="default"/>
                      <w:sz w:val="21"/>
                      <w:szCs w:val="21"/>
                      <w:lang w:eastAsia="zh-CN"/>
                    </w:rPr>
                    <w:t>建设单位定期委托检测机构开展</w:t>
                  </w:r>
                  <w:r>
                    <w:rPr>
                      <w:rFonts w:hint="default"/>
                      <w:sz w:val="21"/>
                      <w:szCs w:val="21"/>
                      <w:lang w:val="en-US" w:eastAsia="zh-CN"/>
                    </w:rPr>
                    <w:t>自行</w:t>
                  </w:r>
                  <w:r>
                    <w:rPr>
                      <w:rFonts w:hint="default"/>
                      <w:sz w:val="21"/>
                      <w:szCs w:val="21"/>
                      <w:lang w:eastAsia="zh-CN"/>
                    </w:rPr>
                    <w:t>监测工作，最终报当地生态环境主管部门备案。</w:t>
                  </w:r>
                </w:p>
                <w:p w14:paraId="3BA95024">
                  <w:pPr>
                    <w:keepNext w:val="0"/>
                    <w:keepLines w:val="0"/>
                    <w:pageBreakBefore w:val="0"/>
                    <w:widowControl w:val="0"/>
                    <w:kinsoku/>
                    <w:wordWrap/>
                    <w:overflowPunct/>
                    <w:topLinePunct w:val="0"/>
                    <w:autoSpaceDE/>
                    <w:autoSpaceDN/>
                    <w:bidi w:val="0"/>
                    <w:adjustRightInd w:val="0"/>
                    <w:snapToGrid/>
                    <w:ind w:firstLine="422" w:firstLineChars="200"/>
                    <w:jc w:val="left"/>
                    <w:textAlignment w:val="auto"/>
                    <w:rPr>
                      <w:rFonts w:hint="default" w:ascii="Times New Roman" w:hAnsi="Times New Roman" w:cs="Times New Roman"/>
                      <w:b/>
                      <w:bCs/>
                      <w:color w:val="auto"/>
                      <w:sz w:val="21"/>
                      <w:szCs w:val="21"/>
                      <w:highlight w:val="none"/>
                      <w:lang w:eastAsia="zh-CN"/>
                    </w:rPr>
                  </w:pPr>
                </w:p>
              </w:tc>
            </w:tr>
          </w:tbl>
          <w:p w14:paraId="6E0B7338">
            <w:pPr>
              <w:pStyle w:val="11"/>
              <w:numPr>
                <w:ilvl w:val="0"/>
                <w:numId w:val="0"/>
              </w:numPr>
              <w:ind w:leftChars="0" w:right="1470" w:rightChars="700" w:firstLine="560" w:firstLineChars="200"/>
              <w:rPr>
                <w:rFonts w:hint="default" w:ascii="Times New Roman" w:hAnsi="Times New Roman" w:eastAsia="宋体" w:cs="Times New Roman"/>
                <w:color w:val="auto"/>
                <w:sz w:val="28"/>
                <w:szCs w:val="28"/>
                <w:highlight w:val="none"/>
                <w:lang w:val="en-US" w:eastAsia="zh-CN"/>
              </w:rPr>
            </w:pPr>
          </w:p>
          <w:p w14:paraId="4DA01E27">
            <w:pPr>
              <w:pStyle w:val="11"/>
              <w:numPr>
                <w:ilvl w:val="0"/>
                <w:numId w:val="0"/>
              </w:numPr>
              <w:ind w:leftChars="0" w:right="1470" w:rightChars="700" w:firstLine="560" w:firstLineChars="200"/>
              <w:rPr>
                <w:rFonts w:hint="default" w:ascii="Times New Roman" w:hAnsi="Times New Roman" w:eastAsia="宋体" w:cs="Times New Roman"/>
                <w:color w:val="auto"/>
                <w:sz w:val="28"/>
                <w:szCs w:val="28"/>
                <w:highlight w:val="none"/>
                <w:lang w:val="en-US" w:eastAsia="zh-CN"/>
              </w:rPr>
            </w:pPr>
          </w:p>
          <w:p w14:paraId="173079DA">
            <w:pPr>
              <w:pStyle w:val="11"/>
              <w:numPr>
                <w:ilvl w:val="0"/>
                <w:numId w:val="0"/>
              </w:numPr>
              <w:ind w:leftChars="0" w:right="1470" w:rightChars="700" w:firstLine="560" w:firstLineChars="200"/>
              <w:rPr>
                <w:rFonts w:hint="default" w:ascii="Times New Roman" w:hAnsi="Times New Roman" w:eastAsia="宋体" w:cs="Times New Roman"/>
                <w:color w:val="auto"/>
                <w:sz w:val="28"/>
                <w:szCs w:val="28"/>
                <w:highlight w:val="none"/>
                <w:lang w:val="en-US" w:eastAsia="zh-CN"/>
              </w:rPr>
            </w:pPr>
          </w:p>
          <w:p w14:paraId="740582A7">
            <w:pPr>
              <w:pStyle w:val="11"/>
              <w:numPr>
                <w:ilvl w:val="0"/>
                <w:numId w:val="0"/>
              </w:numPr>
              <w:ind w:leftChars="0" w:right="1470" w:rightChars="700" w:firstLine="560" w:firstLineChars="200"/>
              <w:rPr>
                <w:rFonts w:hint="default" w:ascii="Times New Roman" w:hAnsi="Times New Roman" w:eastAsia="宋体" w:cs="Times New Roman"/>
                <w:color w:val="auto"/>
                <w:sz w:val="28"/>
                <w:szCs w:val="28"/>
                <w:highlight w:val="none"/>
                <w:lang w:val="en-US" w:eastAsia="zh-CN"/>
              </w:rPr>
            </w:pPr>
          </w:p>
          <w:p w14:paraId="633C2C34">
            <w:pPr>
              <w:pStyle w:val="11"/>
              <w:numPr>
                <w:ilvl w:val="0"/>
                <w:numId w:val="0"/>
              </w:numPr>
              <w:ind w:leftChars="0" w:right="1470" w:rightChars="700" w:firstLine="560" w:firstLineChars="200"/>
              <w:rPr>
                <w:rFonts w:hint="default" w:ascii="Times New Roman" w:hAnsi="Times New Roman" w:eastAsia="宋体" w:cs="Times New Roman"/>
                <w:color w:val="auto"/>
                <w:sz w:val="28"/>
                <w:szCs w:val="28"/>
                <w:highlight w:val="none"/>
                <w:lang w:val="en-US" w:eastAsia="zh-CN"/>
              </w:rPr>
            </w:pPr>
          </w:p>
          <w:p w14:paraId="229990DA">
            <w:pPr>
              <w:pStyle w:val="11"/>
              <w:numPr>
                <w:ilvl w:val="0"/>
                <w:numId w:val="0"/>
              </w:numPr>
              <w:ind w:leftChars="0" w:right="1470" w:rightChars="700" w:firstLine="560" w:firstLineChars="200"/>
              <w:rPr>
                <w:rFonts w:hint="default" w:ascii="Times New Roman" w:hAnsi="Times New Roman" w:eastAsia="宋体" w:cs="Times New Roman"/>
                <w:color w:val="auto"/>
                <w:sz w:val="28"/>
                <w:szCs w:val="28"/>
                <w:highlight w:val="none"/>
                <w:lang w:val="en-US" w:eastAsia="zh-CN"/>
              </w:rPr>
            </w:pPr>
          </w:p>
          <w:p w14:paraId="633124AA">
            <w:pPr>
              <w:pStyle w:val="11"/>
              <w:numPr>
                <w:ilvl w:val="0"/>
                <w:numId w:val="0"/>
              </w:numPr>
              <w:ind w:leftChars="0" w:right="1470" w:rightChars="700" w:firstLine="560" w:firstLineChars="200"/>
              <w:rPr>
                <w:rFonts w:hint="default" w:ascii="Times New Roman" w:hAnsi="Times New Roman" w:eastAsia="宋体" w:cs="Times New Roman"/>
                <w:color w:val="auto"/>
                <w:sz w:val="28"/>
                <w:szCs w:val="28"/>
                <w:highlight w:val="none"/>
                <w:lang w:val="en-US" w:eastAsia="zh-CN"/>
              </w:rPr>
            </w:pPr>
          </w:p>
          <w:p w14:paraId="2439585A">
            <w:pPr>
              <w:pStyle w:val="11"/>
              <w:numPr>
                <w:ilvl w:val="0"/>
                <w:numId w:val="0"/>
              </w:numPr>
              <w:ind w:leftChars="0" w:right="1470" w:rightChars="700" w:firstLine="560" w:firstLineChars="200"/>
              <w:rPr>
                <w:rFonts w:hint="default" w:ascii="Times New Roman" w:hAnsi="Times New Roman" w:eastAsia="宋体" w:cs="Times New Roman"/>
                <w:color w:val="auto"/>
                <w:sz w:val="28"/>
                <w:szCs w:val="28"/>
                <w:highlight w:val="none"/>
                <w:lang w:val="en-US" w:eastAsia="zh-CN"/>
              </w:rPr>
            </w:pPr>
          </w:p>
          <w:p w14:paraId="1480D608">
            <w:pPr>
              <w:pStyle w:val="11"/>
              <w:numPr>
                <w:ilvl w:val="0"/>
                <w:numId w:val="0"/>
              </w:numPr>
              <w:ind w:leftChars="0" w:right="1470" w:rightChars="700" w:firstLine="560" w:firstLineChars="200"/>
              <w:rPr>
                <w:rFonts w:hint="default" w:ascii="Times New Roman" w:hAnsi="Times New Roman" w:eastAsia="宋体" w:cs="Times New Roman"/>
                <w:color w:val="auto"/>
                <w:sz w:val="28"/>
                <w:szCs w:val="28"/>
                <w:highlight w:val="none"/>
                <w:lang w:val="en-US" w:eastAsia="zh-CN"/>
              </w:rPr>
            </w:pPr>
          </w:p>
          <w:p w14:paraId="2B4AA371">
            <w:pPr>
              <w:pStyle w:val="11"/>
              <w:numPr>
                <w:ilvl w:val="0"/>
                <w:numId w:val="0"/>
              </w:numPr>
              <w:ind w:leftChars="0" w:right="1470" w:rightChars="700" w:firstLine="560" w:firstLineChars="200"/>
              <w:rPr>
                <w:rFonts w:hint="default" w:ascii="Times New Roman" w:hAnsi="Times New Roman" w:eastAsia="宋体" w:cs="Times New Roman"/>
                <w:color w:val="auto"/>
                <w:sz w:val="28"/>
                <w:szCs w:val="28"/>
                <w:highlight w:val="none"/>
                <w:lang w:val="en-US" w:eastAsia="zh-CN"/>
              </w:rPr>
            </w:pPr>
          </w:p>
          <w:p w14:paraId="75C1A579">
            <w:pPr>
              <w:pStyle w:val="11"/>
              <w:numPr>
                <w:ilvl w:val="0"/>
                <w:numId w:val="0"/>
              </w:numPr>
              <w:ind w:leftChars="0" w:right="1470" w:rightChars="700" w:firstLine="560" w:firstLineChars="200"/>
              <w:rPr>
                <w:rFonts w:hint="default" w:ascii="Times New Roman" w:hAnsi="Times New Roman" w:eastAsia="宋体" w:cs="Times New Roman"/>
                <w:color w:val="auto"/>
                <w:sz w:val="28"/>
                <w:szCs w:val="28"/>
                <w:highlight w:val="none"/>
                <w:lang w:val="en-US" w:eastAsia="zh-CN"/>
              </w:rPr>
            </w:pPr>
          </w:p>
          <w:p w14:paraId="4CB20BAF">
            <w:pPr>
              <w:pStyle w:val="11"/>
              <w:numPr>
                <w:ilvl w:val="0"/>
                <w:numId w:val="0"/>
              </w:numPr>
              <w:ind w:leftChars="0" w:right="1470" w:rightChars="700" w:firstLine="560" w:firstLineChars="200"/>
              <w:rPr>
                <w:rFonts w:hint="default" w:ascii="Times New Roman" w:hAnsi="Times New Roman" w:eastAsia="宋体" w:cs="Times New Roman"/>
                <w:color w:val="auto"/>
                <w:sz w:val="28"/>
                <w:szCs w:val="28"/>
                <w:highlight w:val="none"/>
                <w:lang w:val="en-US" w:eastAsia="zh-CN"/>
              </w:rPr>
            </w:pPr>
          </w:p>
          <w:p w14:paraId="45B388F6">
            <w:pPr>
              <w:pStyle w:val="11"/>
              <w:numPr>
                <w:ilvl w:val="0"/>
                <w:numId w:val="0"/>
              </w:numPr>
              <w:ind w:leftChars="0" w:right="1470" w:rightChars="700" w:firstLine="560" w:firstLineChars="200"/>
              <w:rPr>
                <w:rFonts w:hint="default" w:ascii="Times New Roman" w:hAnsi="Times New Roman" w:eastAsia="宋体" w:cs="Times New Roman"/>
                <w:color w:val="auto"/>
                <w:sz w:val="28"/>
                <w:szCs w:val="28"/>
                <w:highlight w:val="none"/>
                <w:lang w:val="en-US" w:eastAsia="zh-CN"/>
              </w:rPr>
            </w:pPr>
          </w:p>
          <w:p w14:paraId="06D046E5">
            <w:pPr>
              <w:pStyle w:val="11"/>
              <w:numPr>
                <w:ilvl w:val="0"/>
                <w:numId w:val="0"/>
              </w:numPr>
              <w:ind w:leftChars="0" w:right="1470" w:rightChars="700" w:firstLine="560" w:firstLineChars="200"/>
              <w:rPr>
                <w:rFonts w:hint="default" w:ascii="Times New Roman" w:hAnsi="Times New Roman" w:eastAsia="宋体" w:cs="Times New Roman"/>
                <w:color w:val="auto"/>
                <w:sz w:val="28"/>
                <w:szCs w:val="28"/>
                <w:highlight w:val="none"/>
                <w:lang w:val="en-US" w:eastAsia="zh-CN"/>
              </w:rPr>
            </w:pPr>
          </w:p>
          <w:p w14:paraId="56D44A5D">
            <w:pPr>
              <w:pStyle w:val="11"/>
              <w:numPr>
                <w:ilvl w:val="0"/>
                <w:numId w:val="0"/>
              </w:numPr>
              <w:ind w:leftChars="0" w:right="1470" w:rightChars="700" w:firstLine="560" w:firstLineChars="200"/>
              <w:rPr>
                <w:rFonts w:hint="default" w:ascii="Times New Roman" w:hAnsi="Times New Roman" w:eastAsia="宋体" w:cs="Times New Roman"/>
                <w:color w:val="auto"/>
                <w:sz w:val="28"/>
                <w:szCs w:val="28"/>
                <w:highlight w:val="none"/>
                <w:lang w:val="en-US" w:eastAsia="zh-CN"/>
              </w:rPr>
            </w:pPr>
          </w:p>
        </w:tc>
      </w:tr>
    </w:tbl>
    <w:p w14:paraId="028D563E">
      <w:pPr>
        <w:pStyle w:val="11"/>
        <w:spacing w:after="0"/>
        <w:ind w:left="0" w:leftChars="0" w:right="0" w:rightChars="0" w:firstLine="0" w:firstLineChars="0"/>
        <w:jc w:val="left"/>
        <w:rPr>
          <w:rStyle w:val="18"/>
          <w:rFonts w:hint="default" w:ascii="Times New Roman" w:hAnsi="Times New Roman" w:cs="Times New Roman"/>
          <w:color w:val="auto"/>
          <w:sz w:val="28"/>
          <w:szCs w:val="28"/>
          <w:highlight w:val="none"/>
          <w:lang w:val="en-US" w:eastAsia="zh-CN"/>
        </w:rPr>
      </w:pPr>
    </w:p>
    <w:p w14:paraId="0D216766">
      <w:pPr>
        <w:snapToGrid w:val="0"/>
        <w:outlineLvl w:val="0"/>
        <w:rPr>
          <w:rStyle w:val="18"/>
          <w:rFonts w:hint="default" w:ascii="Times New Roman" w:hAnsi="Times New Roman" w:cs="Times New Roman"/>
          <w:color w:val="auto"/>
          <w:highlight w:val="none"/>
        </w:rPr>
      </w:pPr>
      <w:bookmarkStart w:id="22" w:name="_Toc15002"/>
      <w:r>
        <w:rPr>
          <w:rStyle w:val="18"/>
          <w:rFonts w:hint="default" w:ascii="Times New Roman" w:hAnsi="Times New Roman" w:cs="Times New Roman"/>
          <w:color w:val="auto"/>
          <w:sz w:val="28"/>
          <w:szCs w:val="28"/>
          <w:highlight w:val="none"/>
        </w:rPr>
        <w:t>表九  验收监测结论及建议</w:t>
      </w:r>
      <w:bookmarkEnd w:id="22"/>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1E6EB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139A7D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依据该项目环评和批复要求以及现状调查情况，该项目基本满足“三同时”制度要求，</w:t>
            </w:r>
            <w:r>
              <w:rPr>
                <w:rFonts w:hint="eastAsia" w:ascii="宋体" w:hAnsi="宋体" w:eastAsia="宋体" w:cs="宋体"/>
                <w:color w:val="auto"/>
                <w:sz w:val="24"/>
                <w:szCs w:val="24"/>
                <w:highlight w:val="none"/>
                <w:lang w:eastAsia="zh-CN"/>
              </w:rPr>
              <w:t>建议通过</w:t>
            </w:r>
            <w:r>
              <w:rPr>
                <w:rFonts w:hint="eastAsia" w:ascii="宋体" w:hAnsi="宋体" w:eastAsia="宋体" w:cs="宋体"/>
                <w:color w:val="auto"/>
                <w:sz w:val="24"/>
                <w:szCs w:val="24"/>
                <w:highlight w:val="none"/>
              </w:rPr>
              <w:t>竣工环境保护验收。</w:t>
            </w:r>
          </w:p>
          <w:p w14:paraId="0FF401F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9.</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建议</w:t>
            </w:r>
          </w:p>
          <w:p w14:paraId="5E7EA75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根据《危险废物贮存污染控制标准》（GB18597-2023）、《一般工业固体废物贮存和填埋污染控制标准》（GB18599-2020），严格管理危险废物及一般工业固废，定期申报危废管理计划，认真做好出、入库登记、转移联单等工作。</w:t>
            </w:r>
          </w:p>
          <w:p w14:paraId="0D782EB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定期开展突发环境事件应急预案的培训及演练</w:t>
            </w:r>
            <w:r>
              <w:rPr>
                <w:rFonts w:hint="eastAsia" w:ascii="宋体" w:hAnsi="宋体" w:eastAsia="宋体" w:cs="宋体"/>
                <w:color w:val="auto"/>
                <w:sz w:val="24"/>
                <w:szCs w:val="24"/>
                <w:lang w:eastAsia="zh-CN"/>
              </w:rPr>
              <w:t>，落实各项风险防范措施，保证区域环境安全。</w:t>
            </w:r>
          </w:p>
          <w:p w14:paraId="6ABAB34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）定期对环保设施进行检查维护，测量并记录确保污染物达标排放。</w:t>
            </w:r>
          </w:p>
          <w:p w14:paraId="4053366B">
            <w:pPr>
              <w:pStyle w:val="11"/>
              <w:rPr>
                <w:rFonts w:hint="default" w:ascii="Times New Roman" w:hAnsi="Times New Roman" w:cs="Times New Roman"/>
                <w:color w:val="auto"/>
                <w:sz w:val="28"/>
                <w:szCs w:val="28"/>
                <w:lang w:eastAsia="zh-CN"/>
              </w:rPr>
            </w:pPr>
          </w:p>
          <w:p w14:paraId="0FA3C13F">
            <w:pPr>
              <w:pStyle w:val="11"/>
              <w:rPr>
                <w:rFonts w:hint="default" w:ascii="Times New Roman" w:hAnsi="Times New Roman" w:cs="Times New Roman"/>
                <w:color w:val="auto"/>
                <w:sz w:val="28"/>
                <w:szCs w:val="28"/>
                <w:lang w:eastAsia="zh-CN"/>
              </w:rPr>
            </w:pPr>
          </w:p>
          <w:p w14:paraId="36EC15C4">
            <w:pPr>
              <w:pStyle w:val="11"/>
              <w:rPr>
                <w:rFonts w:hint="default" w:ascii="Times New Roman" w:hAnsi="Times New Roman" w:cs="Times New Roman"/>
                <w:color w:val="auto"/>
                <w:sz w:val="28"/>
                <w:szCs w:val="28"/>
                <w:lang w:eastAsia="zh-CN"/>
              </w:rPr>
            </w:pPr>
          </w:p>
          <w:p w14:paraId="5B846348">
            <w:pPr>
              <w:pStyle w:val="11"/>
              <w:rPr>
                <w:rFonts w:hint="default" w:ascii="Times New Roman" w:hAnsi="Times New Roman" w:cs="Times New Roman"/>
                <w:color w:val="auto"/>
                <w:sz w:val="28"/>
                <w:szCs w:val="28"/>
                <w:lang w:eastAsia="zh-CN"/>
              </w:rPr>
            </w:pPr>
          </w:p>
          <w:p w14:paraId="75A1C613">
            <w:pPr>
              <w:pStyle w:val="11"/>
              <w:rPr>
                <w:rFonts w:hint="default" w:ascii="Times New Roman" w:hAnsi="Times New Roman" w:cs="Times New Roman"/>
                <w:color w:val="auto"/>
                <w:sz w:val="28"/>
                <w:szCs w:val="28"/>
                <w:lang w:eastAsia="zh-CN"/>
              </w:rPr>
            </w:pPr>
          </w:p>
          <w:p w14:paraId="3916AFF5">
            <w:pPr>
              <w:pStyle w:val="11"/>
              <w:rPr>
                <w:rFonts w:hint="default" w:ascii="Times New Roman" w:hAnsi="Times New Roman" w:cs="Times New Roman"/>
                <w:color w:val="auto"/>
                <w:sz w:val="28"/>
                <w:szCs w:val="28"/>
                <w:lang w:eastAsia="zh-CN"/>
              </w:rPr>
            </w:pPr>
          </w:p>
          <w:p w14:paraId="122B3D46">
            <w:pPr>
              <w:pStyle w:val="11"/>
              <w:rPr>
                <w:rFonts w:hint="default" w:ascii="Times New Roman" w:hAnsi="Times New Roman" w:cs="Times New Roman"/>
                <w:color w:val="auto"/>
                <w:sz w:val="28"/>
                <w:szCs w:val="28"/>
                <w:lang w:eastAsia="zh-CN"/>
              </w:rPr>
            </w:pPr>
          </w:p>
          <w:p w14:paraId="56BA356A">
            <w:pPr>
              <w:pStyle w:val="11"/>
              <w:rPr>
                <w:rFonts w:hint="default" w:ascii="Times New Roman" w:hAnsi="Times New Roman" w:cs="Times New Roman"/>
                <w:color w:val="auto"/>
                <w:sz w:val="28"/>
                <w:szCs w:val="28"/>
                <w:lang w:eastAsia="zh-CN"/>
              </w:rPr>
            </w:pPr>
          </w:p>
          <w:p w14:paraId="0735E1DD">
            <w:pPr>
              <w:pStyle w:val="11"/>
              <w:rPr>
                <w:rFonts w:hint="default" w:ascii="Times New Roman" w:hAnsi="Times New Roman" w:cs="Times New Roman"/>
                <w:color w:val="auto"/>
                <w:sz w:val="28"/>
                <w:szCs w:val="28"/>
                <w:lang w:eastAsia="zh-CN"/>
              </w:rPr>
            </w:pPr>
          </w:p>
          <w:p w14:paraId="2A281DF4">
            <w:pPr>
              <w:pStyle w:val="11"/>
              <w:rPr>
                <w:rFonts w:hint="default" w:ascii="Times New Roman" w:hAnsi="Times New Roman" w:cs="Times New Roman"/>
                <w:color w:val="auto"/>
                <w:sz w:val="28"/>
                <w:szCs w:val="28"/>
                <w:lang w:eastAsia="zh-CN"/>
              </w:rPr>
            </w:pPr>
          </w:p>
          <w:p w14:paraId="207472B4">
            <w:pPr>
              <w:pStyle w:val="11"/>
              <w:rPr>
                <w:rFonts w:hint="default" w:ascii="Times New Roman" w:hAnsi="Times New Roman" w:cs="Times New Roman"/>
                <w:color w:val="auto"/>
                <w:sz w:val="28"/>
                <w:szCs w:val="28"/>
                <w:lang w:eastAsia="zh-CN"/>
              </w:rPr>
            </w:pPr>
          </w:p>
          <w:p w14:paraId="57D8D0D2">
            <w:pPr>
              <w:pStyle w:val="11"/>
              <w:spacing w:after="0"/>
              <w:ind w:left="0" w:leftChars="0" w:right="0" w:rightChars="0" w:firstLine="0" w:firstLineChars="0"/>
              <w:jc w:val="left"/>
              <w:rPr>
                <w:rStyle w:val="18"/>
                <w:rFonts w:hint="default" w:ascii="Times New Roman" w:hAnsi="Times New Roman" w:cs="Times New Roman"/>
                <w:color w:val="auto"/>
                <w:sz w:val="28"/>
                <w:szCs w:val="28"/>
                <w:highlight w:val="none"/>
                <w:vertAlign w:val="baseline"/>
                <w:lang w:val="en-US" w:eastAsia="zh-CN"/>
              </w:rPr>
            </w:pPr>
          </w:p>
        </w:tc>
      </w:tr>
    </w:tbl>
    <w:p w14:paraId="336F0487">
      <w:pPr>
        <w:pStyle w:val="11"/>
        <w:spacing w:after="0"/>
        <w:ind w:left="0" w:leftChars="0" w:right="0" w:rightChars="0" w:firstLine="0" w:firstLineChars="0"/>
        <w:jc w:val="left"/>
        <w:rPr>
          <w:rStyle w:val="18"/>
          <w:rFonts w:hint="default" w:ascii="Times New Roman" w:hAnsi="Times New Roman" w:cs="Times New Roman"/>
          <w:color w:val="auto"/>
          <w:sz w:val="28"/>
          <w:szCs w:val="28"/>
          <w:highlight w:val="none"/>
          <w:lang w:val="en-US" w:eastAsia="zh-CN"/>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0225C">
    <w:pPr>
      <w:pStyle w:val="13"/>
      <w:tabs>
        <w:tab w:val="clear" w:pos="4153"/>
      </w:tabs>
      <w:jc w:val="center"/>
      <w:rPr>
        <w:rFonts w:hint="default"/>
        <w:lang w:val="en-US" w:eastAsia="zh-CN"/>
      </w:rPr>
    </w:pPr>
  </w:p>
  <w:p w14:paraId="48EECC51">
    <w:pPr>
      <w:pStyle w:val="13"/>
      <w:tabs>
        <w:tab w:val="clear" w:pos="4153"/>
      </w:tabs>
      <w:jc w:val="center"/>
    </w:pPr>
    <w:r>
      <w:rPr>
        <w:rFonts w:hint="default"/>
        <w:lang w:val="en-US" w:eastAsia="zh-CN"/>
      </w:rPr>
      <w:t>伽师县嘉腾养殖农民专业合作社屠宰加工</w:t>
    </w:r>
    <w:r>
      <w:rPr>
        <w:rFonts w:hint="eastAsia"/>
        <w:lang w:val="en-US" w:eastAsia="zh-CN"/>
      </w:rPr>
      <w:t>厂</w:t>
    </w:r>
    <w:r>
      <w:rPr>
        <w:rFonts w:hint="default"/>
        <w:lang w:val="en-US" w:eastAsia="zh-CN"/>
      </w:rPr>
      <w:t>建设项目</w:t>
    </w:r>
    <w:r>
      <w:rPr>
        <w:rFonts w:hint="eastAsia"/>
        <w:lang w:eastAsia="zh-CN"/>
      </w:rPr>
      <w:t>竣工环保验收监测报告表</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E90498"/>
    <w:multiLevelType w:val="singleLevel"/>
    <w:tmpl w:val="D6E90498"/>
    <w:lvl w:ilvl="0" w:tentative="0">
      <w:start w:val="1"/>
      <w:numFmt w:val="decimal"/>
      <w:suff w:val="nothing"/>
      <w:lvlText w:val="（%1）"/>
      <w:lvlJc w:val="left"/>
    </w:lvl>
  </w:abstractNum>
  <w:abstractNum w:abstractNumId="1">
    <w:nsid w:val="10FA2ED4"/>
    <w:multiLevelType w:val="singleLevel"/>
    <w:tmpl w:val="10FA2ED4"/>
    <w:lvl w:ilvl="0" w:tentative="0">
      <w:start w:val="1"/>
      <w:numFmt w:val="decimal"/>
      <w:suff w:val="nothing"/>
      <w:lvlText w:val="（%1）"/>
      <w:lvlJc w:val="left"/>
    </w:lvl>
  </w:abstractNum>
  <w:abstractNum w:abstractNumId="2">
    <w:nsid w:val="64C40344"/>
    <w:multiLevelType w:val="singleLevel"/>
    <w:tmpl w:val="64C40344"/>
    <w:lvl w:ilvl="0" w:tentative="0">
      <w:start w:val="1"/>
      <w:numFmt w:val="decimal"/>
      <w:suff w:val="nothing"/>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6E6B48"/>
    <w:rsid w:val="0D3E35B3"/>
    <w:rsid w:val="10B75426"/>
    <w:rsid w:val="1AEF7D72"/>
    <w:rsid w:val="1D3267CC"/>
    <w:rsid w:val="20DC4B90"/>
    <w:rsid w:val="23DE58D7"/>
    <w:rsid w:val="295B441B"/>
    <w:rsid w:val="2E7A15F6"/>
    <w:rsid w:val="371A7A05"/>
    <w:rsid w:val="37325C3A"/>
    <w:rsid w:val="3FFC34C1"/>
    <w:rsid w:val="445552E9"/>
    <w:rsid w:val="51A25D09"/>
    <w:rsid w:val="54700543"/>
    <w:rsid w:val="596D5A81"/>
    <w:rsid w:val="5CF255E0"/>
    <w:rsid w:val="5E9B2684"/>
    <w:rsid w:val="62E836AB"/>
    <w:rsid w:val="6630450B"/>
    <w:rsid w:val="6C1676F1"/>
    <w:rsid w:val="70A175EA"/>
    <w:rsid w:val="7E3144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18"/>
    <w:qFormat/>
    <w:uiPriority w:val="0"/>
    <w:pPr>
      <w:keepNext/>
      <w:keepLines/>
      <w:spacing w:before="340" w:beforeLines="0" w:beforeAutospacing="0" w:after="330" w:afterLines="0" w:afterAutospacing="0" w:line="576" w:lineRule="auto"/>
      <w:outlineLvl w:val="0"/>
    </w:pPr>
    <w:rPr>
      <w:b/>
      <w:kern w:val="44"/>
      <w:sz w:val="32"/>
      <w:szCs w:val="20"/>
    </w:rPr>
  </w:style>
  <w:style w:type="paragraph" w:styleId="4">
    <w:name w:val="heading 3"/>
    <w:basedOn w:val="1"/>
    <w:next w:val="1"/>
    <w:qFormat/>
    <w:uiPriority w:val="0"/>
    <w:pPr>
      <w:keepNext/>
      <w:keepLines/>
      <w:spacing w:before="260" w:beforeLines="0" w:beforeAutospacing="0" w:after="260" w:afterLines="0" w:afterAutospacing="0" w:line="413" w:lineRule="auto"/>
      <w:outlineLvl w:val="2"/>
    </w:pPr>
    <w:rPr>
      <w:b/>
      <w:sz w:val="32"/>
    </w:rPr>
  </w:style>
  <w:style w:type="paragraph" w:styleId="2">
    <w:name w:val="heading 4"/>
    <w:basedOn w:val="1"/>
    <w:next w:val="1"/>
    <w:unhideWhenUsed/>
    <w:qFormat/>
    <w:uiPriority w:val="0"/>
    <w:pPr>
      <w:keepNext/>
      <w:keepLines/>
      <w:widowControl/>
      <w:spacing w:line="360" w:lineRule="auto"/>
      <w:ind w:firstLine="640" w:firstLineChars="200"/>
      <w:outlineLvl w:val="3"/>
    </w:pPr>
    <w:rPr>
      <w:b/>
      <w:bCs/>
      <w:color w:val="000000"/>
      <w:sz w:val="28"/>
      <w:szCs w:val="28"/>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5">
    <w:name w:val="Normal Indent"/>
    <w:basedOn w:val="1"/>
    <w:next w:val="6"/>
    <w:qFormat/>
    <w:uiPriority w:val="0"/>
    <w:pPr>
      <w:widowControl/>
      <w:adjustRightInd w:val="0"/>
      <w:ind w:firstLine="420"/>
      <w:jc w:val="left"/>
      <w:textAlignment w:val="baseline"/>
    </w:pPr>
    <w:rPr>
      <w:rFonts w:ascii="Calibri" w:hAnsi="Calibri"/>
      <w:kern w:val="0"/>
      <w:sz w:val="24"/>
      <w:szCs w:val="20"/>
      <w:lang w:eastAsia="en-US" w:bidi="en-US"/>
    </w:rPr>
  </w:style>
  <w:style w:type="paragraph" w:styleId="6">
    <w:name w:val="toc 1"/>
    <w:basedOn w:val="1"/>
    <w:next w:val="1"/>
    <w:qFormat/>
    <w:uiPriority w:val="39"/>
    <w:pPr>
      <w:widowControl/>
      <w:tabs>
        <w:tab w:val="right" w:leader="dot" w:pos="8296"/>
      </w:tabs>
      <w:spacing w:before="100" w:beforeLines="0" w:after="100" w:afterLines="0" w:line="480" w:lineRule="auto"/>
      <w:jc w:val="center"/>
    </w:pPr>
    <w:rPr>
      <w:rFonts w:ascii="Calibri" w:hAnsi="宋体" w:cs="宋体"/>
      <w:b/>
      <w:bCs/>
      <w:kern w:val="0"/>
      <w:sz w:val="44"/>
      <w:szCs w:val="44"/>
    </w:rPr>
  </w:style>
  <w:style w:type="paragraph" w:styleId="7">
    <w:name w:val="caption"/>
    <w:basedOn w:val="1"/>
    <w:next w:val="1"/>
    <w:qFormat/>
    <w:uiPriority w:val="0"/>
    <w:pPr>
      <w:jc w:val="right"/>
    </w:pPr>
    <w:rPr>
      <w:rFonts w:eastAsia="黑体"/>
      <w:sz w:val="20"/>
    </w:rPr>
  </w:style>
  <w:style w:type="paragraph" w:styleId="8">
    <w:name w:val="Body Text"/>
    <w:basedOn w:val="1"/>
    <w:qFormat/>
    <w:uiPriority w:val="0"/>
    <w:pPr>
      <w:spacing w:line="400" w:lineRule="atLeast"/>
    </w:pPr>
    <w:rPr>
      <w:sz w:val="28"/>
    </w:rPr>
  </w:style>
  <w:style w:type="paragraph" w:styleId="9">
    <w:name w:val="Body Text Indent"/>
    <w:basedOn w:val="1"/>
    <w:next w:val="8"/>
    <w:semiHidden/>
    <w:qFormat/>
    <w:uiPriority w:val="0"/>
    <w:pPr>
      <w:ind w:firstLine="552"/>
    </w:pPr>
    <w:rPr>
      <w:rFonts w:ascii="华文中宋" w:hAnsi="华文中宋" w:eastAsia="华文中宋"/>
      <w:sz w:val="28"/>
    </w:rPr>
  </w:style>
  <w:style w:type="paragraph" w:styleId="10">
    <w:name w:val="List 2"/>
    <w:basedOn w:val="1"/>
    <w:qFormat/>
    <w:uiPriority w:val="0"/>
    <w:pPr>
      <w:ind w:left="100" w:leftChars="200" w:hanging="200" w:hangingChars="200"/>
      <w:contextualSpacing/>
    </w:pPr>
  </w:style>
  <w:style w:type="paragraph" w:styleId="11">
    <w:name w:val="Block Text"/>
    <w:basedOn w:val="1"/>
    <w:qFormat/>
    <w:uiPriority w:val="0"/>
    <w:pPr>
      <w:spacing w:after="120" w:afterLines="0" w:afterAutospacing="0"/>
      <w:ind w:left="1440" w:leftChars="700" w:rightChars="700"/>
    </w:p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Body Text 2"/>
    <w:basedOn w:val="1"/>
    <w:qFormat/>
    <w:uiPriority w:val="0"/>
    <w:pPr>
      <w:spacing w:after="120" w:line="480" w:lineRule="auto"/>
    </w:p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8">
    <w:name w:val="标题 1 字符"/>
    <w:link w:val="3"/>
    <w:autoRedefine/>
    <w:qFormat/>
    <w:uiPriority w:val="0"/>
    <w:rPr>
      <w:b/>
      <w:kern w:val="44"/>
      <w:sz w:val="32"/>
      <w:szCs w:val="20"/>
    </w:rPr>
  </w:style>
  <w:style w:type="paragraph" w:customStyle="1" w:styleId="19">
    <w:name w:val="正文（居中）"/>
    <w:basedOn w:val="1"/>
    <w:qFormat/>
    <w:uiPriority w:val="0"/>
    <w:pPr>
      <w:spacing w:line="240" w:lineRule="auto"/>
      <w:ind w:firstLine="0" w:firstLineChars="0"/>
      <w:jc w:val="center"/>
    </w:pPr>
    <w:rPr>
      <w:rFonts w:ascii="Times New Roman" w:hAnsi="Times New Roman"/>
    </w:rPr>
  </w:style>
  <w:style w:type="paragraph" w:customStyle="1" w:styleId="20">
    <w:name w:val="Table Text"/>
    <w:basedOn w:val="1"/>
    <w:semiHidden/>
    <w:qFormat/>
    <w:uiPriority w:val="0"/>
    <w:rPr>
      <w:rFonts w:ascii="宋体" w:hAnsi="宋体" w:eastAsia="宋体" w:cs="宋体"/>
      <w:sz w:val="24"/>
      <w:szCs w:val="24"/>
      <w:lang w:val="en-US" w:eastAsia="en-US" w:bidi="ar-SA"/>
    </w:rPr>
  </w:style>
  <w:style w:type="paragraph" w:customStyle="1" w:styleId="21">
    <w:name w:val="表内"/>
    <w:basedOn w:val="10"/>
    <w:qFormat/>
    <w:uiPriority w:val="0"/>
    <w:pPr>
      <w:widowControl/>
      <w:spacing w:beforeLines="0" w:line="240" w:lineRule="auto"/>
      <w:ind w:left="0" w:leftChars="0" w:firstLine="0" w:firstLineChars="0"/>
      <w:jc w:val="center"/>
    </w:pPr>
    <w:rPr>
      <w:bCs/>
      <w:color w:val="000000"/>
      <w:kern w:val="0"/>
      <w:szCs w:val="21"/>
    </w:rPr>
  </w:style>
  <w:style w:type="paragraph" w:customStyle="1" w:styleId="22">
    <w:name w:val="正文---"/>
    <w:basedOn w:val="1"/>
    <w:qFormat/>
    <w:uiPriority w:val="0"/>
    <w:pPr>
      <w:spacing w:beforeLines="0" w:line="360" w:lineRule="auto"/>
      <w:ind w:firstLine="480"/>
    </w:pPr>
    <w:rPr>
      <w:color w:val="000000"/>
      <w:sz w:val="24"/>
    </w:rPr>
  </w:style>
  <w:style w:type="table" w:customStyle="1" w:styleId="23">
    <w:name w:val="Table Normal"/>
    <w:semiHidden/>
    <w:unhideWhenUsed/>
    <w:qFormat/>
    <w:uiPriority w:val="0"/>
    <w:tblPr>
      <w:tblCellMar>
        <w:top w:w="0" w:type="dxa"/>
        <w:left w:w="0" w:type="dxa"/>
        <w:bottom w:w="0" w:type="dxa"/>
        <w:right w:w="0" w:type="dxa"/>
      </w:tblCellMar>
    </w:tblPr>
  </w:style>
  <w:style w:type="paragraph" w:customStyle="1" w:styleId="24">
    <w:name w:val="表格内容"/>
    <w:basedOn w:val="25"/>
    <w:autoRedefine/>
    <w:qFormat/>
    <w:uiPriority w:val="0"/>
    <w:pPr>
      <w:adjustRightInd w:val="0"/>
      <w:snapToGrid w:val="0"/>
      <w:spacing w:line="280" w:lineRule="exact"/>
      <w:ind w:left="-31" w:leftChars="-15" w:right="-31" w:rightChars="-15"/>
      <w:jc w:val="center"/>
    </w:pPr>
    <w:rPr>
      <w:color w:val="000000"/>
      <w:sz w:val="18"/>
      <w:szCs w:val="18"/>
    </w:rPr>
  </w:style>
  <w:style w:type="paragraph" w:customStyle="1" w:styleId="25">
    <w:name w:val="表格标题"/>
    <w:basedOn w:val="7"/>
    <w:autoRedefine/>
    <w:qFormat/>
    <w:uiPriority w:val="0"/>
    <w:pPr>
      <w:jc w:val="center"/>
    </w:pPr>
    <w:rPr>
      <w:rFonts w:ascii="宋体" w:hAnsi="宋体" w:eastAsia="宋体" w:cs="Times New Roman"/>
      <w:kern w:val="40"/>
      <w:sz w:val="21"/>
      <w:szCs w:val="24"/>
      <w:lang w:val="en-US" w:eastAsia="en-US" w:bidi="en-US"/>
    </w:rPr>
  </w:style>
  <w:style w:type="paragraph" w:customStyle="1" w:styleId="26">
    <w:name w:val="表格内文字5号"/>
    <w:basedOn w:val="1"/>
    <w:qFormat/>
    <w:uiPriority w:val="0"/>
    <w:pPr>
      <w:jc w:val="center"/>
    </w:pPr>
  </w:style>
  <w:style w:type="paragraph" w:customStyle="1" w:styleId="27">
    <w:name w:val="Table Paragraph"/>
    <w:basedOn w:val="1"/>
    <w:qFormat/>
    <w:uiPriority w:val="1"/>
    <w:rPr>
      <w:rFonts w:ascii="仿宋" w:hAnsi="仿宋" w:eastAsia="仿宋" w:cs="仿宋"/>
      <w:lang w:val="zh-CN" w:eastAsia="zh-CN" w:bidi="zh-CN"/>
    </w:rPr>
  </w:style>
  <w:style w:type="paragraph" w:customStyle="1" w:styleId="28">
    <w:name w:val="报告书表格"/>
    <w:basedOn w:val="1"/>
    <w:autoRedefine/>
    <w:qFormat/>
    <w:uiPriority w:val="0"/>
    <w:pPr>
      <w:adjustRightInd w:val="0"/>
      <w:spacing w:before="60" w:beforeLines="0" w:after="60" w:afterLines="0" w:line="240" w:lineRule="atLeast"/>
      <w:jc w:val="center"/>
      <w:textAlignment w:val="baseline"/>
    </w:pPr>
    <w:rPr>
      <w:kern w:val="0"/>
      <w:szCs w:val="20"/>
    </w:rPr>
  </w:style>
  <w:style w:type="paragraph" w:customStyle="1" w:styleId="29">
    <w:name w:val="表头"/>
    <w:basedOn w:val="5"/>
    <w:next w:val="1"/>
    <w:autoRedefine/>
    <w:qFormat/>
    <w:uiPriority w:val="0"/>
    <w:pPr>
      <w:adjustRightInd w:val="0"/>
      <w:snapToGrid w:val="0"/>
      <w:spacing w:before="156" w:beforeLines="50" w:line="360" w:lineRule="auto"/>
      <w:jc w:val="center"/>
    </w:pPr>
    <w:rPr>
      <w:rFonts w:hAnsi="宋体"/>
      <w:b/>
      <w:sz w:val="24"/>
      <w:szCs w:val="24"/>
    </w:rPr>
  </w:style>
  <w:style w:type="paragraph" w:customStyle="1" w:styleId="30">
    <w:name w:val="Default"/>
    <w:basedOn w:val="25"/>
    <w:next w:val="1"/>
    <w:autoRedefine/>
    <w:qFormat/>
    <w:uiPriority w:val="0"/>
    <w:pPr>
      <w:widowControl w:val="0"/>
      <w:tabs>
        <w:tab w:val="left" w:pos="1845"/>
      </w:tabs>
      <w:autoSpaceDE w:val="0"/>
      <w:autoSpaceDN w:val="0"/>
      <w:adjustRightInd w:val="0"/>
    </w:pPr>
    <w:rPr>
      <w:rFonts w:ascii="楷体_GB2312" w:hAnsi="Times New Roman" w:eastAsia="楷体_GB2312" w:cs="楷体_GB2312"/>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42</Pages>
  <Words>371</Words>
  <Characters>446</Characters>
  <Lines>0</Lines>
  <Paragraphs>0</Paragraphs>
  <TotalTime>12</TotalTime>
  <ScaleCrop>false</ScaleCrop>
  <LinksUpToDate>false</LinksUpToDate>
  <CharactersWithSpaces>508</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2025-10-21T03:35:00Z</dcterms:created>
  <dc:creator>apple</dc:creator>
  <cp:lastModifiedBy>添添媽咪</cp:lastModifiedBy>
  <dcterms:modified xsi:type="dcterms:W3CDTF">2025-10-27T11:04:50Z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eyJoZGlkIjoiNmY4ZTg4OWMwZjJiYmFkMTJiODVlOTQzZWIyNDA4NjYiLCJ1c2VySWQiOiIyNDA3NjY3ODQifQ==</vt:lpwstr>
  </property>
  <property fmtid="{D5CDD505-2E9C-101B-9397-08002B2CF9AE}" pid="4" name="ICV">
    <vt:lpwstr>39F2669FD3AB4C3C9966B433D4B07612_12</vt:lpwstr>
  </property>
</Properties>
</file>