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BAF3F8">
      <w:pPr>
        <w:pStyle w:val="2"/>
        <w:keepNext/>
        <w:keepLines/>
        <w:pageBreakBefore w:val="0"/>
        <w:widowControl w:val="0"/>
        <w:kinsoku/>
        <w:wordWrap/>
        <w:overflowPunct/>
        <w:topLinePunct w:val="0"/>
        <w:autoSpaceDE/>
        <w:autoSpaceDN/>
        <w:bidi w:val="0"/>
        <w:adjustRightInd/>
        <w:snapToGrid/>
        <w:spacing w:before="0" w:after="0"/>
        <w:jc w:val="center"/>
        <w:textAlignment w:val="auto"/>
      </w:pPr>
      <w:r>
        <w:t>新疆创蓝环保科技有限责任公司</w:t>
      </w:r>
    </w:p>
    <w:p w14:paraId="32E63096">
      <w:pPr>
        <w:pStyle w:val="2"/>
        <w:keepNext/>
        <w:keepLines/>
        <w:pageBreakBefore w:val="0"/>
        <w:widowControl w:val="0"/>
        <w:kinsoku/>
        <w:wordWrap/>
        <w:overflowPunct/>
        <w:topLinePunct w:val="0"/>
        <w:autoSpaceDE/>
        <w:autoSpaceDN/>
        <w:bidi w:val="0"/>
        <w:adjustRightInd/>
        <w:snapToGrid/>
        <w:spacing w:before="0" w:after="0"/>
        <w:jc w:val="center"/>
        <w:textAlignment w:val="auto"/>
      </w:pPr>
      <w:r>
        <w:t>危险废物经营情况报告</w:t>
      </w:r>
    </w:p>
    <w:p w14:paraId="2A2EE7A8">
      <w:pPr>
        <w:pageBreakBefore w:val="0"/>
        <w:widowControl w:val="0"/>
        <w:kinsoku/>
        <w:wordWrap/>
        <w:overflowPunct/>
        <w:topLinePunct w:val="0"/>
        <w:autoSpaceDE/>
        <w:autoSpaceDN/>
        <w:bidi w:val="0"/>
        <w:adjustRightInd/>
        <w:snapToGrid/>
        <w:spacing w:line="360" w:lineRule="auto"/>
        <w:textAlignment w:val="auto"/>
        <w:rPr>
          <w:b/>
          <w:bCs/>
          <w:sz w:val="24"/>
          <w:szCs w:val="24"/>
        </w:rPr>
      </w:pPr>
      <w:r>
        <w:rPr>
          <w:b/>
          <w:bCs/>
          <w:sz w:val="24"/>
          <w:szCs w:val="24"/>
        </w:rPr>
        <w:t>一、企业基本情况</w:t>
      </w:r>
    </w:p>
    <w:p w14:paraId="506003EF">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企业名称：新疆创蓝环保科技有限责任公司</w:t>
      </w:r>
    </w:p>
    <w:p w14:paraId="34F0CF66">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法定代表人：谭慧</w:t>
      </w:r>
    </w:p>
    <w:p w14:paraId="374DEBEF">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注册资本：500万元人民币</w:t>
      </w:r>
    </w:p>
    <w:p w14:paraId="704D0D95">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成立日期：2023年11月07日</w:t>
      </w:r>
    </w:p>
    <w:p w14:paraId="6E9C98DE">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住所及经营设施地址：新疆克拉玛依市独山子区新北区街道河东新区沿312国道1778号</w:t>
      </w:r>
    </w:p>
    <w:p w14:paraId="54CA0112">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经营范围：许可项目包括危险废物经营、道路货物运输（不含危险货物）；一般项目涵盖固体废物治理、环境保护专用设备销售、土壤污染治理与修复服务、环境应急治理服务、建筑废弃物再生技术研发、新能源汽车废旧动力蓄电池回收及梯次利用（不含危险废物经营）、普通货物仓储服务（不含危险化学品等需许可审批的项目）、非金属废料和碎屑加工处理、仓储设备租赁服务、润滑油销售、电池销售、资源再生利用技术研发、环保咨询服务、技术服务、技术开发、技术咨询、技术交流、技术转让、技术推广以及生物饲料研发等。</w:t>
      </w:r>
    </w:p>
    <w:p w14:paraId="252F35EF">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p>
    <w:p w14:paraId="6973730D">
      <w:pPr>
        <w:pageBreakBefore w:val="0"/>
        <w:widowControl w:val="0"/>
        <w:kinsoku/>
        <w:wordWrap/>
        <w:overflowPunct/>
        <w:topLinePunct w:val="0"/>
        <w:autoSpaceDE/>
        <w:autoSpaceDN/>
        <w:bidi w:val="0"/>
        <w:adjustRightInd/>
        <w:snapToGrid/>
        <w:spacing w:line="360" w:lineRule="auto"/>
        <w:textAlignment w:val="auto"/>
        <w:rPr>
          <w:b/>
          <w:bCs/>
          <w:sz w:val="24"/>
          <w:szCs w:val="24"/>
        </w:rPr>
      </w:pPr>
      <w:r>
        <w:rPr>
          <w:b/>
          <w:bCs/>
          <w:sz w:val="24"/>
          <w:szCs w:val="24"/>
        </w:rPr>
        <w:t>二、危险废物经营许可证情况</w:t>
      </w:r>
    </w:p>
    <w:p w14:paraId="320E260F">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经营许可证编号：SD-</w:t>
      </w:r>
      <w:r>
        <w:rPr>
          <w:rFonts w:hint="eastAsia"/>
          <w:sz w:val="24"/>
          <w:szCs w:val="24"/>
          <w:lang w:val="en-US" w:eastAsia="zh-CN"/>
        </w:rPr>
        <w:t>650200</w:t>
      </w:r>
      <w:r>
        <w:rPr>
          <w:sz w:val="24"/>
          <w:szCs w:val="24"/>
        </w:rPr>
        <w:t>-02</w:t>
      </w:r>
    </w:p>
    <w:p w14:paraId="6A1B8478">
      <w:pPr>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rPr>
      </w:pPr>
      <w:r>
        <w:rPr>
          <w:sz w:val="24"/>
          <w:szCs w:val="24"/>
        </w:rPr>
        <w:t>经营危险废物类别：</w:t>
      </w:r>
      <w:r>
        <w:rPr>
          <w:rFonts w:hint="eastAsia"/>
          <w:sz w:val="24"/>
          <w:szCs w:val="24"/>
        </w:rPr>
        <w:t>900-002-03、900-003-04、900-405-06、900-199-08(限定报废回收拆解行业产生的相关危险废物)、900-201-08(限定清洗金属零部件过程中产生的废弃煤油、柴油、汽油)、900-203-08、900-210-08(限定含油废水处理中隔油、气浮、沉淀等处理过程中产生的浮油)、900-214-08、900-217-08、900-218-08、900-219-08、900-220-08、900-221-08、900-249-08(限定其他生产、销售、使用过程中产生的废矿物油)</w:t>
      </w:r>
      <w:r>
        <w:rPr>
          <w:rFonts w:hint="eastAsia"/>
          <w:sz w:val="24"/>
          <w:szCs w:val="24"/>
          <w:lang w:eastAsia="zh-CN"/>
        </w:rPr>
        <w:t>、</w:t>
      </w:r>
      <w:r>
        <w:rPr>
          <w:rFonts w:hint="eastAsia"/>
          <w:sz w:val="24"/>
          <w:szCs w:val="24"/>
        </w:rPr>
        <w:t>900-251-12、900-252-12、900-299-12、265-101-13、900-014-13、</w:t>
      </w:r>
      <w:r>
        <w:rPr>
          <w:rFonts w:hint="eastAsia"/>
          <w:sz w:val="24"/>
          <w:szCs w:val="24"/>
          <w:lang w:val="en-US" w:eastAsia="zh-CN"/>
        </w:rPr>
        <w:t>806-001-16</w:t>
      </w:r>
      <w:r>
        <w:rPr>
          <w:rFonts w:hint="eastAsia"/>
          <w:sz w:val="24"/>
          <w:szCs w:val="24"/>
        </w:rPr>
        <w:t>、900-052-31(限定废铅蓄电池)、900-039-49、900-041-49(限定含有或沾染毒性危险废物的相关危险废物)</w:t>
      </w:r>
      <w:r>
        <w:rPr>
          <w:rFonts w:hint="eastAsia"/>
          <w:sz w:val="24"/>
          <w:szCs w:val="24"/>
          <w:lang w:eastAsia="zh-CN"/>
        </w:rPr>
        <w:t>、</w:t>
      </w:r>
      <w:r>
        <w:rPr>
          <w:rFonts w:hint="eastAsia"/>
          <w:sz w:val="24"/>
          <w:szCs w:val="24"/>
        </w:rPr>
        <w:t>900-042-49(限定除剧毒化学品、反应性废物外的其他危险废物)、900-044-49、900-045-49、900-047-49(限定除剧毒化学品、反应性废物外的其他危险废物)、900-999-49(限定除剧毒化学品、反应性废物外的其他危险废物)、900-049-50</w:t>
      </w:r>
    </w:p>
    <w:p w14:paraId="0ECD3D79">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sz w:val="24"/>
          <w:szCs w:val="24"/>
        </w:rPr>
        <w:t>危险废物经营规模：5000吨/年</w:t>
      </w:r>
    </w:p>
    <w:p w14:paraId="7C99FE41">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p>
    <w:p w14:paraId="19B7345F">
      <w:pPr>
        <w:pageBreakBefore w:val="0"/>
        <w:widowControl w:val="0"/>
        <w:kinsoku/>
        <w:wordWrap/>
        <w:overflowPunct/>
        <w:topLinePunct w:val="0"/>
        <w:autoSpaceDE/>
        <w:autoSpaceDN/>
        <w:bidi w:val="0"/>
        <w:adjustRightInd/>
        <w:snapToGrid/>
        <w:spacing w:line="360" w:lineRule="auto"/>
        <w:textAlignment w:val="auto"/>
        <w:rPr>
          <w:sz w:val="24"/>
          <w:szCs w:val="24"/>
        </w:rPr>
      </w:pPr>
      <w:r>
        <w:rPr>
          <w:b/>
          <w:bCs/>
          <w:sz w:val="24"/>
          <w:szCs w:val="24"/>
        </w:rPr>
        <w:t>三、危险废物经营情况</w:t>
      </w:r>
    </w:p>
    <w:p w14:paraId="77B8D776">
      <w:pPr>
        <w:pageBreakBefore w:val="0"/>
        <w:widowControl w:val="0"/>
        <w:kinsoku/>
        <w:wordWrap/>
        <w:overflowPunct/>
        <w:topLinePunct w:val="0"/>
        <w:autoSpaceDE/>
        <w:autoSpaceDN/>
        <w:bidi w:val="0"/>
        <w:adjustRightInd/>
        <w:snapToGrid/>
        <w:spacing w:line="360" w:lineRule="auto"/>
        <w:ind w:firstLine="420" w:firstLineChars="0"/>
        <w:textAlignment w:val="auto"/>
        <w:rPr>
          <w:sz w:val="24"/>
          <w:szCs w:val="24"/>
        </w:rPr>
      </w:pPr>
      <w:r>
        <w:rPr>
          <w:rFonts w:hint="eastAsia"/>
          <w:sz w:val="24"/>
          <w:szCs w:val="24"/>
          <w:lang w:val="en-US" w:eastAsia="zh-CN"/>
        </w:rPr>
        <w:t>1.概述：</w:t>
      </w:r>
      <w:r>
        <w:rPr>
          <w:sz w:val="24"/>
          <w:szCs w:val="24"/>
        </w:rPr>
        <w:t>新疆创蓝环保科技有限责任公司作为小微企业危险废物收集试点单位，严格按照相关法律法规及政策要求开展危险废物经营活动。公司配备了专业的收集、贮存设施，拥有专业的技术团队和管理人员，确保危险废物的安全、合规处理。</w:t>
      </w:r>
    </w:p>
    <w:p w14:paraId="70AB3A75">
      <w:pPr>
        <w:pageBreakBefore w:val="0"/>
        <w:widowControl w:val="0"/>
        <w:kinsoku/>
        <w:wordWrap/>
        <w:overflowPunct/>
        <w:topLinePunct w:val="0"/>
        <w:autoSpaceDE/>
        <w:autoSpaceDN/>
        <w:bidi w:val="0"/>
        <w:adjustRightInd/>
        <w:snapToGrid/>
        <w:spacing w:line="360" w:lineRule="auto"/>
        <w:textAlignment w:val="auto"/>
        <w:rPr>
          <w:sz w:val="24"/>
          <w:szCs w:val="24"/>
        </w:rPr>
      </w:pPr>
      <w:r>
        <w:rPr>
          <w:sz w:val="24"/>
          <w:szCs w:val="24"/>
        </w:rPr>
        <w:t>在经营过程中，公司注重环境保护和安全生产，严格遵守危险废物收集、贮存、运输和处置的各项规定，确保危险废物不对环境和人体健康造成危害。同时，公司还积极开展技术创新和研发，不断提升危险废物处理的技术水平和效率。</w:t>
      </w:r>
    </w:p>
    <w:p w14:paraId="773A9032">
      <w:pPr>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rPr>
      </w:pPr>
      <w:r>
        <w:rPr>
          <w:rFonts w:hint="eastAsia"/>
          <w:sz w:val="24"/>
          <w:szCs w:val="24"/>
        </w:rPr>
        <w:t>2. 危险废物来源</w:t>
      </w:r>
      <w:r>
        <w:rPr>
          <w:rFonts w:hint="eastAsia"/>
          <w:sz w:val="24"/>
          <w:szCs w:val="24"/>
          <w:lang w:eastAsia="zh-CN"/>
        </w:rPr>
        <w:t>：</w:t>
      </w:r>
      <w:r>
        <w:rPr>
          <w:rFonts w:hint="eastAsia"/>
          <w:sz w:val="24"/>
          <w:szCs w:val="24"/>
          <w:lang w:val="en-US" w:eastAsia="zh-CN"/>
        </w:rPr>
        <w:t>小危产废企业以及其他企业产生的部分废矿物油、废旧铅蓄电瓶、实验室废物等</w:t>
      </w:r>
    </w:p>
    <w:p w14:paraId="6D81AE98">
      <w:pPr>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rPr>
        <w:t xml:space="preserve">   3. 经营方式：</w:t>
      </w:r>
      <w:r>
        <w:rPr>
          <w:rFonts w:hint="eastAsia"/>
          <w:sz w:val="24"/>
          <w:szCs w:val="24"/>
          <w:lang w:val="en-US" w:eastAsia="zh-CN"/>
        </w:rPr>
        <w:t>收集、贮存</w:t>
      </w:r>
    </w:p>
    <w:p w14:paraId="1FBBE071">
      <w:pPr>
        <w:pageBreakBefore w:val="0"/>
        <w:widowControl w:val="0"/>
        <w:kinsoku/>
        <w:wordWrap/>
        <w:overflowPunct/>
        <w:topLinePunct w:val="0"/>
        <w:autoSpaceDE/>
        <w:autoSpaceDN/>
        <w:bidi w:val="0"/>
        <w:adjustRightInd/>
        <w:snapToGrid/>
        <w:spacing w:line="360" w:lineRule="auto"/>
        <w:textAlignment w:val="auto"/>
        <w:rPr>
          <w:rFonts w:hint="default"/>
          <w:sz w:val="24"/>
          <w:szCs w:val="24"/>
          <w:lang w:val="en-US" w:eastAsia="zh-CN"/>
        </w:rPr>
      </w:pPr>
    </w:p>
    <w:p w14:paraId="27E7E8E2">
      <w:pPr>
        <w:pageBreakBefore w:val="0"/>
        <w:widowControl w:val="0"/>
        <w:kinsoku/>
        <w:wordWrap/>
        <w:overflowPunct/>
        <w:topLinePunct w:val="0"/>
        <w:autoSpaceDE/>
        <w:autoSpaceDN/>
        <w:bidi w:val="0"/>
        <w:adjustRightInd/>
        <w:snapToGrid/>
        <w:spacing w:line="360" w:lineRule="auto"/>
        <w:textAlignment w:val="auto"/>
        <w:rPr>
          <w:rFonts w:hint="default" w:eastAsiaTheme="minorEastAsia"/>
          <w:b/>
          <w:bCs/>
          <w:sz w:val="24"/>
          <w:szCs w:val="32"/>
          <w:lang w:val="en-US" w:eastAsia="zh-CN"/>
        </w:rPr>
      </w:pPr>
      <w:r>
        <w:rPr>
          <w:rFonts w:hint="eastAsia"/>
          <w:b/>
          <w:bCs/>
          <w:sz w:val="24"/>
          <w:szCs w:val="24"/>
          <w:lang w:val="en-US" w:eastAsia="zh-CN"/>
        </w:rPr>
        <w:t>四</w:t>
      </w:r>
      <w:r>
        <w:rPr>
          <w:rFonts w:hint="eastAsia"/>
          <w:b/>
          <w:bCs/>
          <w:sz w:val="24"/>
          <w:szCs w:val="32"/>
        </w:rPr>
        <w:t>、设施</w:t>
      </w:r>
      <w:r>
        <w:rPr>
          <w:rFonts w:hint="eastAsia"/>
          <w:b/>
          <w:bCs/>
          <w:sz w:val="24"/>
          <w:szCs w:val="32"/>
          <w:lang w:val="en-US" w:eastAsia="zh-CN"/>
        </w:rPr>
        <w:t>巡检记录</w:t>
      </w:r>
    </w:p>
    <w:p w14:paraId="235B0FD2">
      <w:r>
        <w:drawing>
          <wp:inline distT="0" distB="0" distL="114300" distR="114300">
            <wp:extent cx="5272405" cy="2108835"/>
            <wp:effectExtent l="0" t="0" r="444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2108835"/>
                    </a:xfrm>
                    <a:prstGeom prst="rect">
                      <a:avLst/>
                    </a:prstGeom>
                    <a:noFill/>
                    <a:ln>
                      <a:noFill/>
                    </a:ln>
                  </pic:spPr>
                </pic:pic>
              </a:graphicData>
            </a:graphic>
          </wp:inline>
        </w:drawing>
      </w:r>
    </w:p>
    <w:p w14:paraId="7829C6B1">
      <w:pPr>
        <w:rPr>
          <w:rFonts w:hint="eastAsia"/>
        </w:rPr>
      </w:pPr>
      <w:r>
        <w:drawing>
          <wp:inline distT="0" distB="0" distL="114300" distR="114300">
            <wp:extent cx="5265420" cy="2066290"/>
            <wp:effectExtent l="0" t="0" r="1143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5420" cy="2066290"/>
                    </a:xfrm>
                    <a:prstGeom prst="rect">
                      <a:avLst/>
                    </a:prstGeom>
                    <a:noFill/>
                    <a:ln>
                      <a:noFill/>
                    </a:ln>
                  </pic:spPr>
                </pic:pic>
              </a:graphicData>
            </a:graphic>
          </wp:inline>
        </w:drawing>
      </w:r>
    </w:p>
    <w:p w14:paraId="778F1B29">
      <w:pPr>
        <w:rPr>
          <w:rFonts w:hint="eastAsia"/>
        </w:rPr>
      </w:pPr>
    </w:p>
    <w:p w14:paraId="0D2BD45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rPr>
      </w:pPr>
      <w:r>
        <w:rPr>
          <w:rFonts w:hint="eastAsia" w:ascii="宋体" w:hAnsi="宋体" w:eastAsia="宋体" w:cs="宋体"/>
          <w:sz w:val="24"/>
          <w:szCs w:val="24"/>
        </w:rPr>
        <w:t>2. 环境监测数据：</w:t>
      </w:r>
      <w:r>
        <w:rPr>
          <w:rFonts w:hint="eastAsia" w:ascii="宋体" w:hAnsi="宋体" w:eastAsia="宋体" w:cs="宋体"/>
          <w:sz w:val="24"/>
          <w:szCs w:val="24"/>
          <w:lang w:val="en-US" w:eastAsia="zh-CN"/>
        </w:rPr>
        <w:t>根据排污许可证要求，每半年进行有组织废气以及无组织大气环境监测，主要监测指标包含</w:t>
      </w:r>
      <w:r>
        <w:rPr>
          <w:rFonts w:hint="eastAsia" w:ascii="宋体" w:hAnsi="宋体" w:eastAsia="宋体" w:cs="宋体"/>
          <w:color w:val="000000"/>
          <w:kern w:val="0"/>
          <w:sz w:val="24"/>
          <w:szCs w:val="24"/>
          <w:lang w:val="en-US" w:eastAsia="zh-CN" w:bidi="ar"/>
        </w:rPr>
        <w:t>非甲烷总烃、硫酸雾。按期填报排污许可证执行报告及</w:t>
      </w:r>
      <w:r>
        <w:rPr>
          <w:rFonts w:hint="eastAsia" w:ascii="宋体" w:hAnsi="宋体" w:eastAsia="宋体" w:cs="宋体"/>
          <w:i w:val="0"/>
          <w:iCs w:val="0"/>
          <w:caps w:val="0"/>
          <w:color w:val="000000" w:themeColor="text1"/>
          <w:spacing w:val="0"/>
          <w:sz w:val="24"/>
          <w:szCs w:val="24"/>
          <w:lang w:val="en-US" w:eastAsia="zh-CN"/>
          <w14:textFill>
            <w14:solidFill>
              <w14:schemeClr w14:val="tx1"/>
            </w14:solidFill>
          </w14:textFill>
        </w:rPr>
        <w:t>自治区污染源监测数据公开平台。公司自投产运行以来均达标排放，无超标现象。</w:t>
      </w:r>
    </w:p>
    <w:p w14:paraId="77F21232">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3. 应急管理预案备案：</w:t>
      </w:r>
      <w:r>
        <w:rPr>
          <w:rFonts w:hint="eastAsia" w:ascii="宋体" w:hAnsi="宋体" w:eastAsia="宋体" w:cs="宋体"/>
          <w:sz w:val="24"/>
          <w:szCs w:val="24"/>
          <w:lang w:val="en-US" w:eastAsia="zh-CN"/>
        </w:rPr>
        <w:t>2024年编制了突发环境事件</w:t>
      </w:r>
      <w:r>
        <w:rPr>
          <w:rFonts w:hint="eastAsia" w:ascii="宋体" w:hAnsi="宋体" w:eastAsia="宋体" w:cs="宋体"/>
          <w:sz w:val="24"/>
          <w:szCs w:val="24"/>
        </w:rPr>
        <w:t>应急预案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并在独山子区生态环境分局完成</w:t>
      </w:r>
      <w:r>
        <w:rPr>
          <w:rFonts w:hint="eastAsia" w:ascii="宋体" w:hAnsi="宋体" w:eastAsia="宋体" w:cs="宋体"/>
          <w:sz w:val="24"/>
          <w:szCs w:val="24"/>
        </w:rPr>
        <w:t>备案。</w:t>
      </w:r>
      <w:r>
        <w:rPr>
          <w:rFonts w:hint="eastAsia" w:ascii="宋体" w:hAnsi="宋体" w:eastAsia="宋体" w:cs="宋体"/>
          <w:sz w:val="24"/>
          <w:szCs w:val="24"/>
          <w:lang w:val="en-US" w:eastAsia="zh-CN"/>
        </w:rPr>
        <w:t>公司组织全员进行应急预案培训，于2024年6月进行</w:t>
      </w:r>
      <w:r>
        <w:rPr>
          <w:rFonts w:hint="eastAsia" w:ascii="宋体" w:hAnsi="宋体" w:eastAsia="宋体" w:cs="宋体"/>
          <w:sz w:val="24"/>
          <w:szCs w:val="24"/>
        </w:rPr>
        <w:t>应急演练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今年计划8月完成应急预案培训及演练。</w:t>
      </w:r>
    </w:p>
    <w:p w14:paraId="0289E3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E39B5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、危险废物转移与台账</w:t>
      </w:r>
    </w:p>
    <w:p w14:paraId="1BAF97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 转移联单执行：  </w:t>
      </w:r>
    </w:p>
    <w:p w14:paraId="094986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公司自运营以来均采用电子联单管理。</w:t>
      </w:r>
    </w:p>
    <w:p w14:paraId="7A1625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ascii="宋体" w:hAnsi="宋体" w:eastAsia="宋体" w:cs="宋体"/>
          <w:sz w:val="24"/>
          <w:szCs w:val="24"/>
        </w:rPr>
        <w:t xml:space="preserve"> </w:t>
      </w:r>
      <w:r>
        <w:rPr>
          <w:rFonts w:hint="eastAsia"/>
        </w:rPr>
        <w:t xml:space="preserve">2. 台账管理：  </w:t>
      </w:r>
    </w:p>
    <w:p w14:paraId="7299634A">
      <w:pPr>
        <w:rPr>
          <w:rFonts w:hint="eastAsia"/>
        </w:rPr>
      </w:pPr>
    </w:p>
    <w:p w14:paraId="19C56C72">
      <w:pPr>
        <w:rPr>
          <w:rFonts w:hint="eastAsia"/>
        </w:rPr>
      </w:pPr>
      <w:r>
        <w:drawing>
          <wp:inline distT="0" distB="0" distL="114300" distR="114300">
            <wp:extent cx="5271770" cy="5314950"/>
            <wp:effectExtent l="0" t="0" r="508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1770" cy="5314950"/>
                    </a:xfrm>
                    <a:prstGeom prst="rect">
                      <a:avLst/>
                    </a:prstGeom>
                    <a:noFill/>
                    <a:ln>
                      <a:noFill/>
                    </a:ln>
                  </pic:spPr>
                </pic:pic>
              </a:graphicData>
            </a:graphic>
          </wp:inline>
        </w:drawing>
      </w:r>
      <w:r>
        <w:drawing>
          <wp:inline distT="0" distB="0" distL="114300" distR="114300">
            <wp:extent cx="5268595" cy="5164455"/>
            <wp:effectExtent l="0" t="0" r="8255" b="171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8595" cy="5164455"/>
                    </a:xfrm>
                    <a:prstGeom prst="rect">
                      <a:avLst/>
                    </a:prstGeom>
                    <a:noFill/>
                    <a:ln>
                      <a:noFill/>
                    </a:ln>
                  </pic:spPr>
                </pic:pic>
              </a:graphicData>
            </a:graphic>
          </wp:inline>
        </w:drawing>
      </w:r>
      <w:r>
        <w:rPr>
          <w:rFonts w:hint="eastAsia"/>
        </w:rPr>
        <w:t xml:space="preserve"> </w:t>
      </w:r>
      <w:r>
        <w:drawing>
          <wp:inline distT="0" distB="0" distL="114300" distR="114300">
            <wp:extent cx="5501005" cy="2466340"/>
            <wp:effectExtent l="0" t="0" r="4445" b="1016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501005" cy="2466340"/>
                    </a:xfrm>
                    <a:prstGeom prst="rect">
                      <a:avLst/>
                    </a:prstGeom>
                    <a:noFill/>
                    <a:ln>
                      <a:noFill/>
                    </a:ln>
                  </pic:spPr>
                </pic:pic>
              </a:graphicData>
            </a:graphic>
          </wp:inline>
        </w:drawing>
      </w:r>
    </w:p>
    <w:p w14:paraId="30C51CE5"/>
    <w:p w14:paraId="187F3D7A"/>
    <w:p w14:paraId="625388C2"/>
    <w:p w14:paraId="4CD19E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、未来展望</w:t>
      </w:r>
    </w:p>
    <w:p w14:paraId="1D9D132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新疆创蓝环保科技有限责任公司将继续秉承“绿色、环保、安全、高效”的经营理念，不断提升危险废物处理的技术水平和服务质量。同时，公司还将积极拓展业务领域，加强与相关企业和机构的合作与交流，共同推动危险废物处理行业的健康发展。</w:t>
      </w:r>
    </w:p>
    <w:p w14:paraId="71FBFB1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KSVAQDRPNE0_20_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031C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240" w:lineRule="auto"/>
      <w:outlineLvl w:val="0"/>
    </w:pPr>
    <w:rPr>
      <w:rFonts w:asciiTheme="minorAscii" w:hAnsiTheme="minorAscii"/>
      <w:b/>
      <w:kern w:val="44"/>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14</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2025-07-08T09:45:08Z</dcterms:created>
  <dc:creator>Administrator</dc:creator>
  <cp:lastModifiedBy>断弦</cp:lastModifiedBy>
  <dcterms:modified xsi:type="dcterms:W3CDTF">2025-07-08T10:21:43Z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eyJoZGlkIjoiZjg2N2I3ZjdjMzM5MmU0YjlmYTFkMWJmNTMyZGVlODMiLCJ1c2VySWQiOiIyNzczNjIxNTIifQ==</vt:lpwstr>
  </property>
  <property fmtid="{D5CDD505-2E9C-101B-9397-08002B2CF9AE}" pid="4" name="ICV">
    <vt:lpwstr>49890E0E01254933AA0A21C377415CEF_12</vt:lpwstr>
  </property>
</Properties>
</file>