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4C05F4">
      <w:pPr>
        <w:pStyle w:val="2"/>
        <w:spacing w:before="0" w:after="0" w:line="560" w:lineRule="exact"/>
        <w:jc w:val="center"/>
        <w:rPr>
          <w:rFonts w:ascii="仿宋_GB2312" w:eastAsia="仿宋_GB2312"/>
          <w:sz w:val="32"/>
          <w:szCs w:val="32"/>
        </w:rPr>
      </w:pPr>
      <w:bookmarkStart w:id="0" w:name="_Toc16830"/>
      <w:r>
        <w:rPr>
          <w:rFonts w:hint="eastAsia" w:ascii="方正小标宋简体" w:hAnsi="方正小标宋简体" w:eastAsia="方正小标宋简体" w:cs="方正小标宋简体"/>
          <w:b w:val="0"/>
          <w:bCs w:val="0"/>
          <w:sz w:val="44"/>
          <w:szCs w:val="44"/>
          <w:lang w:val="en-US" w:eastAsia="zh-CN"/>
        </w:rPr>
        <w:t>山东港口烟台港集团</w:t>
      </w:r>
      <w:r>
        <w:rPr>
          <w:rFonts w:hint="eastAsia" w:ascii="方正小标宋简体" w:hAnsi="方正小标宋简体" w:eastAsia="方正小标宋简体" w:cs="方正小标宋简体"/>
          <w:b w:val="0"/>
          <w:bCs w:val="0"/>
          <w:sz w:val="44"/>
          <w:szCs w:val="44"/>
        </w:rPr>
        <w:t>蓬莱港</w:t>
      </w:r>
      <w:bookmarkEnd w:id="0"/>
      <w:r>
        <w:rPr>
          <w:rFonts w:hint="eastAsia" w:ascii="方正小标宋简体" w:hAnsi="黑体" w:eastAsia="方正小标宋简体"/>
          <w:b w:val="0"/>
        </w:rPr>
        <w:t>港口岸电设施安全操作规程</w:t>
      </w:r>
    </w:p>
    <w:p w14:paraId="7770236F">
      <w:pPr>
        <w:spacing w:line="560" w:lineRule="exact"/>
        <w:rPr>
          <w:rFonts w:ascii="黑体" w:hAnsi="黑体" w:eastAsia="黑体" w:cs="楷体_GB2312"/>
          <w:sz w:val="32"/>
          <w:szCs w:val="32"/>
        </w:rPr>
      </w:pPr>
      <w:r>
        <w:rPr>
          <w:rFonts w:hint="eastAsia" w:ascii="黑体" w:hAnsi="黑体" w:eastAsia="黑体" w:cs="楷体_GB2312"/>
          <w:sz w:val="32"/>
          <w:szCs w:val="32"/>
        </w:rPr>
        <w:t>一、作业前</w:t>
      </w:r>
    </w:p>
    <w:p w14:paraId="106DE02B">
      <w:pPr>
        <w:spacing w:line="560" w:lineRule="exact"/>
        <w:ind w:firstLine="640" w:firstLineChars="200"/>
        <w:rPr>
          <w:rFonts w:ascii="仿宋_GB2312" w:hAnsi="微软雅黑" w:eastAsia="仿宋_GB2312" w:cs="楷体_GB2312"/>
          <w:sz w:val="32"/>
          <w:szCs w:val="32"/>
        </w:rPr>
      </w:pPr>
      <w:r>
        <w:rPr>
          <w:rFonts w:hint="eastAsia" w:ascii="仿宋_GB2312" w:hAnsi="微软雅黑" w:eastAsia="仿宋_GB2312" w:cs="楷体_GB2312"/>
          <w:sz w:val="32"/>
          <w:szCs w:val="32"/>
        </w:rPr>
        <w:t>1.</w:t>
      </w:r>
      <w:r>
        <w:rPr>
          <w:rFonts w:hint="eastAsia" w:ascii="仿宋_GB2312" w:hAnsi="微软雅黑" w:eastAsia="仿宋_GB2312" w:cs="楷体_GB2312"/>
          <w:sz w:val="32"/>
          <w:szCs w:val="32"/>
          <w:lang w:val="en-US" w:eastAsia="zh-CN"/>
        </w:rPr>
        <w:t>高压</w:t>
      </w:r>
      <w:r>
        <w:rPr>
          <w:rFonts w:hint="eastAsia" w:ascii="仿宋_GB2312" w:hAnsi="微软雅黑" w:eastAsia="仿宋_GB2312" w:cs="楷体_GB2312"/>
          <w:sz w:val="32"/>
          <w:szCs w:val="32"/>
        </w:rPr>
        <w:t>岸电设备属高压设备，作业人员必须考取高压电工作业证后，方可持证上岗。</w:t>
      </w:r>
    </w:p>
    <w:p w14:paraId="607C5DE7">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rPr>
        <w:t>2.岸电箱站内部停送电操作时，应严格执行“一人操作，一人</w:t>
      </w:r>
      <w:r>
        <w:rPr>
          <w:rFonts w:hint="eastAsia" w:ascii="仿宋_GB2312" w:hAnsi="微软雅黑" w:eastAsia="仿宋_GB2312" w:cs="楷体_GB2312"/>
          <w:sz w:val="32"/>
          <w:szCs w:val="32"/>
          <w:highlight w:val="none"/>
        </w:rPr>
        <w:t>监护”和“手指口述”安全确认制度，严禁违章操作、带“病”操作。</w:t>
      </w:r>
    </w:p>
    <w:p w14:paraId="33888E1A">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3.在进入岸电箱站前应穿戴好绝缘鞋、绝缘手套，检查无误后方可进入箱站。</w:t>
      </w:r>
    </w:p>
    <w:p w14:paraId="758C4F92">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4.停送电操作时必须站在绝缘脚垫上进行操作。</w:t>
      </w:r>
    </w:p>
    <w:p w14:paraId="127B984C">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5.作业前应按照要求观察高压进线柜、馈线柜、出线柜开关是否在分闸状态，观察指示屏“小车”是否在原始状态，观察触摸屏对应泊位的岸电是否有岸电备妥信号，检查箱站内灭火器是否符合规范。</w:t>
      </w:r>
    </w:p>
    <w:p w14:paraId="554CA764">
      <w:pPr>
        <w:spacing w:line="560" w:lineRule="exact"/>
        <w:ind w:firstLine="640" w:firstLineChars="200"/>
        <w:rPr>
          <w:rFonts w:ascii="黑体" w:hAnsi="黑体" w:eastAsia="黑体" w:cs="楷体_GB2312"/>
          <w:sz w:val="32"/>
          <w:szCs w:val="32"/>
          <w:highlight w:val="none"/>
        </w:rPr>
      </w:pPr>
      <w:r>
        <w:rPr>
          <w:rFonts w:hint="eastAsia" w:ascii="黑体" w:hAnsi="黑体" w:eastAsia="黑体" w:cs="楷体_GB2312"/>
          <w:sz w:val="32"/>
          <w:szCs w:val="32"/>
          <w:highlight w:val="none"/>
        </w:rPr>
        <w:t>二、作业中</w:t>
      </w:r>
    </w:p>
    <w:p w14:paraId="2EE205A2">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1.应严格</w:t>
      </w:r>
      <w:r>
        <w:rPr>
          <w:rFonts w:hint="eastAsia" w:ascii="仿宋_GB2312" w:hAnsi="微软雅黑" w:eastAsia="仿宋_GB2312" w:cs="楷体_GB2312"/>
          <w:sz w:val="32"/>
          <w:szCs w:val="32"/>
          <w:highlight w:val="none"/>
          <w:lang w:val="en-US" w:eastAsia="zh-CN"/>
        </w:rPr>
        <w:t>按照</w:t>
      </w:r>
      <w:r>
        <w:rPr>
          <w:rFonts w:hint="eastAsia" w:ascii="仿宋_GB2312" w:hAnsi="微软雅黑" w:eastAsia="仿宋_GB2312" w:cs="楷体_GB2312"/>
          <w:sz w:val="32"/>
          <w:szCs w:val="32"/>
          <w:highlight w:val="none"/>
        </w:rPr>
        <w:t>岸电操作规程进行送电操作。</w:t>
      </w:r>
    </w:p>
    <w:p w14:paraId="57F89052">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2.岸电带电期间禁止打开阀组柜门、启动柜门、刀闸室柜门。</w:t>
      </w:r>
    </w:p>
    <w:p w14:paraId="75E2B237">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3.岸电带电期间禁止对高压箱体相关按钮进行操作。</w:t>
      </w:r>
    </w:p>
    <w:p w14:paraId="0CDF9C11">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4.在运行过程过程中应安排专人至少进行一次巡查。</w:t>
      </w:r>
    </w:p>
    <w:p w14:paraId="094FE429">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5.岸电设施在运行中突然跳闸，未查明原因不得私自送电。</w:t>
      </w:r>
    </w:p>
    <w:p w14:paraId="09CA8C9D">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6.送电后</w:t>
      </w:r>
      <w:r>
        <w:rPr>
          <w:rFonts w:hint="eastAsia" w:ascii="仿宋_GB2312" w:hAnsi="微软雅黑" w:eastAsia="仿宋_GB2312" w:cs="楷体_GB2312"/>
          <w:sz w:val="32"/>
          <w:szCs w:val="32"/>
          <w:highlight w:val="none"/>
          <w:lang w:val="en-US" w:eastAsia="zh-CN"/>
        </w:rPr>
        <w:t>按照要求</w:t>
      </w:r>
      <w:r>
        <w:rPr>
          <w:rFonts w:hint="eastAsia" w:ascii="仿宋_GB2312" w:hAnsi="微软雅黑" w:eastAsia="仿宋_GB2312" w:cs="楷体_GB2312"/>
          <w:sz w:val="32"/>
          <w:szCs w:val="32"/>
          <w:highlight w:val="none"/>
        </w:rPr>
        <w:t>填写《岸电设施运行记录》</w:t>
      </w:r>
      <w:r>
        <w:rPr>
          <w:rFonts w:hint="eastAsia" w:ascii="仿宋_GB2312" w:hAnsi="微软雅黑" w:eastAsia="仿宋_GB2312" w:cs="楷体_GB2312"/>
          <w:sz w:val="32"/>
          <w:szCs w:val="32"/>
          <w:highlight w:val="none"/>
          <w:lang w:eastAsia="zh-CN"/>
        </w:rPr>
        <w:t>，</w:t>
      </w:r>
      <w:r>
        <w:rPr>
          <w:rFonts w:hint="eastAsia" w:ascii="仿宋_GB2312" w:hAnsi="微软雅黑" w:eastAsia="仿宋_GB2312" w:cs="楷体_GB2312"/>
          <w:sz w:val="32"/>
          <w:szCs w:val="32"/>
          <w:highlight w:val="none"/>
          <w:lang w:val="en-US" w:eastAsia="zh-CN"/>
        </w:rPr>
        <w:t>仔细</w:t>
      </w:r>
      <w:r>
        <w:rPr>
          <w:rFonts w:hint="eastAsia" w:ascii="仿宋_GB2312" w:hAnsi="微软雅黑" w:eastAsia="仿宋_GB2312" w:cs="楷体_GB2312"/>
          <w:sz w:val="32"/>
          <w:szCs w:val="32"/>
          <w:highlight w:val="none"/>
        </w:rPr>
        <w:t>观察设备运行情况。</w:t>
      </w:r>
    </w:p>
    <w:p w14:paraId="6CCD5F9E">
      <w:pPr>
        <w:spacing w:line="560" w:lineRule="exact"/>
        <w:ind w:firstLine="640" w:firstLineChars="200"/>
        <w:rPr>
          <w:rFonts w:ascii="黑体" w:hAnsi="黑体" w:eastAsia="黑体" w:cs="楷体_GB2312"/>
          <w:sz w:val="32"/>
          <w:szCs w:val="32"/>
          <w:highlight w:val="none"/>
        </w:rPr>
      </w:pPr>
      <w:r>
        <w:rPr>
          <w:rFonts w:hint="eastAsia" w:ascii="黑体" w:hAnsi="黑体" w:eastAsia="黑体" w:cs="楷体_GB2312"/>
          <w:sz w:val="32"/>
          <w:szCs w:val="32"/>
          <w:highlight w:val="none"/>
        </w:rPr>
        <w:t>三、作业后</w:t>
      </w:r>
    </w:p>
    <w:p w14:paraId="695263D1">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1.应严格遵守岸电操作规程进行停电操作。</w:t>
      </w:r>
    </w:p>
    <w:p w14:paraId="5251D358">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2.岸电断电后，禁止打开阀组柜门、启动柜门、刀闸室柜门。如需检修须充分进行放电，经过高压验电器检验无电后，方可检修。</w:t>
      </w:r>
    </w:p>
    <w:p w14:paraId="29C03143">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3.设备停电后，在没使用高压验电器验电以前应视有电，不得触及设备内部线路。</w:t>
      </w:r>
    </w:p>
    <w:p w14:paraId="5240B098">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4.作业完成后按照要求填写《岸电设施运行记录》并观察设备运行情况，确认无误后锁上柜门，迅速离开现场。</w:t>
      </w:r>
    </w:p>
    <w:p w14:paraId="26ACBE65">
      <w:pPr>
        <w:spacing w:line="560" w:lineRule="exact"/>
        <w:ind w:firstLine="640" w:firstLineChars="200"/>
        <w:rPr>
          <w:rFonts w:ascii="黑体" w:hAnsi="黑体" w:eastAsia="黑体" w:cs="楷体_GB2312"/>
          <w:sz w:val="32"/>
          <w:szCs w:val="32"/>
          <w:highlight w:val="none"/>
        </w:rPr>
      </w:pPr>
      <w:r>
        <w:rPr>
          <w:rFonts w:hint="eastAsia" w:ascii="黑体" w:hAnsi="黑体" w:eastAsia="黑体" w:cs="楷体_GB2312"/>
          <w:sz w:val="32"/>
          <w:szCs w:val="32"/>
          <w:highlight w:val="none"/>
        </w:rPr>
        <w:t>四、注意事项</w:t>
      </w:r>
    </w:p>
    <w:p w14:paraId="65F82F42">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1.岸电设备属于特殊设备，无关人员禁止操作。</w:t>
      </w:r>
    </w:p>
    <w:p w14:paraId="5BD3D68C">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2.</w:t>
      </w:r>
      <w:r>
        <w:rPr>
          <w:rFonts w:hint="eastAsia" w:ascii="仿宋_GB2312" w:hAnsi="微软雅黑" w:eastAsia="仿宋_GB2312" w:cs="楷体_GB2312"/>
          <w:sz w:val="32"/>
          <w:szCs w:val="32"/>
          <w:highlight w:val="none"/>
          <w:lang w:val="en-US" w:eastAsia="zh-CN"/>
        </w:rPr>
        <w:t>高压</w:t>
      </w:r>
      <w:r>
        <w:rPr>
          <w:rFonts w:hint="eastAsia" w:ascii="仿宋_GB2312" w:hAnsi="微软雅黑" w:eastAsia="仿宋_GB2312" w:cs="楷体_GB2312"/>
          <w:sz w:val="32"/>
          <w:szCs w:val="32"/>
          <w:highlight w:val="none"/>
        </w:rPr>
        <w:t>岸电设备属于高压设备，无关人员禁止靠近。</w:t>
      </w:r>
    </w:p>
    <w:p w14:paraId="2C4A7AB3">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3.岸电系统运行期间无关人员禁止操作岸电系统。</w:t>
      </w:r>
    </w:p>
    <w:p w14:paraId="388FF35F">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4.相关人员操作岸电系统时，严禁对岸电系统参数进行随意更改。</w:t>
      </w:r>
    </w:p>
    <w:p w14:paraId="48B6D217">
      <w:pPr>
        <w:spacing w:line="560" w:lineRule="exact"/>
        <w:ind w:firstLine="640" w:firstLineChars="200"/>
        <w:rPr>
          <w:rFonts w:ascii="仿宋_GB2312" w:eastAsia="仿宋_GB2312"/>
          <w:sz w:val="32"/>
          <w:szCs w:val="32"/>
          <w:highlight w:val="none"/>
        </w:rPr>
      </w:pPr>
      <w:r>
        <w:rPr>
          <w:rFonts w:hint="eastAsia" w:ascii="仿宋_GB2312" w:hAnsi="微软雅黑" w:eastAsia="仿宋_GB2312" w:cs="楷体_GB2312"/>
          <w:sz w:val="32"/>
          <w:szCs w:val="32"/>
          <w:highlight w:val="none"/>
        </w:rPr>
        <w:t>5.岸电设备设有连锁设置，上级开关与下级开关存在互锁，上级开关不合闸，下级开关不允许合闸；下级开关处于合闸状态，上级开关不允许合闸。</w:t>
      </w:r>
    </w:p>
    <w:p w14:paraId="0E536B85">
      <w:pPr>
        <w:pStyle w:val="2"/>
        <w:spacing w:before="0" w:after="0" w:line="560" w:lineRule="exact"/>
        <w:jc w:val="center"/>
        <w:rPr>
          <w:rFonts w:hint="eastAsia" w:ascii="方正小标宋简体" w:hAnsi="黑体" w:eastAsia="方正小标宋简体"/>
          <w:b w:val="0"/>
        </w:rPr>
      </w:pPr>
    </w:p>
    <w:p w14:paraId="3EEA190F">
      <w:pPr>
        <w:rPr>
          <w:rFonts w:hint="eastAsia" w:ascii="方正小标宋简体" w:hAnsi="黑体" w:eastAsia="方正小标宋简体"/>
          <w:b w:val="0"/>
        </w:rPr>
      </w:pPr>
      <w:r>
        <w:rPr>
          <w:rFonts w:hint="eastAsia" w:ascii="方正小标宋简体" w:hAnsi="黑体" w:eastAsia="方正小标宋简体"/>
          <w:b w:val="0"/>
        </w:rPr>
        <w:br w:type="page"/>
      </w:r>
    </w:p>
    <w:p w14:paraId="5DDC1E47">
      <w:pPr>
        <w:rPr>
          <w:rFonts w:hint="eastAsia"/>
        </w:rPr>
      </w:pPr>
    </w:p>
    <w:p w14:paraId="264FEAE8">
      <w:pPr>
        <w:pStyle w:val="2"/>
        <w:spacing w:before="0" w:after="0" w:line="560" w:lineRule="exact"/>
        <w:jc w:val="center"/>
        <w:rPr>
          <w:rFonts w:ascii="方正小标宋简体" w:hAnsi="黑体" w:eastAsia="方正小标宋简体"/>
          <w:b w:val="0"/>
        </w:rPr>
      </w:pPr>
      <w:bookmarkStart w:id="1" w:name="_Toc23720"/>
      <w:r>
        <w:rPr>
          <w:rFonts w:hint="eastAsia" w:ascii="方正小标宋简体" w:hAnsi="黑体" w:eastAsia="方正小标宋简体"/>
          <w:b w:val="0"/>
        </w:rPr>
        <w:t>港口岸电设施作业操作</w:t>
      </w:r>
      <w:bookmarkEnd w:id="1"/>
      <w:r>
        <w:rPr>
          <w:rFonts w:hint="eastAsia" w:ascii="方正小标宋简体" w:hAnsi="黑体" w:eastAsia="方正小标宋简体"/>
          <w:b w:val="0"/>
        </w:rPr>
        <w:t>流程</w:t>
      </w:r>
    </w:p>
    <w:p w14:paraId="48F32CAC">
      <w:pPr>
        <w:spacing w:line="560" w:lineRule="exact"/>
        <w:ind w:firstLine="640" w:firstLineChars="200"/>
        <w:rPr>
          <w:rFonts w:ascii="仿宋_GB2312" w:eastAsia="仿宋_GB2312"/>
          <w:sz w:val="32"/>
          <w:szCs w:val="32"/>
        </w:rPr>
      </w:pPr>
    </w:p>
    <w:p w14:paraId="5339C0C6">
      <w:pPr>
        <w:spacing w:line="560" w:lineRule="exact"/>
        <w:ind w:firstLine="640" w:firstLineChars="200"/>
        <w:rPr>
          <w:rFonts w:ascii="黑体" w:hAnsi="黑体" w:eastAsia="黑体" w:cs="楷体_GB2312"/>
          <w:sz w:val="32"/>
          <w:szCs w:val="32"/>
        </w:rPr>
      </w:pPr>
      <w:r>
        <w:rPr>
          <w:rFonts w:hint="eastAsia" w:ascii="黑体" w:hAnsi="黑体" w:eastAsia="黑体" w:cs="楷体_GB2312"/>
          <w:sz w:val="32"/>
          <w:szCs w:val="32"/>
        </w:rPr>
        <w:t>一、接电</w:t>
      </w:r>
    </w:p>
    <w:p w14:paraId="1D827B1F">
      <w:pPr>
        <w:spacing w:line="560" w:lineRule="exact"/>
        <w:ind w:firstLine="640" w:firstLineChars="200"/>
        <w:rPr>
          <w:rFonts w:ascii="仿宋_GB2312" w:hAnsi="微软雅黑" w:eastAsia="仿宋_GB2312" w:cs="楷体_GB2312"/>
          <w:sz w:val="32"/>
          <w:szCs w:val="32"/>
        </w:rPr>
      </w:pPr>
      <w:r>
        <w:rPr>
          <w:rFonts w:hint="eastAsia" w:ascii="仿宋_GB2312" w:hAnsi="微软雅黑" w:eastAsia="仿宋_GB2312" w:cs="楷体_GB2312"/>
          <w:sz w:val="32"/>
          <w:szCs w:val="32"/>
        </w:rPr>
        <w:t>1.船舶进港前叫港时，船方通知生产</w:t>
      </w:r>
      <w:r>
        <w:rPr>
          <w:rFonts w:hint="eastAsia" w:ascii="仿宋_GB2312" w:hAnsi="微软雅黑" w:eastAsia="仿宋_GB2312" w:cs="楷体_GB2312"/>
          <w:sz w:val="32"/>
          <w:szCs w:val="32"/>
          <w:lang w:val="en-US" w:eastAsia="zh-CN"/>
        </w:rPr>
        <w:t>运营中心</w:t>
      </w:r>
      <w:r>
        <w:rPr>
          <w:rFonts w:hint="eastAsia" w:ascii="仿宋_GB2312" w:hAnsi="微软雅黑" w:eastAsia="仿宋_GB2312" w:cs="楷体_GB2312"/>
          <w:sz w:val="32"/>
          <w:szCs w:val="32"/>
        </w:rPr>
        <w:t>，是否需要接电以及预计接电时间。</w:t>
      </w:r>
    </w:p>
    <w:p w14:paraId="48F65BEF">
      <w:pPr>
        <w:pStyle w:val="39"/>
        <w:spacing w:line="560" w:lineRule="exact"/>
        <w:ind w:firstLine="640"/>
        <w:rPr>
          <w:rFonts w:ascii="仿宋_GB2312" w:hAnsi="微软雅黑" w:eastAsia="仿宋_GB2312" w:cs="楷体_GB2312"/>
          <w:sz w:val="32"/>
          <w:szCs w:val="32"/>
        </w:rPr>
      </w:pPr>
      <w:r>
        <w:rPr>
          <w:rFonts w:hint="eastAsia" w:ascii="仿宋_GB2312" w:hAnsi="微软雅黑" w:eastAsia="仿宋_GB2312" w:cs="楷体_GB2312"/>
          <w:sz w:val="32"/>
          <w:szCs w:val="32"/>
        </w:rPr>
        <w:t>2.生产</w:t>
      </w:r>
      <w:r>
        <w:rPr>
          <w:rFonts w:hint="eastAsia" w:ascii="仿宋_GB2312" w:hAnsi="微软雅黑" w:eastAsia="仿宋_GB2312" w:cs="楷体_GB2312"/>
          <w:sz w:val="32"/>
          <w:szCs w:val="32"/>
          <w:lang w:val="en-US" w:eastAsia="zh-CN"/>
        </w:rPr>
        <w:t>运营中心</w:t>
      </w:r>
      <w:r>
        <w:rPr>
          <w:rFonts w:hint="eastAsia" w:ascii="仿宋_GB2312" w:hAnsi="微软雅黑" w:eastAsia="仿宋_GB2312" w:cs="楷体_GB2312"/>
          <w:sz w:val="32"/>
          <w:szCs w:val="32"/>
        </w:rPr>
        <w:t>将船舶停靠泊位、岸电箱编号、预计接电时间等信息通知</w:t>
      </w:r>
      <w:r>
        <w:rPr>
          <w:rFonts w:hint="eastAsia" w:ascii="仿宋_GB2312" w:hAnsi="微软雅黑" w:eastAsia="仿宋_GB2312" w:cs="楷体_GB2312"/>
          <w:sz w:val="32"/>
          <w:szCs w:val="32"/>
          <w:lang w:val="en-US" w:eastAsia="zh-CN"/>
        </w:rPr>
        <w:t>门机队</w:t>
      </w:r>
      <w:r>
        <w:rPr>
          <w:rFonts w:hint="eastAsia" w:ascii="仿宋_GB2312" w:hAnsi="微软雅黑" w:eastAsia="仿宋_GB2312" w:cs="楷体_GB2312"/>
          <w:sz w:val="32"/>
          <w:szCs w:val="32"/>
        </w:rPr>
        <w:t>电工</w:t>
      </w:r>
      <w:r>
        <w:rPr>
          <w:rFonts w:hint="eastAsia" w:ascii="仿宋_GB2312" w:hAnsi="微软雅黑" w:eastAsia="仿宋_GB2312" w:cs="楷体_GB2312"/>
          <w:sz w:val="32"/>
          <w:szCs w:val="32"/>
          <w:lang w:val="en-US" w:eastAsia="zh-CN"/>
        </w:rPr>
        <w:t>班</w:t>
      </w:r>
      <w:r>
        <w:rPr>
          <w:rFonts w:hint="eastAsia" w:ascii="仿宋_GB2312" w:hAnsi="微软雅黑" w:eastAsia="仿宋_GB2312" w:cs="楷体_GB2312"/>
          <w:sz w:val="32"/>
          <w:szCs w:val="32"/>
        </w:rPr>
        <w:t>，做好送电准备。</w:t>
      </w:r>
    </w:p>
    <w:p w14:paraId="7DEC0985">
      <w:pPr>
        <w:spacing w:line="560" w:lineRule="exact"/>
        <w:ind w:firstLine="640" w:firstLineChars="200"/>
        <w:rPr>
          <w:rFonts w:ascii="仿宋_GB2312" w:hAnsi="微软雅黑" w:eastAsia="仿宋_GB2312" w:cs="楷体_GB2312"/>
          <w:sz w:val="32"/>
          <w:szCs w:val="32"/>
        </w:rPr>
      </w:pPr>
      <w:r>
        <w:rPr>
          <w:rFonts w:hint="eastAsia" w:ascii="仿宋_GB2312" w:hAnsi="微软雅黑" w:eastAsia="仿宋_GB2312" w:cs="楷体_GB2312"/>
          <w:sz w:val="32"/>
          <w:szCs w:val="32"/>
        </w:rPr>
        <w:t>3.当班电工在接到生产</w:t>
      </w:r>
      <w:r>
        <w:rPr>
          <w:rFonts w:hint="eastAsia" w:ascii="仿宋_GB2312" w:hAnsi="微软雅黑" w:eastAsia="仿宋_GB2312" w:cs="楷体_GB2312"/>
          <w:sz w:val="32"/>
          <w:szCs w:val="32"/>
          <w:lang w:val="en-US" w:eastAsia="zh-CN"/>
        </w:rPr>
        <w:t>运营中心</w:t>
      </w:r>
      <w:r>
        <w:rPr>
          <w:rFonts w:hint="eastAsia" w:ascii="仿宋_GB2312" w:hAnsi="微软雅黑" w:eastAsia="仿宋_GB2312" w:cs="楷体_GB2312"/>
          <w:sz w:val="32"/>
          <w:szCs w:val="32"/>
        </w:rPr>
        <w:t>岸电接电作业通知后，前往相应的泊位进行接电缆作业准备。</w:t>
      </w:r>
    </w:p>
    <w:p w14:paraId="65E44D4C">
      <w:pPr>
        <w:spacing w:line="560" w:lineRule="exact"/>
        <w:ind w:firstLine="640" w:firstLineChars="200"/>
        <w:rPr>
          <w:rFonts w:ascii="仿宋_GB2312" w:hAnsi="微软雅黑" w:eastAsia="仿宋_GB2312" w:cs="楷体_GB2312"/>
          <w:sz w:val="32"/>
          <w:szCs w:val="32"/>
        </w:rPr>
      </w:pPr>
      <w:r>
        <w:rPr>
          <w:rFonts w:hint="eastAsia" w:ascii="仿宋_GB2312" w:hAnsi="微软雅黑" w:eastAsia="仿宋_GB2312" w:cs="楷体_GB2312"/>
          <w:sz w:val="32"/>
          <w:szCs w:val="32"/>
        </w:rPr>
        <w:t>4.船舶靠港系缆停稳后，现场工作人员用专用工具将船舶电缆拖至码头高压岸电箱处，确认急停开关在急停位，打开箱门，将电缆插至码头高压岸电箱处，关闭箱门，将电缆进行有效固定。</w:t>
      </w:r>
    </w:p>
    <w:p w14:paraId="22765E80">
      <w:pPr>
        <w:spacing w:line="560" w:lineRule="exact"/>
        <w:ind w:firstLine="640" w:firstLineChars="200"/>
        <w:rPr>
          <w:rFonts w:ascii="仿宋_GB2312" w:hAnsi="微软雅黑" w:eastAsia="仿宋_GB2312" w:cs="楷体_GB2312"/>
          <w:sz w:val="32"/>
          <w:szCs w:val="32"/>
        </w:rPr>
      </w:pPr>
      <w:r>
        <w:rPr>
          <w:rFonts w:hint="eastAsia" w:ascii="仿宋_GB2312" w:hAnsi="微软雅黑" w:eastAsia="仿宋_GB2312" w:cs="楷体_GB2312"/>
          <w:sz w:val="32"/>
          <w:szCs w:val="32"/>
        </w:rPr>
        <w:t>5.旋开急停开关，通知船方可以送电。</w:t>
      </w:r>
    </w:p>
    <w:p w14:paraId="6F76EEE0">
      <w:pPr>
        <w:spacing w:line="560" w:lineRule="exact"/>
        <w:ind w:firstLine="640" w:firstLineChars="200"/>
        <w:rPr>
          <w:rFonts w:ascii="仿宋_GB2312" w:hAnsi="微软雅黑" w:eastAsia="仿宋_GB2312" w:cs="楷体_GB2312"/>
          <w:sz w:val="32"/>
          <w:szCs w:val="32"/>
        </w:rPr>
      </w:pPr>
      <w:r>
        <w:rPr>
          <w:rFonts w:hint="eastAsia" w:ascii="仿宋_GB2312" w:hAnsi="微软雅黑" w:eastAsia="仿宋_GB2312" w:cs="楷体_GB2312"/>
          <w:sz w:val="32"/>
          <w:szCs w:val="32"/>
        </w:rPr>
        <w:t>6.作业人员接到送电通知后，进行远程控制送电，记录起始电表数据，并填写码头岸电设施运行记录。</w:t>
      </w:r>
    </w:p>
    <w:p w14:paraId="2DD39FDC">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（1）就地操作流程：进入箱站后检查高压进线柜、馈线柜、出线柜开关须在分闸状态，检查指示屏“小车”须在原始状态，检查触摸屏对应泊位的岸电须有岸电备妥信号，所有开关确认完毕后，开始送电。</w:t>
      </w:r>
    </w:p>
    <w:p w14:paraId="473E4F76">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操作人员须分步口述操作步骤，然后再进行各动作操作。将进线柜、馈线柜、出线柜开关打至“就地”；依次将“小车”快速均匀的手摇至工作位置，指示灯变亮；依次将开关打到合闸位置。</w:t>
      </w:r>
    </w:p>
    <w:p w14:paraId="0D04FB79">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（2）远程控制送电流程：远程控制的前提是进线柜、馈线柜、出线柜的“小车”在工作位置，且开关在“远方”控制位。进入远程控制操作界面，依次将进线柜、馈线柜、出线柜点击“合闸”，送电完毕。</w:t>
      </w:r>
    </w:p>
    <w:p w14:paraId="56946B20">
      <w:pPr>
        <w:spacing w:line="560" w:lineRule="exact"/>
        <w:ind w:firstLine="640" w:firstLineChars="200"/>
        <w:rPr>
          <w:rFonts w:ascii="黑体" w:hAnsi="黑体" w:eastAsia="黑体" w:cs="楷体_GB2312"/>
          <w:sz w:val="32"/>
          <w:szCs w:val="32"/>
          <w:highlight w:val="none"/>
        </w:rPr>
      </w:pPr>
      <w:r>
        <w:rPr>
          <w:rFonts w:hint="eastAsia" w:ascii="黑体" w:hAnsi="黑体" w:eastAsia="黑体" w:cs="楷体_GB2312"/>
          <w:sz w:val="32"/>
          <w:szCs w:val="32"/>
          <w:highlight w:val="none"/>
        </w:rPr>
        <w:t>二、撤电</w:t>
      </w:r>
    </w:p>
    <w:p w14:paraId="353641DC">
      <w:pPr>
        <w:spacing w:line="560" w:lineRule="exact"/>
        <w:ind w:firstLine="640" w:firstLineChars="200"/>
        <w:rPr>
          <w:rFonts w:hint="eastAsia" w:ascii="仿宋_GB2312" w:hAnsi="微软雅黑" w:eastAsia="仿宋_GB2312" w:cs="楷体_GB2312"/>
          <w:sz w:val="32"/>
          <w:szCs w:val="32"/>
          <w:highlight w:val="none"/>
          <w:lang w:eastAsia="zh-CN"/>
        </w:rPr>
      </w:pPr>
      <w:r>
        <w:rPr>
          <w:rFonts w:hint="eastAsia" w:ascii="仿宋_GB2312" w:hAnsi="微软雅黑" w:eastAsia="仿宋_GB2312" w:cs="楷体_GB2312"/>
          <w:sz w:val="32"/>
          <w:szCs w:val="32"/>
          <w:highlight w:val="none"/>
        </w:rPr>
        <w:t>1. 当班电工在接到生产</w:t>
      </w:r>
      <w:r>
        <w:rPr>
          <w:rFonts w:hint="eastAsia" w:ascii="仿宋_GB2312" w:hAnsi="微软雅黑" w:eastAsia="仿宋_GB2312" w:cs="楷体_GB2312"/>
          <w:sz w:val="32"/>
          <w:szCs w:val="32"/>
          <w:highlight w:val="none"/>
          <w:lang w:val="en-US" w:eastAsia="zh-CN"/>
        </w:rPr>
        <w:t>运营中心</w:t>
      </w:r>
      <w:r>
        <w:rPr>
          <w:rFonts w:hint="eastAsia" w:ascii="仿宋_GB2312" w:hAnsi="微软雅黑" w:eastAsia="仿宋_GB2312" w:cs="楷体_GB2312"/>
          <w:sz w:val="32"/>
          <w:szCs w:val="32"/>
          <w:highlight w:val="none"/>
        </w:rPr>
        <w:t>岸电撤电作业通知后，前往相应的泊位进行撤电缆作业准备。按照安全操作规程进行断电，按下急停按钮，把船舶电缆从码头高压岸电箱接口拔出，盖上电缆插头保护套，盖实箱盖，拆除电缆固定装置，配合船方将电缆送至船边，防止电缆摩擦</w:t>
      </w:r>
      <w:r>
        <w:rPr>
          <w:rFonts w:hint="eastAsia" w:ascii="仿宋_GB2312" w:hAnsi="微软雅黑" w:eastAsia="仿宋_GB2312" w:cs="楷体_GB2312"/>
          <w:sz w:val="32"/>
          <w:szCs w:val="32"/>
          <w:highlight w:val="none"/>
          <w:lang w:eastAsia="zh-CN"/>
        </w:rPr>
        <w:t>。</w:t>
      </w:r>
    </w:p>
    <w:p w14:paraId="03E61CAE">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2.记录终止电表数据，并填写码头岸电设施运行记录。</w:t>
      </w:r>
    </w:p>
    <w:p w14:paraId="70CCAD8E">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（1）就地操作流程：操作人员须分步口述操作步骤，然后再进行各动作操作，进入箱站后依次将出线柜、馈线柜、进线柜进行断电操作。</w:t>
      </w:r>
    </w:p>
    <w:p w14:paraId="535DF11F">
      <w:pPr>
        <w:spacing w:line="560" w:lineRule="exact"/>
        <w:ind w:firstLine="640" w:firstLineChars="200"/>
        <w:rPr>
          <w:rFonts w:ascii="仿宋_GB2312" w:hAnsi="微软雅黑" w:eastAsia="仿宋_GB2312" w:cs="楷体_GB2312"/>
          <w:sz w:val="32"/>
          <w:szCs w:val="32"/>
          <w:highlight w:val="none"/>
        </w:rPr>
      </w:pPr>
      <w:r>
        <w:rPr>
          <w:rFonts w:hint="eastAsia" w:ascii="仿宋_GB2312" w:hAnsi="微软雅黑" w:eastAsia="仿宋_GB2312" w:cs="楷体_GB2312"/>
          <w:sz w:val="32"/>
          <w:szCs w:val="32"/>
          <w:highlight w:val="none"/>
        </w:rPr>
        <w:t>（2）远程控制送电流程：依次将出线柜、馈线柜、进线柜点击“分闸”，撤电完毕。</w:t>
      </w:r>
    </w:p>
    <w:p w14:paraId="2B9E0DA4">
      <w:pPr>
        <w:spacing w:line="560" w:lineRule="exact"/>
        <w:ind w:firstLine="640" w:firstLineChars="200"/>
        <w:rPr>
          <w:rFonts w:ascii="仿宋_GB2312" w:hAnsi="微软雅黑" w:eastAsia="仿宋_GB2312" w:cs="微软雅黑"/>
          <w:bCs/>
          <w:sz w:val="32"/>
          <w:szCs w:val="32"/>
        </w:rPr>
      </w:pPr>
    </w:p>
    <w:p w14:paraId="5CCC8E1F">
      <w:pPr>
        <w:spacing w:line="560" w:lineRule="exact"/>
        <w:ind w:firstLine="640" w:firstLineChars="200"/>
        <w:rPr>
          <w:rFonts w:ascii="仿宋_GB2312" w:hAnsi="微软雅黑" w:eastAsia="仿宋_GB2312" w:cs="微软雅黑"/>
          <w:bCs/>
          <w:sz w:val="32"/>
          <w:szCs w:val="32"/>
        </w:rPr>
      </w:pPr>
    </w:p>
    <w:p w14:paraId="6CFFCF82">
      <w:pPr>
        <w:spacing w:line="560" w:lineRule="exact"/>
        <w:ind w:firstLine="640" w:firstLineChars="200"/>
        <w:rPr>
          <w:rFonts w:ascii="仿宋_GB2312" w:hAnsi="微软雅黑" w:eastAsia="仿宋_GB2312" w:cs="微软雅黑"/>
          <w:bCs/>
          <w:sz w:val="32"/>
          <w:szCs w:val="32"/>
        </w:rPr>
      </w:pPr>
    </w:p>
    <w:p w14:paraId="042943C5">
      <w:pPr>
        <w:spacing w:line="560" w:lineRule="exact"/>
        <w:ind w:firstLine="640" w:firstLineChars="200"/>
        <w:rPr>
          <w:rFonts w:ascii="仿宋_GB2312" w:hAnsi="微软雅黑" w:eastAsia="仿宋_GB2312" w:cs="微软雅黑"/>
          <w:bCs/>
          <w:sz w:val="32"/>
          <w:szCs w:val="32"/>
        </w:rPr>
      </w:pPr>
    </w:p>
    <w:p w14:paraId="72D9CC8D">
      <w:pPr>
        <w:spacing w:line="560" w:lineRule="exact"/>
        <w:ind w:firstLine="640" w:firstLineChars="200"/>
        <w:rPr>
          <w:rFonts w:ascii="仿宋_GB2312" w:hAnsi="微软雅黑" w:eastAsia="仿宋_GB2312" w:cs="微软雅黑"/>
          <w:bCs/>
          <w:sz w:val="32"/>
          <w:szCs w:val="32"/>
        </w:rPr>
      </w:pPr>
    </w:p>
    <w:p w14:paraId="359A04AC">
      <w:pPr>
        <w:spacing w:line="560" w:lineRule="exact"/>
        <w:ind w:firstLine="640" w:firstLineChars="200"/>
        <w:rPr>
          <w:rFonts w:ascii="仿宋_GB2312" w:hAnsi="微软雅黑" w:eastAsia="仿宋_GB2312" w:cs="微软雅黑"/>
          <w:bCs/>
          <w:sz w:val="32"/>
          <w:szCs w:val="32"/>
        </w:rPr>
      </w:pPr>
    </w:p>
    <w:p w14:paraId="28083A11">
      <w:pPr>
        <w:spacing w:line="560" w:lineRule="exact"/>
        <w:ind w:firstLine="640" w:firstLineChars="200"/>
        <w:rPr>
          <w:rFonts w:ascii="仿宋_GB2312" w:hAnsi="微软雅黑" w:eastAsia="仿宋_GB2312" w:cs="微软雅黑"/>
          <w:bCs/>
          <w:sz w:val="32"/>
          <w:szCs w:val="32"/>
        </w:rPr>
      </w:pPr>
    </w:p>
    <w:p w14:paraId="5CE09757">
      <w:pPr>
        <w:pStyle w:val="2"/>
        <w:spacing w:before="0" w:after="0" w:line="560" w:lineRule="exact"/>
        <w:jc w:val="center"/>
        <w:rPr>
          <w:rFonts w:ascii="方正小标宋简体" w:hAnsi="黑体" w:eastAsia="方正小标宋简体"/>
          <w:b w:val="0"/>
        </w:rPr>
      </w:pPr>
      <w:bookmarkStart w:id="2" w:name="_Toc13283"/>
      <w:bookmarkStart w:id="3" w:name="_Toc13321"/>
      <w:r>
        <w:rPr>
          <w:rFonts w:hint="eastAsia" w:ascii="方正小标宋简体" w:hAnsi="黑体" w:eastAsia="方正小标宋简体"/>
          <w:b w:val="0"/>
        </w:rPr>
        <w:t>港口岸电设施</w:t>
      </w:r>
      <w:bookmarkEnd w:id="2"/>
      <w:bookmarkStart w:id="4" w:name="_Toc19093"/>
      <w:r>
        <w:rPr>
          <w:rFonts w:hint="eastAsia" w:ascii="方正小标宋简体" w:hAnsi="黑体" w:eastAsia="方正小标宋简体"/>
          <w:b w:val="0"/>
        </w:rPr>
        <w:t>故障专项应急预案</w:t>
      </w:r>
      <w:bookmarkEnd w:id="4"/>
    </w:p>
    <w:p w14:paraId="3CFF2B75">
      <w:pPr>
        <w:spacing w:line="560" w:lineRule="exact"/>
        <w:ind w:firstLine="640" w:firstLineChars="200"/>
        <w:rPr>
          <w:rFonts w:ascii="仿宋_GB2312" w:hAnsi="楷体_GB2312" w:eastAsia="仿宋_GB2312" w:cs="楷体_GB2312"/>
          <w:i/>
          <w:sz w:val="32"/>
          <w:szCs w:val="32"/>
          <w:lang w:bidi="ar"/>
        </w:rPr>
      </w:pPr>
    </w:p>
    <w:p w14:paraId="08A7752C">
      <w:pPr>
        <w:spacing w:line="560" w:lineRule="exact"/>
        <w:jc w:val="center"/>
        <w:rPr>
          <w:rFonts w:ascii="黑体" w:hAnsi="黑体" w:eastAsia="黑体"/>
          <w:sz w:val="32"/>
          <w:szCs w:val="32"/>
        </w:rPr>
      </w:pPr>
      <w:r>
        <w:rPr>
          <w:rFonts w:hint="eastAsia" w:ascii="黑体" w:hAnsi="黑体" w:eastAsia="黑体"/>
          <w:sz w:val="32"/>
          <w:szCs w:val="32"/>
        </w:rPr>
        <w:t>第一章  适应范围</w:t>
      </w:r>
      <w:bookmarkEnd w:id="3"/>
    </w:p>
    <w:p w14:paraId="54EF1BCF">
      <w:pPr>
        <w:pStyle w:val="7"/>
        <w:spacing w:line="560" w:lineRule="exact"/>
        <w:ind w:firstLine="640"/>
        <w:rPr>
          <w:rFonts w:ascii="仿宋_GB2312" w:hAnsi="Calibri" w:eastAsia="仿宋_GB2312" w:cs="Times New Roman"/>
          <w:sz w:val="32"/>
          <w:szCs w:val="32"/>
          <w:lang w:bidi="ar"/>
        </w:rPr>
      </w:pPr>
    </w:p>
    <w:p w14:paraId="0057F5BC">
      <w:pPr>
        <w:spacing w:line="560" w:lineRule="exact"/>
        <w:ind w:firstLine="640" w:firstLineChars="200"/>
        <w:rPr>
          <w:rFonts w:ascii="仿宋_GB2312" w:hAnsi="微软雅黑" w:eastAsia="仿宋_GB2312"/>
          <w:sz w:val="32"/>
          <w:szCs w:val="32"/>
        </w:rPr>
      </w:pPr>
      <w:r>
        <w:rPr>
          <w:rFonts w:hint="eastAsia" w:ascii="黑体" w:hAnsi="黑体" w:eastAsia="黑体"/>
          <w:sz w:val="32"/>
          <w:szCs w:val="32"/>
        </w:rPr>
        <w:t>第一条</w:t>
      </w:r>
      <w:r>
        <w:rPr>
          <w:rFonts w:hint="eastAsia" w:ascii="仿宋_GB2312" w:hAnsi="微软雅黑" w:eastAsia="仿宋_GB2312"/>
          <w:sz w:val="32"/>
          <w:szCs w:val="32"/>
        </w:rPr>
        <w:t xml:space="preserve">  本预案适用于山东港口烟台港集团</w:t>
      </w:r>
      <w:r>
        <w:rPr>
          <w:rFonts w:hint="eastAsia" w:ascii="仿宋_GB2312" w:hAnsi="微软雅黑" w:eastAsia="仿宋_GB2312"/>
          <w:sz w:val="32"/>
          <w:szCs w:val="32"/>
          <w:lang w:val="en-US" w:eastAsia="zh-CN"/>
        </w:rPr>
        <w:t>蓬莱港有限</w:t>
      </w:r>
      <w:r>
        <w:rPr>
          <w:rFonts w:hint="eastAsia" w:ascii="仿宋_GB2312" w:hAnsi="微软雅黑" w:eastAsia="仿宋_GB2312"/>
          <w:sz w:val="32"/>
          <w:szCs w:val="32"/>
        </w:rPr>
        <w:t>公司岸电设施</w:t>
      </w:r>
      <w:r>
        <w:rPr>
          <w:rFonts w:hint="eastAsia" w:ascii="仿宋_GB2312" w:hAnsi="微软雅黑" w:eastAsia="仿宋_GB2312"/>
          <w:sz w:val="32"/>
          <w:szCs w:val="32"/>
          <w:lang w:val="en-US" w:eastAsia="zh-CN"/>
        </w:rPr>
        <w:t>突发</w:t>
      </w:r>
      <w:r>
        <w:rPr>
          <w:rFonts w:hint="eastAsia" w:ascii="仿宋_GB2312" w:hAnsi="微软雅黑" w:eastAsia="仿宋_GB2312"/>
          <w:sz w:val="32"/>
          <w:szCs w:val="32"/>
        </w:rPr>
        <w:t>故障事件，出现影响岸电设施</w:t>
      </w:r>
      <w:r>
        <w:rPr>
          <w:rFonts w:hint="eastAsia" w:ascii="仿宋_GB2312" w:hAnsi="微软雅黑" w:eastAsia="仿宋_GB2312"/>
          <w:sz w:val="32"/>
          <w:szCs w:val="32"/>
          <w:lang w:val="en-US" w:eastAsia="zh-CN"/>
        </w:rPr>
        <w:t>正常</w:t>
      </w:r>
      <w:r>
        <w:rPr>
          <w:rFonts w:hint="eastAsia" w:ascii="仿宋_GB2312" w:hAnsi="微软雅黑" w:eastAsia="仿宋_GB2312"/>
          <w:sz w:val="32"/>
          <w:szCs w:val="32"/>
        </w:rPr>
        <w:t>使用情况下的应急处置。本专项预案启动时，同时按照公司生产安全事故综合应急预案的规定进行信息上报。</w:t>
      </w:r>
    </w:p>
    <w:p w14:paraId="6313B09B">
      <w:pPr>
        <w:spacing w:line="560" w:lineRule="exact"/>
        <w:ind w:firstLine="640" w:firstLineChars="200"/>
        <w:rPr>
          <w:rFonts w:ascii="仿宋_GB2312" w:hAnsi="楷体_GB2312" w:eastAsia="仿宋_GB2312" w:cs="楷体_GB2312"/>
          <w:sz w:val="32"/>
          <w:szCs w:val="32"/>
          <w:lang w:bidi="ar"/>
        </w:rPr>
      </w:pPr>
      <w:bookmarkStart w:id="5" w:name="_Toc30677"/>
    </w:p>
    <w:p w14:paraId="6E3A5B12">
      <w:pPr>
        <w:spacing w:line="560" w:lineRule="exact"/>
        <w:jc w:val="center"/>
        <w:rPr>
          <w:rFonts w:ascii="黑体" w:hAnsi="黑体" w:eastAsia="黑体"/>
          <w:sz w:val="32"/>
          <w:szCs w:val="32"/>
        </w:rPr>
      </w:pPr>
      <w:r>
        <w:rPr>
          <w:rFonts w:hint="eastAsia" w:ascii="黑体" w:hAnsi="黑体" w:eastAsia="黑体"/>
          <w:sz w:val="32"/>
          <w:szCs w:val="32"/>
        </w:rPr>
        <w:t>第二章  应急组织机构及职责</w:t>
      </w:r>
      <w:bookmarkEnd w:id="5"/>
    </w:p>
    <w:p w14:paraId="1A02B583">
      <w:pPr>
        <w:spacing w:line="560" w:lineRule="exact"/>
        <w:ind w:firstLine="640" w:firstLineChars="200"/>
        <w:rPr>
          <w:rFonts w:ascii="仿宋_GB2312" w:hAnsi="楷体_GB2312" w:eastAsia="仿宋_GB2312" w:cs="楷体_GB2312"/>
          <w:sz w:val="32"/>
          <w:szCs w:val="32"/>
          <w:lang w:bidi="ar"/>
        </w:rPr>
      </w:pPr>
      <w:bookmarkStart w:id="6" w:name="_Toc29226"/>
    </w:p>
    <w:bookmarkEnd w:id="6"/>
    <w:p w14:paraId="3A31BD5E">
      <w:pPr>
        <w:spacing w:line="560" w:lineRule="exact"/>
        <w:ind w:firstLine="640" w:firstLineChars="200"/>
        <w:rPr>
          <w:rFonts w:ascii="仿宋_GB2312" w:hAnsi="微软雅黑" w:eastAsia="仿宋_GB2312"/>
          <w:sz w:val="32"/>
          <w:szCs w:val="32"/>
        </w:rPr>
      </w:pPr>
      <w:r>
        <w:rPr>
          <w:rFonts w:hint="eastAsia" w:ascii="黑体" w:hAnsi="黑体" w:eastAsia="黑体"/>
          <w:sz w:val="32"/>
          <w:szCs w:val="32"/>
        </w:rPr>
        <w:t>第二条</w:t>
      </w:r>
      <w:r>
        <w:rPr>
          <w:rFonts w:hint="eastAsia" w:ascii="仿宋_GB2312" w:hAnsi="微软雅黑" w:eastAsia="仿宋_GB2312"/>
          <w:sz w:val="32"/>
          <w:szCs w:val="32"/>
        </w:rPr>
        <w:t xml:space="preserve">  为有序、高效应对山东港口烟台港集团</w:t>
      </w:r>
      <w:r>
        <w:rPr>
          <w:rFonts w:hint="eastAsia" w:ascii="仿宋_GB2312" w:hAnsi="微软雅黑" w:eastAsia="仿宋_GB2312"/>
          <w:sz w:val="32"/>
          <w:szCs w:val="32"/>
          <w:lang w:val="en-US" w:eastAsia="zh-CN"/>
        </w:rPr>
        <w:t>蓬莱港有限</w:t>
      </w:r>
      <w:r>
        <w:rPr>
          <w:rFonts w:hint="eastAsia" w:ascii="仿宋_GB2312" w:hAnsi="微软雅黑" w:eastAsia="仿宋_GB2312"/>
          <w:sz w:val="32"/>
          <w:szCs w:val="32"/>
        </w:rPr>
        <w:t>公司现场发生岸电设施故障事件，</w:t>
      </w:r>
      <w:r>
        <w:rPr>
          <w:rFonts w:hint="eastAsia" w:ascii="仿宋_GB2312" w:hAnsi="微软雅黑" w:eastAsia="仿宋_GB2312"/>
          <w:sz w:val="32"/>
          <w:szCs w:val="32"/>
          <w:lang w:val="en-US" w:eastAsia="zh-CN"/>
        </w:rPr>
        <w:t>并</w:t>
      </w:r>
      <w:r>
        <w:rPr>
          <w:rFonts w:hint="eastAsia" w:ascii="仿宋_GB2312" w:hAnsi="微软雅黑" w:eastAsia="仿宋_GB2312"/>
          <w:sz w:val="32"/>
          <w:szCs w:val="32"/>
        </w:rPr>
        <w:t>设立岸电设施故障处置专项应急指挥部。组织体系见图2-1；</w:t>
      </w:r>
    </w:p>
    <w:p w14:paraId="7FB0AFA1">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岸电设施故障处置应急指挥部统一指挥相关应急处置工作；</w:t>
      </w:r>
    </w:p>
    <w:p w14:paraId="2AFE65D7">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总指挥：分管技术副总经理；</w:t>
      </w:r>
    </w:p>
    <w:p w14:paraId="0030E312">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应急指挥部下设应急办公室，应急办公室设在技术保障中心，技术保障中心主任担任应急办公室主任；</w:t>
      </w:r>
    </w:p>
    <w:p w14:paraId="350019A7">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应急指挥部下设岸电设施维修保障组、现场组、通讯信息组；</w:t>
      </w:r>
    </w:p>
    <w:p w14:paraId="45935206">
      <w:pPr>
        <w:spacing w:line="560" w:lineRule="exact"/>
        <w:ind w:firstLine="640" w:firstLineChars="200"/>
        <w:rPr>
          <w:rFonts w:hint="eastAsia" w:ascii="仿宋_GB2312" w:hAnsi="微软雅黑" w:eastAsia="仿宋_GB2312"/>
          <w:sz w:val="32"/>
          <w:szCs w:val="32"/>
        </w:rPr>
      </w:pPr>
    </w:p>
    <w:p w14:paraId="236E5B04">
      <w:pPr>
        <w:spacing w:line="560" w:lineRule="exact"/>
        <w:ind w:firstLine="640" w:firstLineChars="200"/>
        <w:rPr>
          <w:rFonts w:hint="eastAsia" w:ascii="仿宋_GB2312" w:hAnsi="微软雅黑" w:eastAsia="仿宋_GB2312"/>
          <w:sz w:val="32"/>
          <w:szCs w:val="32"/>
        </w:rPr>
      </w:pPr>
    </w:p>
    <w:p w14:paraId="0DA59EAB">
      <w:pPr>
        <w:spacing w:line="560" w:lineRule="exact"/>
        <w:ind w:firstLine="640" w:firstLineChars="200"/>
        <w:rPr>
          <w:rFonts w:hint="eastAsia" w:ascii="仿宋_GB2312" w:hAnsi="微软雅黑" w:eastAsia="仿宋_GB2312"/>
          <w:sz w:val="32"/>
          <w:szCs w:val="32"/>
        </w:rPr>
      </w:pPr>
    </w:p>
    <w:p w14:paraId="6B4BD628">
      <w:pPr>
        <w:spacing w:line="560" w:lineRule="exact"/>
        <w:jc w:val="center"/>
        <w:rPr>
          <w:rFonts w:ascii="仿宋_GB2312" w:hAnsi="微软雅黑" w:eastAsia="仿宋_GB2312"/>
          <w:sz w:val="32"/>
          <w:szCs w:val="32"/>
        </w:rPr>
      </w:pPr>
      <w:r>
        <w:rPr>
          <w:rFonts w:hint="eastAsia" w:ascii="仿宋_GB2312" w:hAnsi="微软雅黑" w:eastAsia="仿宋_GB2312"/>
          <w:sz w:val="32"/>
          <w:szCs w:val="32"/>
          <w:lang w:eastAsia="zh-CN"/>
        </w:rPr>
        <w:drawing>
          <wp:anchor distT="0" distB="0" distL="114300" distR="114300" simplePos="0" relativeHeight="251659264" behindDoc="0" locked="0" layoutInCell="1" allowOverlap="1">
            <wp:simplePos x="0" y="0"/>
            <wp:positionH relativeFrom="column">
              <wp:posOffset>44450</wp:posOffset>
            </wp:positionH>
            <wp:positionV relativeFrom="paragraph">
              <wp:posOffset>57150</wp:posOffset>
            </wp:positionV>
            <wp:extent cx="5269865" cy="1820545"/>
            <wp:effectExtent l="0" t="0" r="6985" b="8255"/>
            <wp:wrapTopAndBottom/>
            <wp:docPr id="1" name="图片 1" descr="微信截图_2025052909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截图_20250529091632"/>
                    <pic:cNvPicPr>
                      <a:picLocks noChangeAspect="1"/>
                    </pic:cNvPicPr>
                  </pic:nvPicPr>
                  <pic:blipFill>
                    <a:blip r:embed="rId6"/>
                    <a:stretch>
                      <a:fillRect/>
                    </a:stretch>
                  </pic:blipFill>
                  <pic:spPr>
                    <a:xfrm>
                      <a:off x="0" y="0"/>
                      <a:ext cx="5269865" cy="1820545"/>
                    </a:xfrm>
                    <a:prstGeom prst="rect">
                      <a:avLst/>
                    </a:prstGeom>
                  </pic:spPr>
                </pic:pic>
              </a:graphicData>
            </a:graphic>
          </wp:anchor>
        </w:drawing>
      </w:r>
      <w:r>
        <w:rPr>
          <w:rFonts w:hint="eastAsia" w:ascii="仿宋_GB2312" w:hAnsi="微软雅黑" w:eastAsia="仿宋_GB2312"/>
          <w:sz w:val="32"/>
          <w:szCs w:val="32"/>
        </w:rPr>
        <w:t>图2-1 岸电设施故障处置应急组织体系图。</w:t>
      </w:r>
    </w:p>
    <w:p w14:paraId="2D18D7E0">
      <w:pPr>
        <w:spacing w:line="560" w:lineRule="exact"/>
        <w:ind w:firstLine="640" w:firstLineChars="200"/>
        <w:rPr>
          <w:rFonts w:ascii="仿宋_GB2312" w:hAnsi="微软雅黑" w:eastAsia="仿宋_GB2312"/>
          <w:sz w:val="32"/>
          <w:szCs w:val="32"/>
        </w:rPr>
      </w:pPr>
      <w:bookmarkStart w:id="7" w:name="_Toc622"/>
      <w:r>
        <w:rPr>
          <w:rFonts w:hint="eastAsia" w:ascii="黑体" w:hAnsi="黑体" w:eastAsia="黑体"/>
          <w:sz w:val="32"/>
          <w:szCs w:val="32"/>
        </w:rPr>
        <w:t>第三条</w:t>
      </w:r>
      <w:r>
        <w:rPr>
          <w:rFonts w:hint="eastAsia" w:ascii="仿宋_GB2312" w:hAnsi="微软雅黑" w:eastAsia="仿宋_GB2312"/>
          <w:sz w:val="32"/>
          <w:szCs w:val="32"/>
        </w:rPr>
        <w:t xml:space="preserve">  应急职责</w:t>
      </w:r>
      <w:bookmarkEnd w:id="7"/>
    </w:p>
    <w:p w14:paraId="6CDD9437">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3.1  应急指挥部职责</w:t>
      </w:r>
    </w:p>
    <w:p w14:paraId="51B88E8E">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（1）负责岸电设施故障事件的应急处置领导工作，批准应急预案的启动和终止；</w:t>
      </w:r>
    </w:p>
    <w:p w14:paraId="658A45D0">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（2）负责公司范围内应急人员和应急资源的配备；</w:t>
      </w:r>
    </w:p>
    <w:p w14:paraId="56463D6B">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（3）根据故障影响范围，组织相关人员做好故障危害的控制和设备应急处置；</w:t>
      </w:r>
    </w:p>
    <w:p w14:paraId="65A643EA">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（4）负责审核对外信息发布、事件信息上报；</w:t>
      </w:r>
    </w:p>
    <w:p w14:paraId="18D3C0D8">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（5）组织或配合事件调查处理工作，落实整改措施，总结应急救援工作经验；</w:t>
      </w:r>
    </w:p>
    <w:p w14:paraId="5D6B4935">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（6）接受上级主管部门、政府的指令和调动。</w:t>
      </w:r>
    </w:p>
    <w:p w14:paraId="38472D24">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3.2  应急指挥部总指挥职责</w:t>
      </w:r>
    </w:p>
    <w:p w14:paraId="3568AE7C">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（1）负责批准本预案的启动与终止；</w:t>
      </w:r>
    </w:p>
    <w:p w14:paraId="09BE66F5">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（2）负责决策岸电设施故障处置方案；</w:t>
      </w:r>
    </w:p>
    <w:p w14:paraId="321D570D">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（3）负责人员、资源配置的调动，协调应急处置有关工作；</w:t>
      </w:r>
    </w:p>
    <w:p w14:paraId="270D15A0">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（4）需扩大应急时，负责请求上级支援；</w:t>
      </w:r>
    </w:p>
    <w:p w14:paraId="6CEE6F85">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（5）完成上级主管部门、政府交办的其它工作。</w:t>
      </w:r>
    </w:p>
    <w:p w14:paraId="6E16A139">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3.3  应急办公室职责</w:t>
      </w:r>
    </w:p>
    <w:p w14:paraId="0D6C6524">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（1）负责岸电设施故障处置应急指挥部的日常工作。</w:t>
      </w:r>
    </w:p>
    <w:p w14:paraId="0DBCA052">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（2）负责岸电设施故障处置应急预案的编制、修订、完善、评估、备案工作，制定年度应急预案培训、演练计划并组织实施；</w:t>
      </w:r>
    </w:p>
    <w:p w14:paraId="4AA2547E">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（3）负责接报故障，传达领导指示，跟踪故障发展动态，收集、处理、汇总故障现场相关信息，及时向岸电设施故障处置应急指挥部报送故障动态信息；</w:t>
      </w:r>
    </w:p>
    <w:p w14:paraId="196AC21A">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（4）负责收集岸电设施故障处置意见，并形成岸电设施故障处置方案供应急指挥部参考；</w:t>
      </w:r>
    </w:p>
    <w:p w14:paraId="6C542EF3">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（5）对岸电设施维护单位的应急救援设备、设施、物资的配置和应急救援器材、装备的配备情况进行监督检查；</w:t>
      </w:r>
    </w:p>
    <w:p w14:paraId="781D2BC1">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（6）负责与烟台港供电公司的日常联系；</w:t>
      </w:r>
    </w:p>
    <w:p w14:paraId="0F54C94C">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（7）完成应急救援总结审核和归档工作；</w:t>
      </w:r>
    </w:p>
    <w:p w14:paraId="79AB25DD">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（8）完成指挥部交办的其它工作。</w:t>
      </w:r>
    </w:p>
    <w:p w14:paraId="6D737CA9">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3.4  岸电设施维修保障组</w:t>
      </w:r>
    </w:p>
    <w:p w14:paraId="62FBD4FC">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技术保障中心主任（副主任）任组长，成员由技术保障中心电气技术管理员、岸电设施维保单位相关专业人员组成；</w:t>
      </w:r>
    </w:p>
    <w:p w14:paraId="495CD3E4">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（1）负责岸电设施故障事件的处置及技术指导等工作；</w:t>
      </w:r>
    </w:p>
    <w:p w14:paraId="14C97829">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（2）对岸电设施维保单位故障现场隔离区的划定、警戒线和标识的设置情况进行监督检查；</w:t>
      </w:r>
    </w:p>
    <w:p w14:paraId="7F0D53A3">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（3）完成应急指挥部交办的其他任务。</w:t>
      </w:r>
    </w:p>
    <w:p w14:paraId="710B2A7F">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3.5  现场组</w:t>
      </w:r>
    </w:p>
    <w:p w14:paraId="74C1E1C2">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lang w:val="en-US" w:eastAsia="zh-CN"/>
        </w:rPr>
        <w:t>门机队队长</w:t>
      </w:r>
      <w:r>
        <w:rPr>
          <w:rFonts w:hint="eastAsia" w:ascii="仿宋_GB2312" w:hAnsi="微软雅黑" w:eastAsia="仿宋_GB2312"/>
          <w:sz w:val="32"/>
          <w:szCs w:val="32"/>
        </w:rPr>
        <w:t>任组长，成员</w:t>
      </w:r>
      <w:r>
        <w:rPr>
          <w:rFonts w:hint="eastAsia" w:ascii="仿宋_GB2312" w:hAnsi="微软雅黑" w:eastAsia="仿宋_GB2312"/>
          <w:sz w:val="32"/>
          <w:szCs w:val="32"/>
          <w:lang w:val="en-US" w:eastAsia="zh-CN"/>
        </w:rPr>
        <w:t>由</w:t>
      </w:r>
      <w:r>
        <w:rPr>
          <w:rFonts w:hint="eastAsia" w:ascii="仿宋_GB2312" w:hAnsi="微软雅黑" w:eastAsia="仿宋_GB2312"/>
          <w:sz w:val="32"/>
          <w:szCs w:val="32"/>
        </w:rPr>
        <w:t>现场电工组成；</w:t>
      </w:r>
    </w:p>
    <w:p w14:paraId="254DB354">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（1）负责配合岸电设施维修保障组进行相关工作；</w:t>
      </w:r>
    </w:p>
    <w:p w14:paraId="494E5051">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（2）根据故障波及范围、影响区域确定警戒隔离区</w:t>
      </w:r>
      <w:r>
        <w:rPr>
          <w:rFonts w:hint="eastAsia" w:ascii="仿宋_GB2312" w:hAnsi="微软雅黑" w:eastAsia="仿宋_GB2312"/>
          <w:sz w:val="32"/>
          <w:szCs w:val="32"/>
          <w:lang w:eastAsia="zh-CN"/>
        </w:rPr>
        <w:t>，</w:t>
      </w:r>
      <w:r>
        <w:rPr>
          <w:rFonts w:hint="eastAsia" w:ascii="仿宋_GB2312" w:hAnsi="微软雅黑" w:eastAsia="仿宋_GB2312"/>
          <w:sz w:val="32"/>
          <w:szCs w:val="32"/>
        </w:rPr>
        <w:t>隔离故障现场，在警戒隔离区边界设警示标志和警戒带，并对通往故障现场的道路实行管制，除应急救援人员外，严禁无关人员进入并根据故障实际情况及时调整警戒隔离区；</w:t>
      </w:r>
    </w:p>
    <w:p w14:paraId="197B0A75">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（3）完成应急指挥部交办的其他任务。</w:t>
      </w:r>
    </w:p>
    <w:p w14:paraId="33CE1982">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3.6  通讯信息组职责</w:t>
      </w:r>
    </w:p>
    <w:p w14:paraId="21779A86">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技术保障中心主任担任组长，成员由岸电设施维保单位负责人、各站分管副站长等组成。</w:t>
      </w:r>
    </w:p>
    <w:p w14:paraId="4B97A407">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（1）负责应急体系通讯系统的设置、日常管理和现场的通讯联络任务，保证应急信息联络畅通；</w:t>
      </w:r>
    </w:p>
    <w:p w14:paraId="47BE7F5C">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（2）负责收集、联系相关生产安全应急信息，及时报告给应急指挥部并做好记录；</w:t>
      </w:r>
    </w:p>
    <w:p w14:paraId="25E41450">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（3）负责及时与医疗机构业务联系，设备故障处置中，如发生触电、坠海、机械伤害等需外医人员转送至就近或相关专业医疗机构进行救治；</w:t>
      </w:r>
    </w:p>
    <w:p w14:paraId="1AC8D5FB">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（4）完成应急指挥部交办的其他工作。</w:t>
      </w:r>
    </w:p>
    <w:p w14:paraId="3D23CF97">
      <w:pPr>
        <w:spacing w:line="560" w:lineRule="exact"/>
        <w:jc w:val="center"/>
        <w:rPr>
          <w:rFonts w:ascii="黑体" w:hAnsi="黑体" w:eastAsia="黑体"/>
          <w:sz w:val="32"/>
          <w:szCs w:val="32"/>
        </w:rPr>
      </w:pPr>
      <w:bookmarkStart w:id="8" w:name="_Toc8838"/>
      <w:r>
        <w:rPr>
          <w:rFonts w:hint="eastAsia" w:ascii="黑体" w:hAnsi="黑体" w:eastAsia="黑体"/>
          <w:sz w:val="32"/>
          <w:szCs w:val="32"/>
        </w:rPr>
        <w:t>第三章  响应启动</w:t>
      </w:r>
      <w:bookmarkEnd w:id="8"/>
    </w:p>
    <w:p w14:paraId="4998748C">
      <w:pPr>
        <w:pStyle w:val="7"/>
        <w:spacing w:line="560" w:lineRule="exact"/>
        <w:ind w:firstLine="640"/>
        <w:rPr>
          <w:rFonts w:ascii="仿宋_GB2312" w:hAnsi="Calibri" w:eastAsia="仿宋_GB2312" w:cs="Times New Roman"/>
          <w:sz w:val="32"/>
          <w:szCs w:val="32"/>
          <w:lang w:bidi="ar"/>
        </w:rPr>
      </w:pPr>
    </w:p>
    <w:p w14:paraId="1A0D77DA">
      <w:pPr>
        <w:spacing w:line="560" w:lineRule="exact"/>
        <w:ind w:firstLine="640" w:firstLineChars="200"/>
        <w:rPr>
          <w:rFonts w:ascii="仿宋_GB2312" w:hAnsi="微软雅黑" w:eastAsia="仿宋_GB2312"/>
          <w:sz w:val="32"/>
          <w:szCs w:val="32"/>
        </w:rPr>
      </w:pPr>
      <w:bookmarkStart w:id="9" w:name="_Toc9090"/>
      <w:r>
        <w:rPr>
          <w:rFonts w:hint="eastAsia" w:ascii="黑体" w:hAnsi="黑体" w:eastAsia="黑体"/>
          <w:sz w:val="32"/>
          <w:szCs w:val="32"/>
        </w:rPr>
        <w:t>第四条</w:t>
      </w:r>
      <w:r>
        <w:rPr>
          <w:rFonts w:hint="eastAsia" w:ascii="仿宋_GB2312" w:hAnsi="微软雅黑" w:eastAsia="仿宋_GB2312"/>
          <w:sz w:val="32"/>
          <w:szCs w:val="32"/>
        </w:rPr>
        <w:t xml:space="preserve">  安全风险识别</w:t>
      </w:r>
      <w:bookmarkEnd w:id="9"/>
    </w:p>
    <w:p w14:paraId="21A38BE2">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4.1  作业现场简况</w:t>
      </w:r>
    </w:p>
    <w:p w14:paraId="2C6C3787">
      <w:pPr>
        <w:spacing w:line="560" w:lineRule="exact"/>
        <w:ind w:firstLine="640" w:firstLineChars="200"/>
        <w:rPr>
          <w:rFonts w:hint="eastAsia" w:ascii="仿宋_GB2312" w:hAnsi="微软雅黑" w:eastAsia="仿宋_GB2312"/>
          <w:sz w:val="32"/>
          <w:szCs w:val="32"/>
          <w:lang w:val="en-US" w:eastAsia="zh-CN"/>
        </w:rPr>
      </w:pPr>
      <w:r>
        <w:rPr>
          <w:rFonts w:hint="eastAsia" w:ascii="仿宋_GB2312" w:hAnsi="微软雅黑" w:eastAsia="仿宋_GB2312"/>
          <w:sz w:val="32"/>
          <w:szCs w:val="32"/>
        </w:rPr>
        <w:t>烟台港</w:t>
      </w:r>
      <w:r>
        <w:rPr>
          <w:rFonts w:hint="eastAsia" w:ascii="仿宋_GB2312" w:hAnsi="微软雅黑" w:eastAsia="仿宋_GB2312"/>
          <w:sz w:val="32"/>
          <w:szCs w:val="32"/>
          <w:lang w:val="en-US" w:eastAsia="zh-CN"/>
        </w:rPr>
        <w:t>集团蓬莱港有限公司</w:t>
      </w:r>
      <w:r>
        <w:rPr>
          <w:rFonts w:hint="eastAsia" w:ascii="仿宋_GB2312" w:hAnsi="微软雅黑" w:eastAsia="仿宋_GB2312"/>
          <w:sz w:val="32"/>
          <w:szCs w:val="32"/>
        </w:rPr>
        <w:t>共建设</w:t>
      </w:r>
      <w:r>
        <w:rPr>
          <w:rFonts w:hint="eastAsia" w:ascii="仿宋_GB2312" w:hAnsi="微软雅黑" w:eastAsia="仿宋_GB2312"/>
          <w:sz w:val="32"/>
          <w:szCs w:val="32"/>
          <w:lang w:val="en-US" w:eastAsia="zh-CN"/>
        </w:rPr>
        <w:t>3</w:t>
      </w:r>
      <w:r>
        <w:rPr>
          <w:rFonts w:hint="eastAsia" w:ascii="仿宋_GB2312" w:hAnsi="微软雅黑" w:eastAsia="仿宋_GB2312"/>
          <w:sz w:val="32"/>
          <w:szCs w:val="32"/>
        </w:rPr>
        <w:t>套</w:t>
      </w:r>
      <w:r>
        <w:rPr>
          <w:rFonts w:hint="eastAsia" w:ascii="仿宋_GB2312" w:hAnsi="微软雅黑" w:eastAsia="仿宋_GB2312"/>
          <w:sz w:val="32"/>
          <w:szCs w:val="32"/>
          <w:lang w:val="en-US" w:eastAsia="zh-CN"/>
        </w:rPr>
        <w:t>岸电设施，其中高压1套，低压2套。</w:t>
      </w:r>
    </w:p>
    <w:p w14:paraId="579009FD">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4.2  故障风险描述</w:t>
      </w:r>
    </w:p>
    <w:p w14:paraId="1904BFF0">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存在发生岸电设施故障的风险，主要有三类，具体如下：</w:t>
      </w:r>
    </w:p>
    <w:p w14:paraId="0D70BD94">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（1）供电公司外电源设备发生故障，造成岸电设施失压跳闸；</w:t>
      </w:r>
    </w:p>
    <w:p w14:paraId="59DD6E53">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（2）岸电电源系统、岸电变频系统及岸电箱等故障，造成岸电设施无法正常运行；</w:t>
      </w:r>
    </w:p>
    <w:p w14:paraId="469D849D">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（3）恶劣天气造成岸电无法正常接引；</w:t>
      </w:r>
    </w:p>
    <w:p w14:paraId="5107FB8C">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（4）岸电操作不规范造成人身触电事故；</w:t>
      </w:r>
    </w:p>
    <w:p w14:paraId="7307986B">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以上情况会导致岸电设施停用或人身伤害事故。</w:t>
      </w:r>
    </w:p>
    <w:p w14:paraId="0B4D896B">
      <w:pPr>
        <w:spacing w:line="560" w:lineRule="exact"/>
        <w:ind w:firstLine="640" w:firstLineChars="200"/>
        <w:rPr>
          <w:rFonts w:ascii="仿宋_GB2312" w:hAnsi="微软雅黑" w:eastAsia="仿宋_GB2312"/>
          <w:sz w:val="32"/>
          <w:szCs w:val="32"/>
        </w:rPr>
      </w:pPr>
      <w:bookmarkStart w:id="10" w:name="_Toc16630"/>
      <w:r>
        <w:rPr>
          <w:rFonts w:hint="eastAsia" w:ascii="黑体" w:hAnsi="黑体" w:eastAsia="黑体"/>
          <w:sz w:val="32"/>
          <w:szCs w:val="32"/>
        </w:rPr>
        <w:t>第五条</w:t>
      </w:r>
      <w:r>
        <w:rPr>
          <w:rFonts w:hint="eastAsia" w:ascii="仿宋_GB2312" w:hAnsi="微软雅黑" w:eastAsia="仿宋_GB2312"/>
          <w:sz w:val="32"/>
          <w:szCs w:val="32"/>
        </w:rPr>
        <w:t xml:space="preserve">  信息报告</w:t>
      </w:r>
      <w:bookmarkEnd w:id="10"/>
    </w:p>
    <w:p w14:paraId="48BDDB86">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5.1  信息接收与通报</w:t>
      </w:r>
      <w:r>
        <w:rPr>
          <w:rFonts w:hint="eastAsia" w:ascii="仿宋_GB2312" w:hAnsi="微软雅黑" w:eastAsia="仿宋_GB2312"/>
          <w:sz w:val="32"/>
          <w:szCs w:val="32"/>
        </w:rPr>
        <w:tab/>
      </w:r>
    </w:p>
    <w:p w14:paraId="3F868FEC">
      <w:pPr>
        <w:spacing w:line="560" w:lineRule="exact"/>
        <w:ind w:firstLine="640" w:firstLineChars="200"/>
        <w:rPr>
          <w:rFonts w:hint="eastAsia" w:ascii="仿宋_GB2312" w:hAnsi="微软雅黑" w:eastAsia="仿宋_GB2312"/>
          <w:sz w:val="32"/>
          <w:szCs w:val="32"/>
          <w:lang w:eastAsia="zh-CN"/>
        </w:rPr>
      </w:pPr>
      <w:r>
        <w:rPr>
          <w:rFonts w:hint="eastAsia" w:ascii="仿宋_GB2312" w:hAnsi="微软雅黑" w:eastAsia="仿宋_GB2312"/>
          <w:sz w:val="32"/>
          <w:szCs w:val="32"/>
        </w:rPr>
        <w:t>（1）24小时应急值守电话：总调度值班室：0535-</w:t>
      </w:r>
      <w:r>
        <w:rPr>
          <w:rFonts w:hint="eastAsia" w:ascii="仿宋_GB2312" w:hAnsi="微软雅黑" w:eastAsia="仿宋_GB2312"/>
          <w:sz w:val="32"/>
          <w:szCs w:val="32"/>
          <w:lang w:val="en-US" w:eastAsia="zh-CN"/>
        </w:rPr>
        <w:t>6509111</w:t>
      </w:r>
      <w:r>
        <w:rPr>
          <w:rFonts w:hint="eastAsia" w:ascii="仿宋_GB2312" w:hAnsi="微软雅黑" w:eastAsia="仿宋_GB2312"/>
          <w:sz w:val="32"/>
          <w:szCs w:val="32"/>
        </w:rPr>
        <w:t>（生产</w:t>
      </w:r>
      <w:r>
        <w:rPr>
          <w:rFonts w:hint="eastAsia" w:ascii="仿宋_GB2312" w:hAnsi="微软雅黑" w:eastAsia="仿宋_GB2312"/>
          <w:sz w:val="32"/>
          <w:szCs w:val="32"/>
          <w:lang w:val="en-US" w:eastAsia="zh-CN"/>
        </w:rPr>
        <w:t>运营</w:t>
      </w:r>
      <w:r>
        <w:rPr>
          <w:rFonts w:hint="eastAsia" w:ascii="仿宋_GB2312" w:hAnsi="微软雅黑" w:eastAsia="仿宋_GB2312"/>
          <w:sz w:val="32"/>
          <w:szCs w:val="32"/>
        </w:rPr>
        <w:t>中心）</w:t>
      </w:r>
      <w:r>
        <w:rPr>
          <w:rFonts w:hint="eastAsia" w:ascii="仿宋_GB2312" w:hAnsi="微软雅黑" w:eastAsia="仿宋_GB2312"/>
          <w:sz w:val="32"/>
          <w:szCs w:val="32"/>
          <w:lang w:eastAsia="zh-CN"/>
        </w:rPr>
        <w:t>；</w:t>
      </w:r>
    </w:p>
    <w:p w14:paraId="7868AFF9">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（2）当岸电不能正常接引时，岸电设施操作人员需立即报告</w:t>
      </w:r>
      <w:r>
        <w:rPr>
          <w:rFonts w:hint="eastAsia" w:ascii="仿宋_GB2312" w:hAnsi="微软雅黑" w:eastAsia="仿宋_GB2312"/>
          <w:sz w:val="32"/>
          <w:szCs w:val="32"/>
          <w:lang w:val="en-US" w:eastAsia="zh-CN"/>
        </w:rPr>
        <w:t>当班班长</w:t>
      </w:r>
      <w:r>
        <w:rPr>
          <w:rFonts w:hint="eastAsia" w:ascii="仿宋_GB2312" w:hAnsi="微软雅黑" w:eastAsia="仿宋_GB2312"/>
          <w:sz w:val="32"/>
          <w:szCs w:val="32"/>
        </w:rPr>
        <w:t>、船方及</w:t>
      </w:r>
      <w:r>
        <w:rPr>
          <w:rFonts w:hint="eastAsia" w:ascii="仿宋_GB2312" w:hAnsi="微软雅黑" w:eastAsia="仿宋_GB2312"/>
          <w:sz w:val="32"/>
          <w:szCs w:val="32"/>
          <w:lang w:val="en-US" w:eastAsia="zh-CN"/>
        </w:rPr>
        <w:t>生产运营中心</w:t>
      </w:r>
      <w:r>
        <w:rPr>
          <w:rFonts w:hint="eastAsia" w:ascii="仿宋_GB2312" w:hAnsi="微软雅黑" w:eastAsia="仿宋_GB2312"/>
          <w:sz w:val="32"/>
          <w:szCs w:val="32"/>
        </w:rPr>
        <w:t>，</w:t>
      </w:r>
      <w:r>
        <w:rPr>
          <w:rFonts w:hint="eastAsia" w:ascii="仿宋_GB2312" w:hAnsi="微软雅黑" w:eastAsia="仿宋_GB2312"/>
          <w:sz w:val="32"/>
          <w:szCs w:val="32"/>
          <w:lang w:val="en-US" w:eastAsia="zh-CN"/>
        </w:rPr>
        <w:t>当班班长</w:t>
      </w:r>
      <w:r>
        <w:rPr>
          <w:rFonts w:hint="eastAsia" w:ascii="仿宋_GB2312" w:hAnsi="微软雅黑" w:eastAsia="仿宋_GB2312"/>
          <w:sz w:val="32"/>
          <w:szCs w:val="32"/>
        </w:rPr>
        <w:t>立即报告应急指挥部。</w:t>
      </w:r>
    </w:p>
    <w:p w14:paraId="1A823E61">
      <w:pPr>
        <w:spacing w:line="560" w:lineRule="exact"/>
        <w:ind w:firstLine="640" w:firstLineChars="200"/>
        <w:rPr>
          <w:rFonts w:ascii="仿宋_GB2312" w:hAnsi="微软雅黑" w:eastAsia="仿宋_GB2312"/>
          <w:sz w:val="32"/>
          <w:szCs w:val="32"/>
          <w:highlight w:val="none"/>
        </w:rPr>
      </w:pPr>
      <w:r>
        <w:rPr>
          <w:rFonts w:hint="eastAsia" w:ascii="仿宋_GB2312" w:hAnsi="微软雅黑" w:eastAsia="仿宋_GB2312"/>
          <w:sz w:val="32"/>
          <w:szCs w:val="32"/>
        </w:rPr>
        <w:t>（3）当发生人身触电事故时，有关人员要立即报告</w:t>
      </w:r>
      <w:r>
        <w:rPr>
          <w:rFonts w:hint="eastAsia" w:ascii="仿宋_GB2312" w:hAnsi="微软雅黑" w:eastAsia="仿宋_GB2312"/>
          <w:sz w:val="32"/>
          <w:szCs w:val="32"/>
          <w:lang w:val="en-US" w:eastAsia="zh-CN"/>
        </w:rPr>
        <w:t>生产</w:t>
      </w:r>
      <w:r>
        <w:rPr>
          <w:rFonts w:hint="eastAsia" w:ascii="仿宋_GB2312" w:hAnsi="微软雅黑" w:eastAsia="仿宋_GB2312"/>
          <w:sz w:val="32"/>
          <w:szCs w:val="32"/>
          <w:highlight w:val="none"/>
          <w:lang w:val="en-US" w:eastAsia="zh-CN"/>
        </w:rPr>
        <w:t>运营中心</w:t>
      </w:r>
      <w:r>
        <w:rPr>
          <w:rFonts w:hint="eastAsia" w:ascii="仿宋_GB2312" w:hAnsi="微软雅黑" w:eastAsia="仿宋_GB2312"/>
          <w:sz w:val="32"/>
          <w:szCs w:val="32"/>
          <w:highlight w:val="none"/>
        </w:rPr>
        <w:t>，</w:t>
      </w:r>
      <w:r>
        <w:rPr>
          <w:rFonts w:hint="eastAsia" w:ascii="仿宋_GB2312" w:hAnsi="微软雅黑" w:eastAsia="仿宋_GB2312"/>
          <w:sz w:val="32"/>
          <w:szCs w:val="32"/>
          <w:highlight w:val="none"/>
          <w:lang w:val="en-US" w:eastAsia="zh-CN"/>
        </w:rPr>
        <w:t>生产运营中心</w:t>
      </w:r>
      <w:r>
        <w:rPr>
          <w:rFonts w:hint="eastAsia" w:ascii="仿宋_GB2312" w:hAnsi="微软雅黑" w:eastAsia="仿宋_GB2312"/>
          <w:sz w:val="32"/>
          <w:szCs w:val="32"/>
          <w:highlight w:val="none"/>
        </w:rPr>
        <w:t>立即报告应急指挥部。</w:t>
      </w:r>
    </w:p>
    <w:p w14:paraId="227879D5">
      <w:pPr>
        <w:spacing w:line="560" w:lineRule="exact"/>
        <w:ind w:firstLine="640" w:firstLineChars="200"/>
        <w:rPr>
          <w:rFonts w:hint="eastAsia" w:ascii="仿宋_GB2312" w:hAnsi="微软雅黑" w:eastAsia="仿宋_GB2312"/>
          <w:sz w:val="32"/>
          <w:szCs w:val="32"/>
          <w:highlight w:val="none"/>
        </w:rPr>
      </w:pPr>
      <w:r>
        <w:rPr>
          <w:rFonts w:hint="eastAsia" w:ascii="黑体" w:hAnsi="黑体" w:eastAsia="黑体"/>
          <w:sz w:val="32"/>
          <w:szCs w:val="32"/>
          <w:highlight w:val="none"/>
        </w:rPr>
        <w:t>第六条</w:t>
      </w:r>
      <w:r>
        <w:rPr>
          <w:rFonts w:hint="eastAsia" w:ascii="仿宋_GB2312" w:hAnsi="微软雅黑" w:eastAsia="仿宋_GB2312"/>
          <w:sz w:val="32"/>
          <w:szCs w:val="32"/>
          <w:highlight w:val="none"/>
        </w:rPr>
        <w:t xml:space="preserve">  信息上报</w:t>
      </w:r>
    </w:p>
    <w:p w14:paraId="349B9116">
      <w:pPr>
        <w:spacing w:line="560" w:lineRule="exact"/>
        <w:ind w:firstLine="640" w:firstLineChars="200"/>
        <w:rPr>
          <w:rFonts w:ascii="仿宋_GB2312" w:hAnsi="微软雅黑" w:eastAsia="仿宋_GB2312"/>
          <w:sz w:val="32"/>
          <w:szCs w:val="32"/>
          <w:highlight w:val="none"/>
        </w:rPr>
      </w:pPr>
      <w:r>
        <w:rPr>
          <w:rFonts w:hint="eastAsia" w:ascii="仿宋_GB2312" w:hAnsi="微软雅黑" w:eastAsia="仿宋_GB2312"/>
          <w:sz w:val="32"/>
          <w:szCs w:val="32"/>
          <w:highlight w:val="none"/>
        </w:rPr>
        <w:t>6.1  信息上报流程</w:t>
      </w:r>
    </w:p>
    <w:p w14:paraId="146551DA">
      <w:pPr>
        <w:spacing w:line="560" w:lineRule="exact"/>
        <w:ind w:firstLine="640" w:firstLineChars="200"/>
        <w:rPr>
          <w:rFonts w:ascii="仿宋_GB2312" w:hAnsi="微软雅黑" w:eastAsia="仿宋_GB2312"/>
          <w:sz w:val="32"/>
          <w:szCs w:val="32"/>
          <w:highlight w:val="none"/>
        </w:rPr>
      </w:pPr>
      <w:r>
        <w:rPr>
          <w:rFonts w:hint="eastAsia" w:ascii="仿宋_GB2312" w:hAnsi="微软雅黑" w:eastAsia="仿宋_GB2312"/>
          <w:sz w:val="32"/>
          <w:szCs w:val="32"/>
          <w:highlight w:val="none"/>
        </w:rPr>
        <w:t>当预判或发生岸电不能正常供电的故障时，</w:t>
      </w:r>
      <w:r>
        <w:rPr>
          <w:rFonts w:hint="eastAsia" w:ascii="仿宋_GB2312" w:hAnsi="微软雅黑" w:eastAsia="仿宋_GB2312"/>
          <w:sz w:val="32"/>
          <w:szCs w:val="32"/>
          <w:highlight w:val="none"/>
          <w:lang w:val="en-US" w:eastAsia="zh-CN"/>
        </w:rPr>
        <w:t>当班班长</w:t>
      </w:r>
      <w:r>
        <w:rPr>
          <w:rFonts w:hint="eastAsia" w:ascii="仿宋_GB2312" w:hAnsi="微软雅黑" w:eastAsia="仿宋_GB2312"/>
          <w:sz w:val="32"/>
          <w:szCs w:val="32"/>
          <w:highlight w:val="none"/>
        </w:rPr>
        <w:t>在30分钟内将故障信息上报公司应急指挥部，当发生人身触电事故时，需立即上报岸电设施故障处置应急指挥部。</w:t>
      </w:r>
    </w:p>
    <w:p w14:paraId="0E13A0A6">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6.2  故障报告内容</w:t>
      </w:r>
    </w:p>
    <w:p w14:paraId="415CD0F6">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包括设备概况；岸电设施故障发生的时间、地点、简要经过、岸电设施故障影响范围及故障初步原因等；事件采取的措施及岸电设施维修情况；专业维修人员和抢修设备、器材等；事件初步性质；报告人、联系电话、联系人；其他应该报告的情况等。</w:t>
      </w:r>
    </w:p>
    <w:p w14:paraId="7BCA7EF3">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6.3  信息公开</w:t>
      </w:r>
    </w:p>
    <w:p w14:paraId="42F5F45F">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当发生或预判的突发事件将影响公司船舶秩序时，由公司生产</w:t>
      </w:r>
      <w:r>
        <w:rPr>
          <w:rFonts w:hint="eastAsia" w:ascii="仿宋_GB2312" w:hAnsi="微软雅黑" w:eastAsia="仿宋_GB2312"/>
          <w:sz w:val="32"/>
          <w:szCs w:val="32"/>
          <w:lang w:val="en-US" w:eastAsia="zh-CN"/>
        </w:rPr>
        <w:t>运营</w:t>
      </w:r>
      <w:r>
        <w:rPr>
          <w:rFonts w:hint="eastAsia" w:ascii="仿宋_GB2312" w:hAnsi="微软雅黑" w:eastAsia="仿宋_GB2312"/>
          <w:sz w:val="32"/>
          <w:szCs w:val="32"/>
        </w:rPr>
        <w:t>中心向船公司</w:t>
      </w:r>
      <w:r>
        <w:rPr>
          <w:rFonts w:hint="eastAsia" w:ascii="仿宋_GB2312" w:hAnsi="微软雅黑" w:eastAsia="仿宋_GB2312"/>
          <w:sz w:val="32"/>
          <w:szCs w:val="32"/>
          <w:lang w:val="en-US" w:eastAsia="zh-CN"/>
        </w:rPr>
        <w:t>进行信息公开</w:t>
      </w:r>
      <w:r>
        <w:rPr>
          <w:rFonts w:hint="eastAsia" w:ascii="仿宋_GB2312" w:hAnsi="微软雅黑" w:eastAsia="仿宋_GB2312"/>
          <w:sz w:val="32"/>
          <w:szCs w:val="32"/>
        </w:rPr>
        <w:t>。</w:t>
      </w:r>
    </w:p>
    <w:p w14:paraId="62BBAC1A">
      <w:pPr>
        <w:pStyle w:val="7"/>
        <w:spacing w:line="560" w:lineRule="exact"/>
        <w:ind w:firstLine="640"/>
        <w:rPr>
          <w:rFonts w:ascii="仿宋_GB2312" w:hAnsi="Calibri" w:eastAsia="仿宋_GB2312" w:cs="Times New Roman"/>
          <w:sz w:val="32"/>
          <w:szCs w:val="32"/>
          <w:lang w:bidi="ar"/>
        </w:rPr>
      </w:pPr>
    </w:p>
    <w:p w14:paraId="1860FA39">
      <w:pPr>
        <w:spacing w:line="560" w:lineRule="exact"/>
        <w:jc w:val="center"/>
        <w:rPr>
          <w:rFonts w:ascii="黑体" w:hAnsi="黑体" w:eastAsia="黑体"/>
          <w:sz w:val="32"/>
          <w:szCs w:val="32"/>
          <w:highlight w:val="none"/>
        </w:rPr>
      </w:pPr>
      <w:bookmarkStart w:id="11" w:name="_Toc31447"/>
      <w:r>
        <w:rPr>
          <w:rFonts w:hint="eastAsia" w:ascii="黑体" w:hAnsi="黑体" w:eastAsia="黑体"/>
          <w:sz w:val="32"/>
          <w:szCs w:val="32"/>
          <w:highlight w:val="none"/>
        </w:rPr>
        <w:t>第四章  应急响应</w:t>
      </w:r>
      <w:bookmarkEnd w:id="11"/>
    </w:p>
    <w:p w14:paraId="6839CF8E">
      <w:pPr>
        <w:spacing w:line="560" w:lineRule="exact"/>
        <w:ind w:firstLine="640" w:firstLineChars="200"/>
        <w:rPr>
          <w:rFonts w:ascii="仿宋_GB2312" w:hAnsi="楷体_GB2312" w:eastAsia="仿宋_GB2312" w:cs="楷体_GB2312"/>
          <w:sz w:val="32"/>
          <w:szCs w:val="32"/>
          <w:highlight w:val="none"/>
          <w:lang w:bidi="ar"/>
        </w:rPr>
      </w:pPr>
    </w:p>
    <w:p w14:paraId="2C633BC9">
      <w:pPr>
        <w:spacing w:line="560" w:lineRule="exact"/>
        <w:ind w:firstLine="640" w:firstLineChars="200"/>
        <w:rPr>
          <w:rFonts w:ascii="仿宋_GB2312" w:hAnsi="微软雅黑" w:eastAsia="仿宋_GB2312"/>
          <w:sz w:val="32"/>
          <w:szCs w:val="32"/>
          <w:highlight w:val="none"/>
        </w:rPr>
      </w:pPr>
      <w:r>
        <w:rPr>
          <w:rFonts w:hint="eastAsia" w:ascii="黑体" w:hAnsi="黑体" w:eastAsia="黑体"/>
          <w:sz w:val="32"/>
          <w:szCs w:val="32"/>
          <w:highlight w:val="none"/>
        </w:rPr>
        <w:t>第七条</w:t>
      </w:r>
      <w:r>
        <w:rPr>
          <w:rFonts w:hint="eastAsia" w:ascii="仿宋_GB2312" w:hAnsi="微软雅黑" w:eastAsia="仿宋_GB2312"/>
          <w:sz w:val="32"/>
          <w:szCs w:val="32"/>
          <w:highlight w:val="none"/>
        </w:rPr>
        <w:t xml:space="preserve">  响应分级</w:t>
      </w:r>
    </w:p>
    <w:p w14:paraId="75126076">
      <w:pPr>
        <w:spacing w:line="560" w:lineRule="exact"/>
        <w:ind w:firstLine="640" w:firstLineChars="200"/>
        <w:rPr>
          <w:rFonts w:ascii="仿宋_GB2312" w:hAnsi="微软雅黑" w:eastAsia="仿宋_GB2312"/>
          <w:sz w:val="32"/>
          <w:szCs w:val="32"/>
          <w:highlight w:val="none"/>
        </w:rPr>
      </w:pPr>
      <w:r>
        <w:rPr>
          <w:rFonts w:hint="eastAsia" w:ascii="仿宋_GB2312" w:hAnsi="微软雅黑" w:eastAsia="仿宋_GB2312"/>
          <w:sz w:val="32"/>
          <w:szCs w:val="32"/>
          <w:highlight w:val="none"/>
        </w:rPr>
        <w:t>按照生产安全故障灾难的可控性、严重程度和影响范围，应急响应级别原则上分为</w:t>
      </w:r>
      <w:r>
        <w:rPr>
          <w:rFonts w:hint="eastAsia" w:ascii="仿宋_GB2312" w:hAnsi="微软雅黑" w:eastAsia="仿宋_GB2312"/>
          <w:sz w:val="32"/>
          <w:szCs w:val="32"/>
          <w:highlight w:val="none"/>
          <w:lang w:val="en-US" w:eastAsia="zh-CN"/>
        </w:rPr>
        <w:t>公司</w:t>
      </w:r>
      <w:r>
        <w:rPr>
          <w:rFonts w:hint="eastAsia" w:ascii="仿宋_GB2312" w:hAnsi="微软雅黑" w:eastAsia="仿宋_GB2312"/>
          <w:sz w:val="32"/>
          <w:szCs w:val="32"/>
          <w:highlight w:val="none"/>
        </w:rPr>
        <w:t>级响应和扩大应急响应。</w:t>
      </w:r>
    </w:p>
    <w:p w14:paraId="362AEFF6">
      <w:pPr>
        <w:spacing w:line="560" w:lineRule="exact"/>
        <w:ind w:firstLine="640" w:firstLineChars="200"/>
        <w:rPr>
          <w:rFonts w:ascii="仿宋_GB2312" w:hAnsi="微软雅黑" w:eastAsia="仿宋_GB2312"/>
          <w:sz w:val="32"/>
          <w:szCs w:val="32"/>
          <w:highlight w:val="none"/>
        </w:rPr>
      </w:pPr>
      <w:r>
        <w:rPr>
          <w:rFonts w:hint="eastAsia" w:ascii="仿宋_GB2312" w:hAnsi="微软雅黑" w:eastAsia="仿宋_GB2312"/>
          <w:sz w:val="32"/>
          <w:szCs w:val="32"/>
          <w:highlight w:val="none"/>
        </w:rPr>
        <w:t>（1）Ⅲ级响应为发生Ⅲ级事件，</w:t>
      </w:r>
      <w:r>
        <w:rPr>
          <w:rFonts w:hint="eastAsia" w:ascii="仿宋_GB2312" w:hAnsi="微软雅黑" w:eastAsia="仿宋_GB2312"/>
          <w:color w:val="auto"/>
          <w:sz w:val="32"/>
          <w:szCs w:val="32"/>
          <w:highlight w:val="none"/>
        </w:rPr>
        <w:t>岸电设施</w:t>
      </w:r>
      <w:r>
        <w:rPr>
          <w:rFonts w:hint="eastAsia" w:ascii="仿宋_GB2312" w:hAnsi="微软雅黑" w:eastAsia="仿宋_GB2312"/>
          <w:color w:val="auto"/>
          <w:sz w:val="32"/>
          <w:szCs w:val="32"/>
          <w:highlight w:val="none"/>
          <w:lang w:val="en-US" w:eastAsia="zh-CN"/>
        </w:rPr>
        <w:t>操作</w:t>
      </w:r>
      <w:r>
        <w:rPr>
          <w:rFonts w:hint="eastAsia" w:ascii="仿宋_GB2312" w:hAnsi="微软雅黑" w:eastAsia="仿宋_GB2312"/>
          <w:color w:val="auto"/>
          <w:sz w:val="32"/>
          <w:szCs w:val="32"/>
          <w:highlight w:val="none"/>
        </w:rPr>
        <w:t>单位依靠本身的应急力量确保岸电设施主体运行，根据现场处置能力组织实施的响应等级。Ⅲ级故障事件</w:t>
      </w:r>
      <w:r>
        <w:rPr>
          <w:rFonts w:hint="eastAsia" w:ascii="仿宋_GB2312" w:hAnsi="微软雅黑" w:eastAsia="仿宋_GB2312"/>
          <w:sz w:val="32"/>
          <w:szCs w:val="32"/>
          <w:highlight w:val="none"/>
        </w:rPr>
        <w:t>为岸电设施存在缺陷,但不影响岸电设施正常使用。</w:t>
      </w:r>
    </w:p>
    <w:p w14:paraId="5E0934D1">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（2）Ⅱ级响应（应急指挥部响应）：发生或预判可能为Ⅱ级故障时，由应急指挥部启动应急响应，采取有效的应急措施，组织故障修复工作。Ⅱ级故障事件为影响岸电设施正常运行24小时及以内的岸电设施故障。</w:t>
      </w:r>
    </w:p>
    <w:p w14:paraId="6AB55591">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（3）Ⅰ级响应（扩大响应）：发生或预判可能为Ⅰ级故障时，或当采取应急处置措施仍未能控制Ⅱ级故障扩展态势，或有可能超出应急指挥部的应急处置能力时，</w:t>
      </w:r>
      <w:r>
        <w:rPr>
          <w:rFonts w:hint="eastAsia" w:ascii="仿宋_GB2312" w:hAnsi="微软雅黑" w:eastAsia="仿宋_GB2312"/>
          <w:sz w:val="32"/>
          <w:szCs w:val="32"/>
          <w:lang w:val="en-US" w:eastAsia="zh-CN"/>
        </w:rPr>
        <w:t>及时向上级部门汇报，</w:t>
      </w:r>
      <w:r>
        <w:rPr>
          <w:rFonts w:hint="eastAsia" w:ascii="仿宋_GB2312" w:hAnsi="微软雅黑" w:eastAsia="仿宋_GB2312"/>
          <w:sz w:val="32"/>
          <w:szCs w:val="32"/>
        </w:rPr>
        <w:t>在上级生产安全故障应急指挥部指挥下，实施救援。I级设备故障事件为影响岸电设施正常运行24小时及以上的岸电设施故障。</w:t>
      </w:r>
    </w:p>
    <w:p w14:paraId="32B1A00A">
      <w:pPr>
        <w:spacing w:line="560" w:lineRule="exact"/>
        <w:ind w:firstLine="640" w:firstLineChars="200"/>
        <w:rPr>
          <w:rFonts w:ascii="仿宋_GB2312" w:hAnsi="微软雅黑" w:eastAsia="仿宋_GB2312"/>
          <w:sz w:val="32"/>
          <w:szCs w:val="32"/>
        </w:rPr>
      </w:pPr>
      <w:r>
        <w:rPr>
          <w:rFonts w:hint="eastAsia" w:ascii="黑体" w:hAnsi="黑体" w:eastAsia="黑体"/>
          <w:sz w:val="32"/>
          <w:szCs w:val="32"/>
        </w:rPr>
        <w:t>第八条</w:t>
      </w:r>
      <w:r>
        <w:rPr>
          <w:rFonts w:hint="eastAsia" w:ascii="仿宋_GB2312" w:hAnsi="微软雅黑" w:eastAsia="仿宋_GB2312"/>
          <w:sz w:val="32"/>
          <w:szCs w:val="32"/>
        </w:rPr>
        <w:t xml:space="preserve">  响应程序</w:t>
      </w:r>
    </w:p>
    <w:p w14:paraId="45BA10F3">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（1）先期处理</w:t>
      </w:r>
    </w:p>
    <w:p w14:paraId="67AC45D6">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岸电设施</w:t>
      </w:r>
      <w:r>
        <w:rPr>
          <w:rFonts w:hint="eastAsia" w:ascii="仿宋_GB2312" w:hAnsi="微软雅黑" w:eastAsia="仿宋_GB2312"/>
          <w:sz w:val="32"/>
          <w:szCs w:val="32"/>
          <w:lang w:val="en-US" w:eastAsia="zh-CN"/>
        </w:rPr>
        <w:t>操作</w:t>
      </w:r>
      <w:r>
        <w:rPr>
          <w:rFonts w:hint="eastAsia" w:ascii="仿宋_GB2312" w:hAnsi="微软雅黑" w:eastAsia="仿宋_GB2312"/>
          <w:sz w:val="32"/>
          <w:szCs w:val="32"/>
        </w:rPr>
        <w:t>人员发现或预判事件可能造成岸电设施故障事件苗头，立即采取现场处置措施确保岸电设施安全使用，同时向技术保障中心汇报，待运转完毕后进行设备维修处置。</w:t>
      </w:r>
    </w:p>
    <w:p w14:paraId="71C3E7FD">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（2）启动应急</w:t>
      </w:r>
    </w:p>
    <w:p w14:paraId="5F0E5ECF">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超出岸电设施现场</w:t>
      </w:r>
      <w:r>
        <w:rPr>
          <w:rFonts w:hint="eastAsia" w:ascii="仿宋_GB2312" w:hAnsi="微软雅黑" w:eastAsia="仿宋_GB2312"/>
          <w:sz w:val="32"/>
          <w:szCs w:val="32"/>
          <w:lang w:val="en-US" w:eastAsia="zh-CN"/>
        </w:rPr>
        <w:t>操作人员</w:t>
      </w:r>
      <w:r>
        <w:rPr>
          <w:rFonts w:hint="eastAsia" w:ascii="仿宋_GB2312" w:hAnsi="微软雅黑" w:eastAsia="仿宋_GB2312"/>
          <w:sz w:val="32"/>
          <w:szCs w:val="32"/>
        </w:rPr>
        <w:t>应急处置能力时，或未能控制Ⅲ级故障扩展态势，或预判可能为Ⅱ级故障时，应启动应急指挥部级应急预案实施修复。各应急救援小组接到应急救援指挥部指令后，立即响应，迅速派遣各小组人员进行事件的应急处置，并听从应急指挥部的统一指挥，按照各自的职责开展现场维修工作，并做到有条不紊，准确到位。</w:t>
      </w:r>
    </w:p>
    <w:p w14:paraId="401C565F">
      <w:pPr>
        <w:spacing w:line="560" w:lineRule="exact"/>
        <w:ind w:firstLine="640" w:firstLineChars="200"/>
        <w:rPr>
          <w:rFonts w:ascii="仿宋_GB2312" w:hAnsi="微软雅黑" w:eastAsia="仿宋_GB2312"/>
          <w:sz w:val="32"/>
          <w:szCs w:val="32"/>
        </w:rPr>
      </w:pPr>
      <w:bookmarkStart w:id="12" w:name="_Toc31787"/>
      <w:r>
        <w:rPr>
          <w:rFonts w:hint="eastAsia" w:ascii="黑体" w:hAnsi="黑体" w:eastAsia="黑体"/>
          <w:sz w:val="32"/>
          <w:szCs w:val="32"/>
        </w:rPr>
        <w:t>第九条</w:t>
      </w:r>
      <w:r>
        <w:rPr>
          <w:rFonts w:hint="eastAsia" w:ascii="仿宋_GB2312" w:hAnsi="微软雅黑" w:eastAsia="仿宋_GB2312"/>
          <w:sz w:val="32"/>
          <w:szCs w:val="32"/>
        </w:rPr>
        <w:t xml:space="preserve">  处置措施</w:t>
      </w:r>
      <w:bookmarkEnd w:id="12"/>
    </w:p>
    <w:p w14:paraId="3D5BCE12">
      <w:pPr>
        <w:spacing w:line="560" w:lineRule="exact"/>
        <w:ind w:firstLine="640" w:firstLineChars="200"/>
        <w:rPr>
          <w:rFonts w:ascii="仿宋_GB2312" w:hAnsi="微软雅黑" w:eastAsia="仿宋_GB2312"/>
          <w:sz w:val="32"/>
          <w:szCs w:val="32"/>
        </w:rPr>
      </w:pPr>
      <w:bookmarkStart w:id="13" w:name="_Toc31290"/>
      <w:r>
        <w:rPr>
          <w:rFonts w:hint="eastAsia" w:ascii="仿宋_GB2312" w:hAnsi="微软雅黑" w:eastAsia="仿宋_GB2312"/>
          <w:sz w:val="32"/>
          <w:szCs w:val="32"/>
        </w:rPr>
        <w:t>9.1  处置原则</w:t>
      </w:r>
      <w:bookmarkEnd w:id="13"/>
    </w:p>
    <w:p w14:paraId="4D583745">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岸电设施故障发生后，要快速报告、快速出动、快速到位、快速展开、快速处置，及时恢复使用功能，果断采取相关措施，防止事态进一步扩大，把故障事件影响控制在最小范围内。</w:t>
      </w:r>
    </w:p>
    <w:p w14:paraId="2E54A5E6">
      <w:pPr>
        <w:spacing w:line="560" w:lineRule="exact"/>
        <w:ind w:firstLine="640" w:firstLineChars="200"/>
        <w:rPr>
          <w:rFonts w:ascii="仿宋_GB2312" w:hAnsi="微软雅黑" w:eastAsia="仿宋_GB2312"/>
          <w:sz w:val="32"/>
          <w:szCs w:val="32"/>
        </w:rPr>
      </w:pPr>
      <w:bookmarkStart w:id="14" w:name="_Toc3356"/>
      <w:r>
        <w:rPr>
          <w:rFonts w:hint="eastAsia" w:ascii="仿宋_GB2312" w:hAnsi="微软雅黑" w:eastAsia="仿宋_GB2312"/>
          <w:sz w:val="32"/>
          <w:szCs w:val="32"/>
        </w:rPr>
        <w:t>9.2  应急处置措施</w:t>
      </w:r>
      <w:bookmarkEnd w:id="14"/>
    </w:p>
    <w:p w14:paraId="39E1DDB7">
      <w:pPr>
        <w:spacing w:line="560" w:lineRule="exact"/>
        <w:ind w:firstLine="640" w:firstLineChars="200"/>
        <w:rPr>
          <w:rFonts w:ascii="仿宋_GB2312" w:hAnsi="微软雅黑" w:eastAsia="仿宋_GB2312"/>
          <w:sz w:val="32"/>
          <w:szCs w:val="32"/>
          <w:highlight w:val="none"/>
        </w:rPr>
      </w:pPr>
      <w:r>
        <w:rPr>
          <w:rFonts w:hint="eastAsia" w:ascii="仿宋_GB2312" w:hAnsi="微软雅黑" w:eastAsia="仿宋_GB2312"/>
          <w:sz w:val="32"/>
          <w:szCs w:val="32"/>
        </w:rPr>
        <w:t>（1）岸电设施发生因供电公司电源问题造成失压跳闸、</w:t>
      </w:r>
      <w:r>
        <w:rPr>
          <w:rFonts w:hint="eastAsia" w:ascii="仿宋_GB2312" w:hAnsi="微软雅黑" w:eastAsia="仿宋_GB2312"/>
          <w:sz w:val="32"/>
          <w:szCs w:val="32"/>
          <w:highlight w:val="none"/>
        </w:rPr>
        <w:t>岸电设施故障、人身触电等事件时，岸电操作人员立即将现场情况报告站</w:t>
      </w:r>
      <w:r>
        <w:rPr>
          <w:rFonts w:hint="eastAsia" w:ascii="仿宋_GB2312" w:hAnsi="微软雅黑" w:eastAsia="仿宋_GB2312"/>
          <w:sz w:val="32"/>
          <w:szCs w:val="32"/>
          <w:highlight w:val="none"/>
          <w:lang w:val="en-US" w:eastAsia="zh-CN"/>
        </w:rPr>
        <w:t>当班班长</w:t>
      </w:r>
      <w:r>
        <w:rPr>
          <w:rFonts w:hint="eastAsia" w:ascii="仿宋_GB2312" w:hAnsi="微软雅黑" w:eastAsia="仿宋_GB2312"/>
          <w:sz w:val="32"/>
          <w:szCs w:val="32"/>
          <w:highlight w:val="none"/>
        </w:rPr>
        <w:t>和船舶大电，并通知</w:t>
      </w:r>
      <w:r>
        <w:rPr>
          <w:rFonts w:hint="eastAsia" w:ascii="仿宋_GB2312" w:hAnsi="微软雅黑" w:eastAsia="仿宋_GB2312"/>
          <w:sz w:val="32"/>
          <w:szCs w:val="32"/>
          <w:highlight w:val="none"/>
          <w:lang w:val="en-US" w:eastAsia="zh-CN"/>
        </w:rPr>
        <w:t>生产运营中心</w:t>
      </w:r>
      <w:r>
        <w:rPr>
          <w:rFonts w:hint="eastAsia" w:ascii="仿宋_GB2312" w:hAnsi="微软雅黑" w:eastAsia="仿宋_GB2312"/>
          <w:sz w:val="32"/>
          <w:szCs w:val="32"/>
          <w:highlight w:val="none"/>
        </w:rPr>
        <w:t>。</w:t>
      </w:r>
      <w:r>
        <w:rPr>
          <w:rFonts w:hint="eastAsia" w:ascii="仿宋_GB2312" w:hAnsi="微软雅黑" w:eastAsia="仿宋_GB2312"/>
          <w:sz w:val="32"/>
          <w:szCs w:val="32"/>
          <w:highlight w:val="none"/>
          <w:lang w:val="en-US" w:eastAsia="zh-CN"/>
        </w:rPr>
        <w:t>生产运营中心</w:t>
      </w:r>
      <w:r>
        <w:rPr>
          <w:rFonts w:hint="eastAsia" w:ascii="仿宋_GB2312" w:hAnsi="微软雅黑" w:eastAsia="仿宋_GB2312"/>
          <w:sz w:val="32"/>
          <w:szCs w:val="32"/>
          <w:highlight w:val="none"/>
        </w:rPr>
        <w:t>按照3级响应报告应急指挥部，各应急小组在应急指挥部的指挥下，按照应急预案要求进行现场处置。</w:t>
      </w:r>
    </w:p>
    <w:p w14:paraId="72DB6FBC">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现场组根据故障波及范围、影响区域确定警戒隔离区，隔离事件现场，在警戒隔离区边界设警示标志和警戒带，并对通往故障现场的道路实行管制，除应急救援人员外，严禁无关人员进入并根据故障实际情况及时调整警戒隔离区。</w:t>
      </w:r>
    </w:p>
    <w:p w14:paraId="30520050">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（3）维修组组织相关专业人员及岸电设施维修单位携带维修器材到达现场进行现场处置和维修，并将设备损坏情况、影响范围、修复情况向应急办公室报告。</w:t>
      </w:r>
    </w:p>
    <w:p w14:paraId="7C1EDDED">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（4）通讯信息组负责应急体系通讯系统通讯联络畅通，上传下达应急指挥部相关要求，并负责与就近专业医疗机构保持联系畅通。</w:t>
      </w:r>
    </w:p>
    <w:p w14:paraId="62593894">
      <w:pPr>
        <w:spacing w:line="560" w:lineRule="exact"/>
        <w:ind w:firstLine="640" w:firstLineChars="200"/>
        <w:rPr>
          <w:rFonts w:ascii="仿宋_GB2312" w:hAnsi="微软雅黑" w:eastAsia="仿宋_GB2312"/>
          <w:sz w:val="32"/>
          <w:szCs w:val="32"/>
        </w:rPr>
      </w:pPr>
      <w:bookmarkStart w:id="15" w:name="_Toc13241"/>
      <w:r>
        <w:rPr>
          <w:rFonts w:hint="eastAsia" w:ascii="仿宋_GB2312" w:hAnsi="微软雅黑" w:eastAsia="仿宋_GB2312"/>
          <w:sz w:val="32"/>
          <w:szCs w:val="32"/>
        </w:rPr>
        <w:t>9.3  注意事项</w:t>
      </w:r>
      <w:bookmarkEnd w:id="15"/>
    </w:p>
    <w:p w14:paraId="1C1D41B0">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在岸电设施故障维修过程中，在做好设备和人身安全防护的同时，岸电设施故障应急指挥部应根据现场情况启动所引发的相关应急预案，保证现场情况得到有效控制，避免事态的进一步恶化，减少事件给公司</w:t>
      </w:r>
      <w:r>
        <w:rPr>
          <w:rFonts w:hint="eastAsia" w:ascii="仿宋_GB2312" w:hAnsi="微软雅黑" w:eastAsia="仿宋_GB2312"/>
          <w:sz w:val="32"/>
          <w:szCs w:val="32"/>
          <w:lang w:val="en-US" w:eastAsia="zh-CN"/>
        </w:rPr>
        <w:t>生产</w:t>
      </w:r>
      <w:r>
        <w:rPr>
          <w:rFonts w:hint="eastAsia" w:ascii="仿宋_GB2312" w:hAnsi="微软雅黑" w:eastAsia="仿宋_GB2312"/>
          <w:sz w:val="32"/>
          <w:szCs w:val="32"/>
        </w:rPr>
        <w:t>组织带来的影响。</w:t>
      </w:r>
    </w:p>
    <w:p w14:paraId="3CD3F6D5">
      <w:pPr>
        <w:spacing w:line="560" w:lineRule="exact"/>
        <w:ind w:firstLine="640" w:firstLineChars="200"/>
        <w:rPr>
          <w:rFonts w:ascii="仿宋_GB2312" w:hAnsi="微软雅黑" w:eastAsia="仿宋_GB2312"/>
          <w:sz w:val="32"/>
          <w:szCs w:val="32"/>
        </w:rPr>
      </w:pPr>
      <w:bookmarkStart w:id="16" w:name="_Toc20168"/>
      <w:r>
        <w:rPr>
          <w:rFonts w:hint="eastAsia" w:ascii="黑体" w:hAnsi="黑体" w:eastAsia="黑体"/>
          <w:sz w:val="32"/>
          <w:szCs w:val="32"/>
        </w:rPr>
        <w:t>第十条</w:t>
      </w:r>
      <w:r>
        <w:rPr>
          <w:rFonts w:hint="eastAsia" w:ascii="仿宋_GB2312" w:hAnsi="微软雅黑" w:eastAsia="仿宋_GB2312"/>
          <w:sz w:val="32"/>
          <w:szCs w:val="32"/>
        </w:rPr>
        <w:t xml:space="preserve">  应急保障</w:t>
      </w:r>
      <w:bookmarkEnd w:id="16"/>
    </w:p>
    <w:p w14:paraId="3B62555A">
      <w:pPr>
        <w:spacing w:line="560" w:lineRule="exact"/>
        <w:ind w:firstLine="640" w:firstLineChars="200"/>
        <w:rPr>
          <w:rFonts w:ascii="仿宋_GB2312" w:hAnsi="微软雅黑" w:eastAsia="仿宋_GB2312"/>
          <w:sz w:val="32"/>
          <w:szCs w:val="32"/>
        </w:rPr>
      </w:pPr>
      <w:bookmarkStart w:id="17" w:name="_Toc2776"/>
      <w:r>
        <w:rPr>
          <w:rFonts w:hint="eastAsia" w:ascii="仿宋_GB2312" w:hAnsi="微软雅黑" w:eastAsia="仿宋_GB2312"/>
          <w:sz w:val="32"/>
          <w:szCs w:val="32"/>
        </w:rPr>
        <w:t>10.1  资源调配</w:t>
      </w:r>
      <w:bookmarkEnd w:id="17"/>
    </w:p>
    <w:p w14:paraId="78F93B06">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（1）应急队伍</w:t>
      </w:r>
    </w:p>
    <w:p w14:paraId="3CB1F2FC">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根据现场应急的需要，应急指挥部首先调配相关专业人员、岸电设施</w:t>
      </w:r>
      <w:r>
        <w:rPr>
          <w:rFonts w:hint="eastAsia" w:ascii="仿宋_GB2312" w:hAnsi="微软雅黑" w:eastAsia="仿宋_GB2312"/>
          <w:sz w:val="32"/>
          <w:szCs w:val="32"/>
          <w:lang w:val="en-US" w:eastAsia="zh-CN"/>
        </w:rPr>
        <w:t>维护</w:t>
      </w:r>
      <w:r>
        <w:rPr>
          <w:rFonts w:hint="eastAsia" w:ascii="仿宋_GB2312" w:hAnsi="微软雅黑" w:eastAsia="仿宋_GB2312"/>
          <w:sz w:val="32"/>
          <w:szCs w:val="32"/>
        </w:rPr>
        <w:t>单位和各</w:t>
      </w:r>
      <w:r>
        <w:rPr>
          <w:rFonts w:hint="eastAsia" w:ascii="仿宋_GB2312" w:hAnsi="微软雅黑" w:eastAsia="仿宋_GB2312"/>
          <w:sz w:val="32"/>
          <w:szCs w:val="32"/>
          <w:lang w:val="en-US" w:eastAsia="zh-CN"/>
        </w:rPr>
        <w:t>单位部门</w:t>
      </w:r>
      <w:r>
        <w:rPr>
          <w:rFonts w:hint="eastAsia" w:ascii="仿宋_GB2312" w:hAnsi="微软雅黑" w:eastAsia="仿宋_GB2312"/>
          <w:sz w:val="32"/>
          <w:szCs w:val="32"/>
        </w:rPr>
        <w:t>的日常应急人员参加岸电设施故障应急维修。</w:t>
      </w:r>
    </w:p>
    <w:p w14:paraId="43EB984D">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（2）应急物资</w:t>
      </w:r>
    </w:p>
    <w:p w14:paraId="1D213EAE">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根据设备维修的需要，应急指挥部首先调配相关备件物资和维保单位储备</w:t>
      </w:r>
      <w:r>
        <w:rPr>
          <w:rFonts w:hint="eastAsia" w:ascii="仿宋_GB2312" w:hAnsi="微软雅黑" w:eastAsia="仿宋_GB2312"/>
          <w:sz w:val="32"/>
          <w:szCs w:val="32"/>
          <w:lang w:eastAsia="zh-CN"/>
        </w:rPr>
        <w:t>的</w:t>
      </w:r>
      <w:r>
        <w:rPr>
          <w:rFonts w:hint="eastAsia" w:ascii="仿宋_GB2312" w:hAnsi="微软雅黑" w:eastAsia="仿宋_GB2312"/>
          <w:sz w:val="32"/>
          <w:szCs w:val="32"/>
        </w:rPr>
        <w:t>应急抢修物资。</w:t>
      </w:r>
    </w:p>
    <w:p w14:paraId="29C99FA4">
      <w:pPr>
        <w:spacing w:line="560" w:lineRule="exact"/>
        <w:ind w:firstLine="640" w:firstLineChars="200"/>
        <w:rPr>
          <w:rFonts w:ascii="仿宋_GB2312" w:hAnsi="微软雅黑" w:eastAsia="仿宋_GB2312"/>
          <w:sz w:val="32"/>
          <w:szCs w:val="32"/>
        </w:rPr>
      </w:pPr>
      <w:bookmarkStart w:id="18" w:name="_Toc16669"/>
      <w:r>
        <w:rPr>
          <w:rFonts w:hint="eastAsia" w:ascii="仿宋_GB2312" w:hAnsi="微软雅黑" w:eastAsia="仿宋_GB2312"/>
          <w:sz w:val="32"/>
          <w:szCs w:val="32"/>
        </w:rPr>
        <w:t>10.2  扩大应急</w:t>
      </w:r>
      <w:bookmarkEnd w:id="18"/>
    </w:p>
    <w:p w14:paraId="4BA498CD">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发生或预判可能为Ⅰ级故障时，或当采取应急处置措施仍未能控制Ⅱ级故障扩展态势，或有可能超出岸电设施维保单位现场班组的应急处置能力时，在组织实施应急抢修的同时，应扩大应急请求上级支援，在上级生产安全故障应急指挥部指挥下，实施现场处置救援工作。</w:t>
      </w:r>
    </w:p>
    <w:p w14:paraId="717C1368">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（1）应急队伍</w:t>
      </w:r>
    </w:p>
    <w:p w14:paraId="6D8B8C1F">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主要负责人及设备制造商等有关单位派遣专业技术人员赶赴现场进行支援，联系方式具体见下表：</w:t>
      </w:r>
      <w:bookmarkStart w:id="19" w:name="_GoBack"/>
      <w:bookmarkEnd w:id="19"/>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995"/>
        <w:gridCol w:w="2258"/>
        <w:gridCol w:w="2551"/>
        <w:gridCol w:w="901"/>
      </w:tblGrid>
      <w:tr w14:paraId="21603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17" w:type="dxa"/>
            <w:tcBorders>
              <w:top w:val="single" w:color="auto" w:sz="4" w:space="0"/>
              <w:left w:val="single" w:color="auto" w:sz="4" w:space="0"/>
              <w:bottom w:val="single" w:color="auto" w:sz="4" w:space="0"/>
              <w:right w:val="single" w:color="auto" w:sz="4" w:space="0"/>
            </w:tcBorders>
            <w:vAlign w:val="center"/>
          </w:tcPr>
          <w:p w14:paraId="55D5840E">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序号</w:t>
            </w:r>
          </w:p>
        </w:tc>
        <w:tc>
          <w:tcPr>
            <w:tcW w:w="1995" w:type="dxa"/>
            <w:tcBorders>
              <w:top w:val="single" w:color="auto" w:sz="4" w:space="0"/>
              <w:left w:val="single" w:color="auto" w:sz="4" w:space="0"/>
              <w:bottom w:val="single" w:color="auto" w:sz="4" w:space="0"/>
              <w:right w:val="single" w:color="auto" w:sz="4" w:space="0"/>
            </w:tcBorders>
            <w:vAlign w:val="center"/>
          </w:tcPr>
          <w:p w14:paraId="25F4C51C">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应急队伍</w:t>
            </w:r>
          </w:p>
        </w:tc>
        <w:tc>
          <w:tcPr>
            <w:tcW w:w="2258" w:type="dxa"/>
            <w:tcBorders>
              <w:top w:val="single" w:color="auto" w:sz="4" w:space="0"/>
              <w:left w:val="single" w:color="auto" w:sz="4" w:space="0"/>
              <w:bottom w:val="single" w:color="auto" w:sz="4" w:space="0"/>
              <w:right w:val="single" w:color="auto" w:sz="4" w:space="0"/>
            </w:tcBorders>
            <w:vAlign w:val="center"/>
          </w:tcPr>
          <w:p w14:paraId="74CC9CAD">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可支援内容</w:t>
            </w:r>
          </w:p>
        </w:tc>
        <w:tc>
          <w:tcPr>
            <w:tcW w:w="2551" w:type="dxa"/>
            <w:tcBorders>
              <w:top w:val="single" w:color="auto" w:sz="4" w:space="0"/>
              <w:left w:val="single" w:color="auto" w:sz="4" w:space="0"/>
              <w:bottom w:val="single" w:color="auto" w:sz="4" w:space="0"/>
              <w:right w:val="single" w:color="auto" w:sz="4" w:space="0"/>
            </w:tcBorders>
            <w:vAlign w:val="center"/>
          </w:tcPr>
          <w:p w14:paraId="554DA553">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联系方式</w:t>
            </w:r>
          </w:p>
        </w:tc>
        <w:tc>
          <w:tcPr>
            <w:tcW w:w="901" w:type="dxa"/>
            <w:tcBorders>
              <w:top w:val="single" w:color="auto" w:sz="4" w:space="0"/>
              <w:left w:val="single" w:color="auto" w:sz="4" w:space="0"/>
              <w:bottom w:val="single" w:color="auto" w:sz="4" w:space="0"/>
              <w:right w:val="single" w:color="auto" w:sz="4" w:space="0"/>
            </w:tcBorders>
            <w:vAlign w:val="center"/>
          </w:tcPr>
          <w:p w14:paraId="1950AD8F">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备注</w:t>
            </w:r>
          </w:p>
        </w:tc>
      </w:tr>
      <w:tr w14:paraId="6371B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17" w:type="dxa"/>
            <w:tcBorders>
              <w:top w:val="single" w:color="auto" w:sz="4" w:space="0"/>
              <w:left w:val="single" w:color="auto" w:sz="4" w:space="0"/>
              <w:bottom w:val="single" w:color="auto" w:sz="4" w:space="0"/>
              <w:right w:val="single" w:color="auto" w:sz="4" w:space="0"/>
            </w:tcBorders>
            <w:vAlign w:val="center"/>
          </w:tcPr>
          <w:p w14:paraId="2E345A0A">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1</w:t>
            </w:r>
          </w:p>
        </w:tc>
        <w:tc>
          <w:tcPr>
            <w:tcW w:w="1995" w:type="dxa"/>
            <w:tcBorders>
              <w:top w:val="single" w:color="auto" w:sz="4" w:space="0"/>
              <w:left w:val="single" w:color="auto" w:sz="4" w:space="0"/>
              <w:bottom w:val="single" w:color="auto" w:sz="4" w:space="0"/>
              <w:right w:val="single" w:color="auto" w:sz="4" w:space="0"/>
            </w:tcBorders>
            <w:vAlign w:val="center"/>
          </w:tcPr>
          <w:p w14:paraId="16EB11D9">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烟台东方科技环保有限公司</w:t>
            </w:r>
          </w:p>
        </w:tc>
        <w:tc>
          <w:tcPr>
            <w:tcW w:w="2258" w:type="dxa"/>
            <w:tcBorders>
              <w:top w:val="single" w:color="auto" w:sz="4" w:space="0"/>
              <w:left w:val="single" w:color="auto" w:sz="4" w:space="0"/>
              <w:bottom w:val="single" w:color="auto" w:sz="4" w:space="0"/>
              <w:right w:val="single" w:color="auto" w:sz="4" w:space="0"/>
            </w:tcBorders>
            <w:vAlign w:val="center"/>
          </w:tcPr>
          <w:p w14:paraId="6A1FF5FD">
            <w:pPr>
              <w:widowControl/>
              <w:spacing w:line="400" w:lineRule="exact"/>
              <w:jc w:val="center"/>
              <w:textAlignment w:val="center"/>
              <w:rPr>
                <w:rStyle w:val="64"/>
                <w:rFonts w:hint="default" w:ascii="仿宋_GB2312" w:hAnsi="宋体" w:eastAsia="仿宋_GB2312" w:cs="宋体"/>
                <w:sz w:val="22"/>
                <w:szCs w:val="22"/>
                <w:highlight w:val="none"/>
              </w:rPr>
            </w:pPr>
            <w:r>
              <w:rPr>
                <w:rStyle w:val="64"/>
                <w:rFonts w:hint="default" w:ascii="仿宋_GB2312" w:hAnsi="宋体" w:eastAsia="仿宋_GB2312" w:cs="宋体"/>
                <w:sz w:val="22"/>
                <w:szCs w:val="22"/>
                <w:highlight w:val="none"/>
              </w:rPr>
              <w:t>岸电设施高压柜、变压器等高压设备故障</w:t>
            </w:r>
          </w:p>
        </w:tc>
        <w:tc>
          <w:tcPr>
            <w:tcW w:w="2551" w:type="dxa"/>
            <w:tcBorders>
              <w:top w:val="single" w:color="auto" w:sz="4" w:space="0"/>
              <w:left w:val="single" w:color="auto" w:sz="4" w:space="0"/>
              <w:bottom w:val="single" w:color="auto" w:sz="4" w:space="0"/>
              <w:right w:val="single" w:color="auto" w:sz="4" w:space="0"/>
            </w:tcBorders>
            <w:vAlign w:val="center"/>
          </w:tcPr>
          <w:p w14:paraId="3BB338DD">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毕工：13668655015</w:t>
            </w:r>
          </w:p>
        </w:tc>
        <w:tc>
          <w:tcPr>
            <w:tcW w:w="901" w:type="dxa"/>
            <w:tcBorders>
              <w:top w:val="single" w:color="auto" w:sz="4" w:space="0"/>
              <w:left w:val="single" w:color="auto" w:sz="4" w:space="0"/>
              <w:bottom w:val="single" w:color="auto" w:sz="4" w:space="0"/>
              <w:right w:val="single" w:color="auto" w:sz="4" w:space="0"/>
            </w:tcBorders>
            <w:vAlign w:val="center"/>
          </w:tcPr>
          <w:p w14:paraId="106DCE96">
            <w:pPr>
              <w:widowControl/>
              <w:spacing w:line="400" w:lineRule="exact"/>
              <w:jc w:val="center"/>
              <w:textAlignment w:val="center"/>
              <w:rPr>
                <w:rStyle w:val="64"/>
                <w:rFonts w:hint="default" w:ascii="仿宋_GB2312" w:hAnsi="宋体" w:eastAsia="仿宋_GB2312" w:cs="宋体"/>
                <w:sz w:val="22"/>
                <w:szCs w:val="22"/>
              </w:rPr>
            </w:pPr>
          </w:p>
        </w:tc>
      </w:tr>
      <w:tr w14:paraId="445E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5C92BBF3">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2</w:t>
            </w:r>
          </w:p>
        </w:tc>
        <w:tc>
          <w:tcPr>
            <w:tcW w:w="1995" w:type="dxa"/>
            <w:tcBorders>
              <w:top w:val="single" w:color="auto" w:sz="4" w:space="0"/>
              <w:left w:val="single" w:color="auto" w:sz="4" w:space="0"/>
              <w:bottom w:val="single" w:color="auto" w:sz="4" w:space="0"/>
              <w:right w:val="single" w:color="auto" w:sz="4" w:space="0"/>
            </w:tcBorders>
            <w:vAlign w:val="center"/>
          </w:tcPr>
          <w:p w14:paraId="3D678A7A">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烟台东方科技环保有限公司</w:t>
            </w:r>
          </w:p>
        </w:tc>
        <w:tc>
          <w:tcPr>
            <w:tcW w:w="2258" w:type="dxa"/>
            <w:tcBorders>
              <w:top w:val="single" w:color="auto" w:sz="4" w:space="0"/>
              <w:left w:val="single" w:color="auto" w:sz="4" w:space="0"/>
              <w:bottom w:val="single" w:color="auto" w:sz="4" w:space="0"/>
              <w:right w:val="single" w:color="auto" w:sz="4" w:space="0"/>
            </w:tcBorders>
            <w:vAlign w:val="center"/>
          </w:tcPr>
          <w:p w14:paraId="1397E946">
            <w:pPr>
              <w:widowControl/>
              <w:spacing w:line="400" w:lineRule="exact"/>
              <w:jc w:val="center"/>
              <w:textAlignment w:val="center"/>
              <w:rPr>
                <w:rStyle w:val="64"/>
                <w:rFonts w:hint="default" w:ascii="仿宋_GB2312" w:hAnsi="宋体" w:eastAsia="仿宋_GB2312" w:cs="宋体"/>
                <w:sz w:val="22"/>
                <w:szCs w:val="22"/>
                <w:highlight w:val="none"/>
              </w:rPr>
            </w:pPr>
            <w:r>
              <w:rPr>
                <w:rStyle w:val="64"/>
                <w:rFonts w:hint="default" w:ascii="仿宋_GB2312" w:hAnsi="宋体" w:eastAsia="仿宋_GB2312" w:cs="宋体"/>
                <w:sz w:val="22"/>
                <w:szCs w:val="22"/>
                <w:highlight w:val="none"/>
              </w:rPr>
              <w:t>岸电控制柜、远程控制程序故障</w:t>
            </w:r>
          </w:p>
        </w:tc>
        <w:tc>
          <w:tcPr>
            <w:tcW w:w="2551" w:type="dxa"/>
            <w:tcBorders>
              <w:top w:val="single" w:color="auto" w:sz="4" w:space="0"/>
              <w:left w:val="single" w:color="auto" w:sz="4" w:space="0"/>
              <w:bottom w:val="single" w:color="auto" w:sz="4" w:space="0"/>
              <w:right w:val="single" w:color="auto" w:sz="4" w:space="0"/>
            </w:tcBorders>
            <w:vAlign w:val="center"/>
          </w:tcPr>
          <w:p w14:paraId="5613F9E7">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韩工：15650079486</w:t>
            </w:r>
          </w:p>
        </w:tc>
        <w:tc>
          <w:tcPr>
            <w:tcW w:w="901" w:type="dxa"/>
            <w:tcBorders>
              <w:top w:val="single" w:color="auto" w:sz="4" w:space="0"/>
              <w:left w:val="single" w:color="auto" w:sz="4" w:space="0"/>
              <w:bottom w:val="single" w:color="auto" w:sz="4" w:space="0"/>
              <w:right w:val="single" w:color="auto" w:sz="4" w:space="0"/>
            </w:tcBorders>
            <w:vAlign w:val="center"/>
          </w:tcPr>
          <w:p w14:paraId="1D6E85A7">
            <w:pPr>
              <w:widowControl/>
              <w:spacing w:line="400" w:lineRule="exact"/>
              <w:jc w:val="center"/>
              <w:textAlignment w:val="center"/>
              <w:rPr>
                <w:rStyle w:val="64"/>
                <w:rFonts w:hint="default" w:ascii="仿宋_GB2312" w:hAnsi="宋体" w:eastAsia="仿宋_GB2312" w:cs="宋体"/>
                <w:sz w:val="22"/>
                <w:szCs w:val="22"/>
              </w:rPr>
            </w:pPr>
          </w:p>
        </w:tc>
      </w:tr>
      <w:tr w14:paraId="4556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0EEC33F1">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3</w:t>
            </w:r>
          </w:p>
        </w:tc>
        <w:tc>
          <w:tcPr>
            <w:tcW w:w="1995" w:type="dxa"/>
            <w:tcBorders>
              <w:top w:val="single" w:color="auto" w:sz="4" w:space="0"/>
              <w:left w:val="single" w:color="auto" w:sz="4" w:space="0"/>
              <w:bottom w:val="single" w:color="auto" w:sz="4" w:space="0"/>
              <w:right w:val="single" w:color="auto" w:sz="4" w:space="0"/>
            </w:tcBorders>
            <w:vAlign w:val="center"/>
          </w:tcPr>
          <w:p w14:paraId="0972D929">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烟台东方科技环保有限公司</w:t>
            </w:r>
          </w:p>
        </w:tc>
        <w:tc>
          <w:tcPr>
            <w:tcW w:w="2258" w:type="dxa"/>
            <w:tcBorders>
              <w:top w:val="single" w:color="auto" w:sz="4" w:space="0"/>
              <w:left w:val="single" w:color="auto" w:sz="4" w:space="0"/>
              <w:bottom w:val="single" w:color="auto" w:sz="4" w:space="0"/>
              <w:right w:val="single" w:color="auto" w:sz="4" w:space="0"/>
            </w:tcBorders>
            <w:vAlign w:val="center"/>
          </w:tcPr>
          <w:p w14:paraId="32C39FD7">
            <w:pPr>
              <w:widowControl/>
              <w:spacing w:line="400" w:lineRule="exact"/>
              <w:jc w:val="center"/>
              <w:textAlignment w:val="center"/>
              <w:rPr>
                <w:rStyle w:val="64"/>
                <w:rFonts w:hint="default" w:ascii="仿宋_GB2312" w:hAnsi="宋体" w:eastAsia="仿宋_GB2312" w:cs="宋体"/>
                <w:sz w:val="22"/>
                <w:szCs w:val="22"/>
                <w:highlight w:val="none"/>
              </w:rPr>
            </w:pPr>
            <w:r>
              <w:rPr>
                <w:rStyle w:val="64"/>
                <w:rFonts w:hint="default" w:ascii="仿宋_GB2312" w:hAnsi="宋体" w:eastAsia="仿宋_GB2312" w:cs="宋体"/>
                <w:sz w:val="22"/>
                <w:szCs w:val="22"/>
                <w:highlight w:val="none"/>
              </w:rPr>
              <w:t>岸电设备维保、年度检测</w:t>
            </w:r>
          </w:p>
        </w:tc>
        <w:tc>
          <w:tcPr>
            <w:tcW w:w="2551" w:type="dxa"/>
            <w:tcBorders>
              <w:top w:val="single" w:color="auto" w:sz="4" w:space="0"/>
              <w:left w:val="single" w:color="auto" w:sz="4" w:space="0"/>
              <w:bottom w:val="single" w:color="auto" w:sz="4" w:space="0"/>
              <w:right w:val="single" w:color="auto" w:sz="4" w:space="0"/>
            </w:tcBorders>
            <w:vAlign w:val="center"/>
          </w:tcPr>
          <w:p w14:paraId="7BC77D65">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时工：13176905972</w:t>
            </w:r>
          </w:p>
        </w:tc>
        <w:tc>
          <w:tcPr>
            <w:tcW w:w="901" w:type="dxa"/>
            <w:tcBorders>
              <w:top w:val="single" w:color="auto" w:sz="4" w:space="0"/>
              <w:left w:val="single" w:color="auto" w:sz="4" w:space="0"/>
              <w:bottom w:val="single" w:color="auto" w:sz="4" w:space="0"/>
              <w:right w:val="single" w:color="auto" w:sz="4" w:space="0"/>
            </w:tcBorders>
            <w:vAlign w:val="center"/>
          </w:tcPr>
          <w:p w14:paraId="3D54FC57">
            <w:pPr>
              <w:widowControl/>
              <w:spacing w:line="400" w:lineRule="exact"/>
              <w:jc w:val="center"/>
              <w:textAlignment w:val="center"/>
              <w:rPr>
                <w:rStyle w:val="64"/>
                <w:rFonts w:hint="default" w:ascii="仿宋_GB2312" w:hAnsi="宋体" w:eastAsia="仿宋_GB2312" w:cs="宋体"/>
                <w:sz w:val="22"/>
                <w:szCs w:val="22"/>
              </w:rPr>
            </w:pPr>
          </w:p>
        </w:tc>
      </w:tr>
      <w:tr w14:paraId="3FB27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11085BC0">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4</w:t>
            </w:r>
          </w:p>
        </w:tc>
        <w:tc>
          <w:tcPr>
            <w:tcW w:w="1995" w:type="dxa"/>
            <w:tcBorders>
              <w:top w:val="single" w:color="auto" w:sz="4" w:space="0"/>
              <w:left w:val="single" w:color="auto" w:sz="4" w:space="0"/>
              <w:bottom w:val="single" w:color="auto" w:sz="4" w:space="0"/>
              <w:right w:val="single" w:color="auto" w:sz="4" w:space="0"/>
            </w:tcBorders>
            <w:vAlign w:val="center"/>
          </w:tcPr>
          <w:p w14:paraId="4917090E">
            <w:pPr>
              <w:widowControl/>
              <w:spacing w:line="400" w:lineRule="exact"/>
              <w:jc w:val="center"/>
              <w:textAlignment w:val="center"/>
              <w:rPr>
                <w:rStyle w:val="64"/>
                <w:rFonts w:hint="default" w:ascii="仿宋_GB2312" w:hAnsi="宋体" w:eastAsia="仿宋_GB2312" w:cs="宋体"/>
                <w:sz w:val="22"/>
                <w:szCs w:val="22"/>
              </w:rPr>
            </w:pPr>
            <w:r>
              <w:rPr>
                <w:rStyle w:val="64"/>
                <w:rFonts w:hint="eastAsia" w:ascii="仿宋_GB2312" w:hAnsi="宋体" w:eastAsia="仿宋_GB2312" w:cs="宋体"/>
                <w:sz w:val="22"/>
                <w:szCs w:val="22"/>
                <w:lang w:val="en-US" w:eastAsia="zh-CN"/>
              </w:rPr>
              <w:t>蓬莱港</w:t>
            </w:r>
            <w:r>
              <w:rPr>
                <w:rStyle w:val="64"/>
                <w:rFonts w:hint="default" w:ascii="仿宋_GB2312" w:hAnsi="宋体" w:eastAsia="仿宋_GB2312" w:cs="宋体"/>
                <w:sz w:val="22"/>
                <w:szCs w:val="22"/>
              </w:rPr>
              <w:t>公司</w:t>
            </w:r>
          </w:p>
        </w:tc>
        <w:tc>
          <w:tcPr>
            <w:tcW w:w="2258" w:type="dxa"/>
            <w:tcBorders>
              <w:top w:val="single" w:color="auto" w:sz="4" w:space="0"/>
              <w:left w:val="single" w:color="auto" w:sz="4" w:space="0"/>
              <w:bottom w:val="single" w:color="auto" w:sz="4" w:space="0"/>
              <w:right w:val="single" w:color="auto" w:sz="4" w:space="0"/>
            </w:tcBorders>
            <w:vAlign w:val="center"/>
          </w:tcPr>
          <w:p w14:paraId="1B026A2B">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供电故障</w:t>
            </w:r>
          </w:p>
        </w:tc>
        <w:tc>
          <w:tcPr>
            <w:tcW w:w="2551" w:type="dxa"/>
            <w:tcBorders>
              <w:top w:val="single" w:color="auto" w:sz="4" w:space="0"/>
              <w:left w:val="single" w:color="auto" w:sz="4" w:space="0"/>
              <w:bottom w:val="single" w:color="auto" w:sz="4" w:space="0"/>
              <w:right w:val="single" w:color="auto" w:sz="4" w:space="0"/>
            </w:tcBorders>
            <w:vAlign w:val="center"/>
          </w:tcPr>
          <w:p w14:paraId="2D09AE60">
            <w:pPr>
              <w:widowControl/>
              <w:spacing w:line="400" w:lineRule="exact"/>
              <w:jc w:val="center"/>
              <w:textAlignment w:val="center"/>
              <w:rPr>
                <w:rStyle w:val="64"/>
                <w:rFonts w:hint="default" w:ascii="仿宋_GB2312" w:hAnsi="宋体" w:eastAsia="仿宋_GB2312" w:cs="宋体"/>
                <w:sz w:val="22"/>
                <w:szCs w:val="22"/>
                <w:lang w:val="en-US" w:eastAsia="zh-CN"/>
              </w:rPr>
            </w:pPr>
            <w:r>
              <w:rPr>
                <w:rStyle w:val="64"/>
                <w:rFonts w:hint="default" w:ascii="仿宋_GB2312" w:hAnsi="宋体" w:eastAsia="仿宋_GB2312" w:cs="宋体"/>
                <w:sz w:val="22"/>
                <w:szCs w:val="22"/>
              </w:rPr>
              <w:t>调度：</w:t>
            </w:r>
            <w:r>
              <w:rPr>
                <w:rStyle w:val="64"/>
                <w:rFonts w:hint="eastAsia" w:ascii="仿宋_GB2312" w:hAnsi="宋体" w:eastAsia="仿宋_GB2312" w:cs="宋体"/>
                <w:sz w:val="22"/>
                <w:szCs w:val="22"/>
                <w:lang w:val="en-US" w:eastAsia="zh-CN"/>
              </w:rPr>
              <w:t>0535-6509111</w:t>
            </w:r>
          </w:p>
        </w:tc>
        <w:tc>
          <w:tcPr>
            <w:tcW w:w="901" w:type="dxa"/>
            <w:tcBorders>
              <w:top w:val="single" w:color="auto" w:sz="4" w:space="0"/>
              <w:left w:val="single" w:color="auto" w:sz="4" w:space="0"/>
              <w:bottom w:val="single" w:color="auto" w:sz="4" w:space="0"/>
              <w:right w:val="single" w:color="auto" w:sz="4" w:space="0"/>
            </w:tcBorders>
            <w:vAlign w:val="center"/>
          </w:tcPr>
          <w:p w14:paraId="46724D46">
            <w:pPr>
              <w:widowControl/>
              <w:spacing w:line="400" w:lineRule="exact"/>
              <w:jc w:val="center"/>
              <w:textAlignment w:val="center"/>
              <w:rPr>
                <w:rStyle w:val="64"/>
                <w:rFonts w:hint="default" w:ascii="仿宋_GB2312" w:hAnsi="宋体" w:eastAsia="仿宋_GB2312" w:cs="宋体"/>
                <w:sz w:val="22"/>
                <w:szCs w:val="22"/>
              </w:rPr>
            </w:pPr>
          </w:p>
        </w:tc>
      </w:tr>
      <w:tr w14:paraId="3A3D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2C5DEA44">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5</w:t>
            </w:r>
          </w:p>
        </w:tc>
        <w:tc>
          <w:tcPr>
            <w:tcW w:w="1995" w:type="dxa"/>
            <w:tcBorders>
              <w:top w:val="single" w:color="auto" w:sz="4" w:space="0"/>
              <w:left w:val="single" w:color="auto" w:sz="4" w:space="0"/>
              <w:bottom w:val="single" w:color="auto" w:sz="4" w:space="0"/>
              <w:right w:val="single" w:color="auto" w:sz="4" w:space="0"/>
            </w:tcBorders>
            <w:vAlign w:val="center"/>
          </w:tcPr>
          <w:p w14:paraId="6773051F">
            <w:pPr>
              <w:widowControl/>
              <w:spacing w:line="400" w:lineRule="exact"/>
              <w:jc w:val="center"/>
              <w:textAlignment w:val="center"/>
              <w:rPr>
                <w:rStyle w:val="64"/>
                <w:rFonts w:hint="default" w:ascii="仿宋_GB2312" w:hAnsi="宋体" w:eastAsia="仿宋_GB2312" w:cs="宋体"/>
                <w:sz w:val="22"/>
                <w:szCs w:val="22"/>
              </w:rPr>
            </w:pPr>
            <w:r>
              <w:rPr>
                <w:rStyle w:val="64"/>
                <w:rFonts w:hint="eastAsia" w:ascii="仿宋_GB2312" w:hAnsi="宋体" w:eastAsia="仿宋_GB2312" w:cs="宋体"/>
                <w:sz w:val="22"/>
                <w:szCs w:val="22"/>
                <w:lang w:val="en-US" w:eastAsia="zh-CN"/>
              </w:rPr>
              <w:t>蓬莱港</w:t>
            </w:r>
            <w:r>
              <w:rPr>
                <w:rStyle w:val="64"/>
                <w:rFonts w:hint="default" w:ascii="仿宋_GB2312" w:hAnsi="宋体" w:eastAsia="仿宋_GB2312" w:cs="宋体"/>
                <w:sz w:val="22"/>
                <w:szCs w:val="22"/>
              </w:rPr>
              <w:t>公司</w:t>
            </w:r>
          </w:p>
        </w:tc>
        <w:tc>
          <w:tcPr>
            <w:tcW w:w="2258" w:type="dxa"/>
            <w:tcBorders>
              <w:top w:val="single" w:color="auto" w:sz="4" w:space="0"/>
              <w:left w:val="single" w:color="auto" w:sz="4" w:space="0"/>
              <w:bottom w:val="single" w:color="auto" w:sz="4" w:space="0"/>
              <w:right w:val="single" w:color="auto" w:sz="4" w:space="0"/>
            </w:tcBorders>
            <w:vAlign w:val="center"/>
          </w:tcPr>
          <w:p w14:paraId="3028419B">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总指挥</w:t>
            </w:r>
          </w:p>
        </w:tc>
        <w:tc>
          <w:tcPr>
            <w:tcW w:w="2551" w:type="dxa"/>
            <w:tcBorders>
              <w:top w:val="single" w:color="auto" w:sz="4" w:space="0"/>
              <w:left w:val="single" w:color="auto" w:sz="4" w:space="0"/>
              <w:bottom w:val="single" w:color="auto" w:sz="4" w:space="0"/>
              <w:right w:val="single" w:color="auto" w:sz="4" w:space="0"/>
            </w:tcBorders>
            <w:vAlign w:val="center"/>
          </w:tcPr>
          <w:p w14:paraId="72165E7D">
            <w:pPr>
              <w:widowControl/>
              <w:spacing w:line="400" w:lineRule="exact"/>
              <w:jc w:val="center"/>
              <w:textAlignment w:val="center"/>
              <w:rPr>
                <w:rStyle w:val="64"/>
                <w:rFonts w:hint="default" w:ascii="仿宋_GB2312" w:hAnsi="宋体" w:eastAsia="仿宋_GB2312" w:cs="宋体"/>
                <w:sz w:val="22"/>
                <w:szCs w:val="22"/>
              </w:rPr>
            </w:pPr>
            <w:r>
              <w:rPr>
                <w:rStyle w:val="64"/>
                <w:rFonts w:hint="eastAsia" w:ascii="仿宋_GB2312" w:hAnsi="宋体" w:eastAsia="仿宋_GB2312" w:cs="宋体"/>
                <w:sz w:val="22"/>
                <w:szCs w:val="22"/>
                <w:lang w:val="en-US" w:eastAsia="zh-CN"/>
              </w:rPr>
              <w:t>曲</w:t>
            </w:r>
            <w:r>
              <w:rPr>
                <w:rStyle w:val="64"/>
                <w:rFonts w:hint="default" w:ascii="仿宋_GB2312" w:hAnsi="宋体" w:eastAsia="仿宋_GB2312" w:cs="宋体"/>
                <w:sz w:val="22"/>
                <w:szCs w:val="22"/>
              </w:rPr>
              <w:t>总：</w:t>
            </w:r>
          </w:p>
        </w:tc>
        <w:tc>
          <w:tcPr>
            <w:tcW w:w="901" w:type="dxa"/>
            <w:tcBorders>
              <w:top w:val="single" w:color="auto" w:sz="4" w:space="0"/>
              <w:left w:val="single" w:color="auto" w:sz="4" w:space="0"/>
              <w:bottom w:val="single" w:color="auto" w:sz="4" w:space="0"/>
              <w:right w:val="single" w:color="auto" w:sz="4" w:space="0"/>
            </w:tcBorders>
            <w:vAlign w:val="center"/>
          </w:tcPr>
          <w:p w14:paraId="1BFE8EF6">
            <w:pPr>
              <w:widowControl/>
              <w:spacing w:line="400" w:lineRule="exact"/>
              <w:jc w:val="center"/>
              <w:textAlignment w:val="center"/>
              <w:rPr>
                <w:rStyle w:val="64"/>
                <w:rFonts w:hint="default" w:ascii="仿宋_GB2312" w:hAnsi="宋体" w:eastAsia="仿宋_GB2312" w:cs="宋体"/>
                <w:sz w:val="22"/>
                <w:szCs w:val="22"/>
              </w:rPr>
            </w:pPr>
          </w:p>
        </w:tc>
      </w:tr>
      <w:tr w14:paraId="20695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6C9D34F4">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6</w:t>
            </w:r>
          </w:p>
        </w:tc>
        <w:tc>
          <w:tcPr>
            <w:tcW w:w="1995" w:type="dxa"/>
            <w:tcBorders>
              <w:top w:val="single" w:color="auto" w:sz="4" w:space="0"/>
              <w:left w:val="single" w:color="auto" w:sz="4" w:space="0"/>
              <w:bottom w:val="single" w:color="auto" w:sz="4" w:space="0"/>
              <w:right w:val="single" w:color="auto" w:sz="4" w:space="0"/>
            </w:tcBorders>
            <w:vAlign w:val="center"/>
          </w:tcPr>
          <w:p w14:paraId="5E44ECAB">
            <w:pPr>
              <w:widowControl/>
              <w:spacing w:line="400" w:lineRule="exact"/>
              <w:jc w:val="center"/>
              <w:textAlignment w:val="center"/>
              <w:rPr>
                <w:rStyle w:val="64"/>
                <w:rFonts w:hint="default" w:ascii="仿宋_GB2312" w:hAnsi="宋体" w:eastAsia="仿宋_GB2312" w:cs="宋体"/>
                <w:sz w:val="22"/>
                <w:szCs w:val="22"/>
              </w:rPr>
            </w:pPr>
            <w:r>
              <w:rPr>
                <w:rStyle w:val="64"/>
                <w:rFonts w:hint="eastAsia" w:ascii="仿宋_GB2312" w:hAnsi="宋体" w:eastAsia="仿宋_GB2312" w:cs="宋体"/>
                <w:sz w:val="22"/>
                <w:szCs w:val="22"/>
                <w:lang w:val="en-US" w:eastAsia="zh-CN"/>
              </w:rPr>
              <w:t>蓬莱港</w:t>
            </w:r>
            <w:r>
              <w:rPr>
                <w:rStyle w:val="64"/>
                <w:rFonts w:hint="default" w:ascii="仿宋_GB2312" w:hAnsi="宋体" w:eastAsia="仿宋_GB2312" w:cs="宋体"/>
                <w:sz w:val="22"/>
                <w:szCs w:val="22"/>
              </w:rPr>
              <w:t>公司</w:t>
            </w:r>
          </w:p>
        </w:tc>
        <w:tc>
          <w:tcPr>
            <w:tcW w:w="2258" w:type="dxa"/>
            <w:tcBorders>
              <w:top w:val="single" w:color="auto" w:sz="4" w:space="0"/>
              <w:left w:val="single" w:color="auto" w:sz="4" w:space="0"/>
              <w:bottom w:val="single" w:color="auto" w:sz="4" w:space="0"/>
              <w:right w:val="single" w:color="auto" w:sz="4" w:space="0"/>
            </w:tcBorders>
            <w:vAlign w:val="center"/>
          </w:tcPr>
          <w:p w14:paraId="0ED27BB3">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应急办公室主任</w:t>
            </w:r>
          </w:p>
        </w:tc>
        <w:tc>
          <w:tcPr>
            <w:tcW w:w="2551" w:type="dxa"/>
            <w:tcBorders>
              <w:top w:val="single" w:color="auto" w:sz="4" w:space="0"/>
              <w:left w:val="single" w:color="auto" w:sz="4" w:space="0"/>
              <w:bottom w:val="single" w:color="auto" w:sz="4" w:space="0"/>
              <w:right w:val="single" w:color="auto" w:sz="4" w:space="0"/>
            </w:tcBorders>
            <w:vAlign w:val="center"/>
          </w:tcPr>
          <w:p w14:paraId="6AB942D1">
            <w:pPr>
              <w:widowControl/>
              <w:spacing w:line="400" w:lineRule="exact"/>
              <w:jc w:val="center"/>
              <w:textAlignment w:val="center"/>
              <w:rPr>
                <w:rStyle w:val="64"/>
                <w:rFonts w:hint="default" w:ascii="仿宋_GB2312" w:hAnsi="宋体" w:eastAsia="仿宋_GB2312" w:cs="宋体"/>
                <w:sz w:val="22"/>
                <w:szCs w:val="22"/>
              </w:rPr>
            </w:pPr>
            <w:r>
              <w:rPr>
                <w:rStyle w:val="64"/>
                <w:rFonts w:hint="eastAsia" w:ascii="仿宋_GB2312" w:hAnsi="宋体" w:eastAsia="仿宋_GB2312" w:cs="宋体"/>
                <w:sz w:val="22"/>
                <w:szCs w:val="22"/>
                <w:lang w:val="en-US" w:eastAsia="zh-CN"/>
              </w:rPr>
              <w:t>李</w:t>
            </w:r>
            <w:r>
              <w:rPr>
                <w:rStyle w:val="64"/>
                <w:rFonts w:hint="default" w:ascii="仿宋_GB2312" w:hAnsi="宋体" w:eastAsia="仿宋_GB2312" w:cs="宋体"/>
                <w:sz w:val="22"/>
                <w:szCs w:val="22"/>
              </w:rPr>
              <w:t>主任：</w:t>
            </w:r>
          </w:p>
        </w:tc>
        <w:tc>
          <w:tcPr>
            <w:tcW w:w="901" w:type="dxa"/>
            <w:tcBorders>
              <w:top w:val="single" w:color="auto" w:sz="4" w:space="0"/>
              <w:left w:val="single" w:color="auto" w:sz="4" w:space="0"/>
              <w:bottom w:val="single" w:color="auto" w:sz="4" w:space="0"/>
              <w:right w:val="single" w:color="auto" w:sz="4" w:space="0"/>
            </w:tcBorders>
            <w:vAlign w:val="center"/>
          </w:tcPr>
          <w:p w14:paraId="7F6CC661">
            <w:pPr>
              <w:widowControl/>
              <w:spacing w:line="400" w:lineRule="exact"/>
              <w:jc w:val="center"/>
              <w:textAlignment w:val="center"/>
              <w:rPr>
                <w:rStyle w:val="64"/>
                <w:rFonts w:hint="default" w:ascii="仿宋_GB2312" w:hAnsi="宋体" w:eastAsia="仿宋_GB2312" w:cs="宋体"/>
                <w:sz w:val="22"/>
                <w:szCs w:val="22"/>
              </w:rPr>
            </w:pPr>
          </w:p>
        </w:tc>
      </w:tr>
      <w:tr w14:paraId="36D2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54D53A74">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7</w:t>
            </w:r>
          </w:p>
        </w:tc>
        <w:tc>
          <w:tcPr>
            <w:tcW w:w="1995" w:type="dxa"/>
            <w:tcBorders>
              <w:top w:val="single" w:color="auto" w:sz="4" w:space="0"/>
              <w:left w:val="single" w:color="auto" w:sz="4" w:space="0"/>
              <w:bottom w:val="single" w:color="auto" w:sz="4" w:space="0"/>
              <w:right w:val="single" w:color="auto" w:sz="4" w:space="0"/>
            </w:tcBorders>
            <w:vAlign w:val="center"/>
          </w:tcPr>
          <w:p w14:paraId="0CF559E6">
            <w:pPr>
              <w:widowControl/>
              <w:spacing w:line="400" w:lineRule="exact"/>
              <w:jc w:val="center"/>
              <w:textAlignment w:val="center"/>
              <w:rPr>
                <w:rStyle w:val="64"/>
                <w:rFonts w:hint="default" w:ascii="仿宋_GB2312" w:hAnsi="宋体" w:eastAsia="仿宋_GB2312" w:cs="宋体"/>
                <w:sz w:val="22"/>
                <w:szCs w:val="22"/>
              </w:rPr>
            </w:pPr>
            <w:r>
              <w:rPr>
                <w:rStyle w:val="64"/>
                <w:rFonts w:hint="eastAsia" w:ascii="仿宋_GB2312" w:hAnsi="宋体" w:eastAsia="仿宋_GB2312" w:cs="宋体"/>
                <w:sz w:val="22"/>
                <w:szCs w:val="22"/>
                <w:lang w:val="en-US" w:eastAsia="zh-CN"/>
              </w:rPr>
              <w:t>蓬莱港</w:t>
            </w:r>
            <w:r>
              <w:rPr>
                <w:rStyle w:val="64"/>
                <w:rFonts w:hint="default" w:ascii="仿宋_GB2312" w:hAnsi="宋体" w:eastAsia="仿宋_GB2312" w:cs="宋体"/>
                <w:sz w:val="22"/>
                <w:szCs w:val="22"/>
              </w:rPr>
              <w:t>公司</w:t>
            </w:r>
          </w:p>
        </w:tc>
        <w:tc>
          <w:tcPr>
            <w:tcW w:w="2258" w:type="dxa"/>
            <w:tcBorders>
              <w:top w:val="single" w:color="auto" w:sz="4" w:space="0"/>
              <w:left w:val="single" w:color="auto" w:sz="4" w:space="0"/>
              <w:bottom w:val="single" w:color="auto" w:sz="4" w:space="0"/>
              <w:right w:val="single" w:color="auto" w:sz="4" w:space="0"/>
            </w:tcBorders>
            <w:vAlign w:val="center"/>
          </w:tcPr>
          <w:p w14:paraId="274933D0">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应急办公室</w:t>
            </w:r>
          </w:p>
        </w:tc>
        <w:tc>
          <w:tcPr>
            <w:tcW w:w="2551" w:type="dxa"/>
            <w:tcBorders>
              <w:top w:val="single" w:color="auto" w:sz="4" w:space="0"/>
              <w:left w:val="single" w:color="auto" w:sz="4" w:space="0"/>
              <w:bottom w:val="single" w:color="auto" w:sz="4" w:space="0"/>
              <w:right w:val="single" w:color="auto" w:sz="4" w:space="0"/>
            </w:tcBorders>
            <w:vAlign w:val="center"/>
          </w:tcPr>
          <w:p w14:paraId="1C3F01D1">
            <w:pPr>
              <w:widowControl/>
              <w:spacing w:line="400" w:lineRule="exact"/>
              <w:jc w:val="center"/>
              <w:textAlignment w:val="center"/>
              <w:rPr>
                <w:rStyle w:val="64"/>
                <w:rFonts w:hint="default" w:ascii="仿宋_GB2312" w:hAnsi="宋体" w:eastAsia="仿宋_GB2312" w:cs="宋体"/>
                <w:sz w:val="22"/>
                <w:szCs w:val="22"/>
                <w:lang w:val="en-US" w:eastAsia="zh-CN"/>
              </w:rPr>
            </w:pPr>
            <w:r>
              <w:rPr>
                <w:rStyle w:val="64"/>
                <w:rFonts w:hint="default" w:ascii="仿宋_GB2312" w:hAnsi="宋体" w:eastAsia="仿宋_GB2312" w:cs="宋体"/>
                <w:sz w:val="22"/>
                <w:szCs w:val="22"/>
              </w:rPr>
              <w:t>0535-</w:t>
            </w:r>
            <w:r>
              <w:rPr>
                <w:rStyle w:val="64"/>
                <w:rFonts w:hint="eastAsia" w:ascii="仿宋_GB2312" w:hAnsi="宋体" w:eastAsia="仿宋_GB2312" w:cs="宋体"/>
                <w:sz w:val="22"/>
                <w:szCs w:val="22"/>
                <w:lang w:val="en-US" w:eastAsia="zh-CN"/>
              </w:rPr>
              <w:t>6509028</w:t>
            </w:r>
          </w:p>
        </w:tc>
        <w:tc>
          <w:tcPr>
            <w:tcW w:w="901" w:type="dxa"/>
            <w:tcBorders>
              <w:top w:val="single" w:color="auto" w:sz="4" w:space="0"/>
              <w:left w:val="single" w:color="auto" w:sz="4" w:space="0"/>
              <w:bottom w:val="single" w:color="auto" w:sz="4" w:space="0"/>
              <w:right w:val="single" w:color="auto" w:sz="4" w:space="0"/>
            </w:tcBorders>
            <w:vAlign w:val="center"/>
          </w:tcPr>
          <w:p w14:paraId="3DEC7E08">
            <w:pPr>
              <w:widowControl/>
              <w:spacing w:line="400" w:lineRule="exact"/>
              <w:jc w:val="center"/>
              <w:textAlignment w:val="center"/>
              <w:rPr>
                <w:rStyle w:val="64"/>
                <w:rFonts w:hint="default" w:ascii="仿宋_GB2312" w:hAnsi="宋体" w:eastAsia="仿宋_GB2312" w:cs="宋体"/>
                <w:sz w:val="22"/>
                <w:szCs w:val="22"/>
              </w:rPr>
            </w:pPr>
          </w:p>
        </w:tc>
      </w:tr>
      <w:tr w14:paraId="2F8B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55DF1130">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8</w:t>
            </w:r>
          </w:p>
        </w:tc>
        <w:tc>
          <w:tcPr>
            <w:tcW w:w="1995" w:type="dxa"/>
            <w:tcBorders>
              <w:top w:val="single" w:color="auto" w:sz="4" w:space="0"/>
              <w:left w:val="single" w:color="auto" w:sz="4" w:space="0"/>
              <w:bottom w:val="single" w:color="auto" w:sz="4" w:space="0"/>
              <w:right w:val="single" w:color="auto" w:sz="4" w:space="0"/>
            </w:tcBorders>
            <w:vAlign w:val="center"/>
          </w:tcPr>
          <w:p w14:paraId="74C15453">
            <w:pPr>
              <w:widowControl/>
              <w:spacing w:line="400" w:lineRule="exact"/>
              <w:jc w:val="center"/>
              <w:textAlignment w:val="center"/>
              <w:rPr>
                <w:rStyle w:val="64"/>
                <w:rFonts w:hint="default" w:ascii="仿宋_GB2312" w:hAnsi="宋体" w:eastAsia="仿宋_GB2312" w:cs="宋体"/>
                <w:sz w:val="22"/>
                <w:szCs w:val="22"/>
              </w:rPr>
            </w:pPr>
            <w:r>
              <w:rPr>
                <w:rStyle w:val="64"/>
                <w:rFonts w:hint="eastAsia" w:ascii="仿宋_GB2312" w:hAnsi="宋体" w:eastAsia="仿宋_GB2312" w:cs="宋体"/>
                <w:sz w:val="22"/>
                <w:szCs w:val="22"/>
                <w:lang w:val="en-US" w:eastAsia="zh-CN"/>
              </w:rPr>
              <w:t>蓬莱港</w:t>
            </w:r>
            <w:r>
              <w:rPr>
                <w:rStyle w:val="64"/>
                <w:rFonts w:hint="default" w:ascii="仿宋_GB2312" w:hAnsi="宋体" w:eastAsia="仿宋_GB2312" w:cs="宋体"/>
                <w:sz w:val="22"/>
                <w:szCs w:val="22"/>
              </w:rPr>
              <w:t>公司</w:t>
            </w:r>
          </w:p>
        </w:tc>
        <w:tc>
          <w:tcPr>
            <w:tcW w:w="2258" w:type="dxa"/>
            <w:tcBorders>
              <w:top w:val="single" w:color="auto" w:sz="4" w:space="0"/>
              <w:left w:val="single" w:color="auto" w:sz="4" w:space="0"/>
              <w:bottom w:val="single" w:color="auto" w:sz="4" w:space="0"/>
              <w:right w:val="single" w:color="auto" w:sz="4" w:space="0"/>
            </w:tcBorders>
            <w:vAlign w:val="center"/>
          </w:tcPr>
          <w:p w14:paraId="50746C83">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岸电设施维修保障</w:t>
            </w:r>
          </w:p>
        </w:tc>
        <w:tc>
          <w:tcPr>
            <w:tcW w:w="2551" w:type="dxa"/>
            <w:tcBorders>
              <w:top w:val="single" w:color="auto" w:sz="4" w:space="0"/>
              <w:left w:val="single" w:color="auto" w:sz="4" w:space="0"/>
              <w:bottom w:val="single" w:color="auto" w:sz="4" w:space="0"/>
              <w:right w:val="single" w:color="auto" w:sz="4" w:space="0"/>
            </w:tcBorders>
            <w:vAlign w:val="center"/>
          </w:tcPr>
          <w:p w14:paraId="68FADBF2">
            <w:pPr>
              <w:widowControl/>
              <w:spacing w:line="400" w:lineRule="exact"/>
              <w:jc w:val="center"/>
              <w:textAlignment w:val="center"/>
              <w:rPr>
                <w:rStyle w:val="64"/>
                <w:rFonts w:hint="default" w:ascii="仿宋_GB2312" w:hAnsi="宋体" w:eastAsia="仿宋_GB2312" w:cs="宋体"/>
                <w:sz w:val="22"/>
                <w:szCs w:val="22"/>
              </w:rPr>
            </w:pPr>
            <w:r>
              <w:rPr>
                <w:rStyle w:val="64"/>
                <w:rFonts w:hint="default" w:ascii="仿宋_GB2312" w:hAnsi="宋体" w:eastAsia="仿宋_GB2312" w:cs="宋体"/>
                <w:sz w:val="22"/>
                <w:szCs w:val="22"/>
              </w:rPr>
              <w:t>王工：</w:t>
            </w:r>
          </w:p>
        </w:tc>
        <w:tc>
          <w:tcPr>
            <w:tcW w:w="901" w:type="dxa"/>
            <w:tcBorders>
              <w:top w:val="single" w:color="auto" w:sz="4" w:space="0"/>
              <w:left w:val="single" w:color="auto" w:sz="4" w:space="0"/>
              <w:bottom w:val="single" w:color="auto" w:sz="4" w:space="0"/>
              <w:right w:val="single" w:color="auto" w:sz="4" w:space="0"/>
            </w:tcBorders>
            <w:vAlign w:val="center"/>
          </w:tcPr>
          <w:p w14:paraId="4B913B33">
            <w:pPr>
              <w:widowControl/>
              <w:spacing w:line="400" w:lineRule="exact"/>
              <w:jc w:val="center"/>
              <w:textAlignment w:val="center"/>
              <w:rPr>
                <w:rStyle w:val="64"/>
                <w:rFonts w:hint="default" w:ascii="仿宋_GB2312" w:hAnsi="宋体" w:eastAsia="仿宋_GB2312" w:cs="宋体"/>
                <w:sz w:val="22"/>
                <w:szCs w:val="22"/>
              </w:rPr>
            </w:pPr>
          </w:p>
        </w:tc>
      </w:tr>
    </w:tbl>
    <w:p w14:paraId="286BE263">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（2）其他资源</w:t>
      </w:r>
    </w:p>
    <w:p w14:paraId="0782C66F">
      <w:pPr>
        <w:spacing w:line="560" w:lineRule="exact"/>
        <w:ind w:firstLine="640" w:firstLineChars="200"/>
        <w:rPr>
          <w:rFonts w:ascii="仿宋_GB2312" w:hAnsi="微软雅黑" w:eastAsia="仿宋_GB2312"/>
          <w:sz w:val="32"/>
          <w:szCs w:val="32"/>
        </w:rPr>
      </w:pPr>
      <w:r>
        <w:rPr>
          <w:rFonts w:hint="eastAsia" w:ascii="仿宋_GB2312" w:hAnsi="微软雅黑" w:eastAsia="仿宋_GB2312"/>
          <w:sz w:val="32"/>
          <w:szCs w:val="32"/>
        </w:rPr>
        <w:t>急需时请求周边医疗单位进行应急医疗救助支援。</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3956"/>
      </w:tblGrid>
      <w:tr w14:paraId="1A72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4349" w:type="dxa"/>
            <w:tcBorders>
              <w:top w:val="single" w:color="auto" w:sz="4" w:space="0"/>
              <w:left w:val="single" w:color="auto" w:sz="4" w:space="0"/>
              <w:bottom w:val="single" w:color="auto" w:sz="4" w:space="0"/>
              <w:right w:val="single" w:color="auto" w:sz="4" w:space="0"/>
            </w:tcBorders>
            <w:vAlign w:val="center"/>
          </w:tcPr>
          <w:p w14:paraId="240286CE">
            <w:pPr>
              <w:widowControl/>
              <w:spacing w:line="400" w:lineRule="exact"/>
              <w:jc w:val="center"/>
              <w:textAlignment w:val="center"/>
              <w:rPr>
                <w:rStyle w:val="64"/>
                <w:rFonts w:hint="default" w:ascii="仿宋_GB2312" w:hAnsi="宋体" w:eastAsia="仿宋_GB2312" w:cs="宋体"/>
                <w:sz w:val="22"/>
                <w:szCs w:val="22"/>
                <w:lang w:val="en-US" w:eastAsia="zh-CN"/>
              </w:rPr>
            </w:pPr>
            <w:r>
              <w:rPr>
                <w:rStyle w:val="64"/>
                <w:rFonts w:hint="eastAsia" w:ascii="仿宋_GB2312" w:hAnsi="宋体" w:eastAsia="仿宋_GB2312" w:cs="宋体"/>
                <w:sz w:val="22"/>
                <w:szCs w:val="22"/>
                <w:lang w:val="en-US" w:eastAsia="zh-CN"/>
              </w:rPr>
              <w:t>蓬莱区公安局</w:t>
            </w:r>
          </w:p>
        </w:tc>
        <w:tc>
          <w:tcPr>
            <w:tcW w:w="3956" w:type="dxa"/>
            <w:tcBorders>
              <w:top w:val="single" w:color="auto" w:sz="4" w:space="0"/>
              <w:left w:val="single" w:color="auto" w:sz="4" w:space="0"/>
              <w:bottom w:val="single" w:color="auto" w:sz="4" w:space="0"/>
              <w:right w:val="single" w:color="auto" w:sz="4" w:space="0"/>
            </w:tcBorders>
            <w:vAlign w:val="center"/>
          </w:tcPr>
          <w:p w14:paraId="4C199807">
            <w:pPr>
              <w:widowControl/>
              <w:spacing w:line="400" w:lineRule="exact"/>
              <w:jc w:val="center"/>
              <w:textAlignment w:val="center"/>
              <w:rPr>
                <w:rStyle w:val="64"/>
                <w:rFonts w:hint="default" w:ascii="仿宋_GB2312" w:hAnsi="宋体" w:eastAsia="仿宋_GB2312" w:cs="宋体"/>
                <w:sz w:val="22"/>
                <w:szCs w:val="22"/>
                <w:lang w:val="en-US" w:eastAsia="zh-CN"/>
              </w:rPr>
            </w:pPr>
            <w:r>
              <w:rPr>
                <w:rStyle w:val="64"/>
                <w:rFonts w:hint="eastAsia" w:ascii="仿宋_GB2312" w:hAnsi="宋体" w:eastAsia="仿宋_GB2312" w:cs="宋体"/>
                <w:sz w:val="22"/>
                <w:szCs w:val="22"/>
                <w:lang w:val="en-US" w:eastAsia="zh-CN"/>
              </w:rPr>
              <w:t>0535-5646655/110</w:t>
            </w:r>
          </w:p>
        </w:tc>
      </w:tr>
      <w:tr w14:paraId="4EA04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4349" w:type="dxa"/>
            <w:tcBorders>
              <w:top w:val="single" w:color="auto" w:sz="4" w:space="0"/>
              <w:left w:val="single" w:color="auto" w:sz="4" w:space="0"/>
              <w:bottom w:val="single" w:color="auto" w:sz="4" w:space="0"/>
              <w:right w:val="single" w:color="auto" w:sz="4" w:space="0"/>
            </w:tcBorders>
            <w:vAlign w:val="center"/>
          </w:tcPr>
          <w:p w14:paraId="374B0EDA">
            <w:pPr>
              <w:widowControl/>
              <w:spacing w:line="400" w:lineRule="exact"/>
              <w:jc w:val="center"/>
              <w:textAlignment w:val="center"/>
              <w:rPr>
                <w:rStyle w:val="64"/>
                <w:rFonts w:hint="default" w:ascii="仿宋_GB2312" w:hAnsi="宋体" w:eastAsia="仿宋_GB2312" w:cs="宋体"/>
                <w:sz w:val="22"/>
                <w:szCs w:val="22"/>
                <w:lang w:val="en-US" w:eastAsia="zh-CN"/>
              </w:rPr>
            </w:pPr>
            <w:r>
              <w:rPr>
                <w:rStyle w:val="64"/>
                <w:rFonts w:hint="eastAsia" w:ascii="仿宋_GB2312" w:hAnsi="宋体" w:eastAsia="仿宋_GB2312" w:cs="宋体"/>
                <w:sz w:val="22"/>
                <w:szCs w:val="22"/>
                <w:lang w:val="en-US" w:eastAsia="zh-CN"/>
              </w:rPr>
              <w:t>烟台港航公安局蓬莱分局</w:t>
            </w:r>
          </w:p>
        </w:tc>
        <w:tc>
          <w:tcPr>
            <w:tcW w:w="3956" w:type="dxa"/>
            <w:tcBorders>
              <w:top w:val="single" w:color="auto" w:sz="4" w:space="0"/>
              <w:left w:val="single" w:color="auto" w:sz="4" w:space="0"/>
              <w:bottom w:val="single" w:color="auto" w:sz="4" w:space="0"/>
              <w:right w:val="single" w:color="auto" w:sz="4" w:space="0"/>
            </w:tcBorders>
            <w:vAlign w:val="center"/>
          </w:tcPr>
          <w:p w14:paraId="7E6873A7">
            <w:pPr>
              <w:widowControl/>
              <w:spacing w:line="400" w:lineRule="exact"/>
              <w:jc w:val="center"/>
              <w:textAlignment w:val="center"/>
              <w:rPr>
                <w:rStyle w:val="64"/>
                <w:rFonts w:hint="default" w:ascii="仿宋_GB2312" w:hAnsi="宋体" w:eastAsia="仿宋_GB2312" w:cs="宋体"/>
                <w:sz w:val="22"/>
                <w:szCs w:val="22"/>
                <w:lang w:val="en-US" w:eastAsia="zh-CN"/>
              </w:rPr>
            </w:pPr>
            <w:r>
              <w:rPr>
                <w:rStyle w:val="64"/>
                <w:rFonts w:hint="eastAsia" w:ascii="仿宋_GB2312" w:hAnsi="宋体" w:eastAsia="仿宋_GB2312" w:cs="宋体"/>
                <w:sz w:val="22"/>
                <w:szCs w:val="22"/>
                <w:lang w:val="en-US" w:eastAsia="zh-CN"/>
              </w:rPr>
              <w:t>5035-6509110</w:t>
            </w:r>
          </w:p>
        </w:tc>
      </w:tr>
      <w:tr w14:paraId="413B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4349" w:type="dxa"/>
            <w:tcBorders>
              <w:top w:val="single" w:color="auto" w:sz="4" w:space="0"/>
              <w:left w:val="single" w:color="auto" w:sz="4" w:space="0"/>
              <w:bottom w:val="single" w:color="auto" w:sz="4" w:space="0"/>
              <w:right w:val="single" w:color="auto" w:sz="4" w:space="0"/>
            </w:tcBorders>
            <w:shd w:val="clear" w:color="auto" w:fill="auto"/>
            <w:vAlign w:val="center"/>
          </w:tcPr>
          <w:p w14:paraId="617352DD">
            <w:pPr>
              <w:widowControl/>
              <w:spacing w:line="400" w:lineRule="exact"/>
              <w:jc w:val="center"/>
              <w:textAlignment w:val="center"/>
              <w:rPr>
                <w:rFonts w:hint="default" w:ascii="仿宋_GB2312" w:hAnsi="宋体" w:eastAsia="仿宋_GB2312" w:cs="宋体"/>
                <w:color w:val="333333"/>
                <w:kern w:val="2"/>
                <w:sz w:val="22"/>
                <w:szCs w:val="22"/>
                <w:u w:val="none"/>
                <w:lang w:val="en-US" w:eastAsia="zh-CN" w:bidi="ar-SA"/>
              </w:rPr>
            </w:pPr>
            <w:r>
              <w:rPr>
                <w:rStyle w:val="64"/>
                <w:rFonts w:hint="eastAsia" w:ascii="仿宋_GB2312" w:hAnsi="宋体" w:eastAsia="仿宋_GB2312" w:cs="宋体"/>
                <w:sz w:val="22"/>
                <w:szCs w:val="22"/>
                <w:lang w:val="en-US" w:eastAsia="zh-CN"/>
              </w:rPr>
              <w:t>蓬莱区人民医院</w:t>
            </w:r>
          </w:p>
        </w:tc>
        <w:tc>
          <w:tcPr>
            <w:tcW w:w="3956" w:type="dxa"/>
            <w:tcBorders>
              <w:top w:val="single" w:color="auto" w:sz="4" w:space="0"/>
              <w:left w:val="single" w:color="auto" w:sz="4" w:space="0"/>
              <w:bottom w:val="single" w:color="auto" w:sz="4" w:space="0"/>
              <w:right w:val="single" w:color="auto" w:sz="4" w:space="0"/>
            </w:tcBorders>
            <w:shd w:val="clear" w:color="auto" w:fill="auto"/>
            <w:vAlign w:val="center"/>
          </w:tcPr>
          <w:p w14:paraId="4A02F734">
            <w:pPr>
              <w:widowControl/>
              <w:spacing w:line="400" w:lineRule="exact"/>
              <w:jc w:val="center"/>
              <w:textAlignment w:val="center"/>
              <w:rPr>
                <w:rFonts w:hint="default" w:ascii="仿宋_GB2312" w:hAnsi="宋体" w:eastAsia="仿宋_GB2312" w:cs="宋体"/>
                <w:color w:val="333333"/>
                <w:kern w:val="2"/>
                <w:sz w:val="22"/>
                <w:szCs w:val="22"/>
                <w:u w:val="none"/>
                <w:lang w:val="en-US" w:eastAsia="zh-CN" w:bidi="ar-SA"/>
              </w:rPr>
            </w:pPr>
            <w:r>
              <w:rPr>
                <w:rStyle w:val="64"/>
                <w:rFonts w:hint="eastAsia" w:ascii="仿宋_GB2312" w:hAnsi="宋体" w:eastAsia="仿宋_GB2312" w:cs="宋体"/>
                <w:sz w:val="22"/>
                <w:szCs w:val="22"/>
                <w:lang w:val="en-US" w:eastAsia="zh-CN"/>
              </w:rPr>
              <w:t>120</w:t>
            </w:r>
          </w:p>
        </w:tc>
      </w:tr>
      <w:tr w14:paraId="2EEC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4349" w:type="dxa"/>
            <w:tcBorders>
              <w:top w:val="single" w:color="auto" w:sz="4" w:space="0"/>
              <w:left w:val="single" w:color="auto" w:sz="4" w:space="0"/>
              <w:bottom w:val="single" w:color="auto" w:sz="4" w:space="0"/>
              <w:right w:val="single" w:color="auto" w:sz="4" w:space="0"/>
            </w:tcBorders>
            <w:shd w:val="clear" w:color="auto" w:fill="auto"/>
            <w:vAlign w:val="center"/>
          </w:tcPr>
          <w:p w14:paraId="1B8FF2DE">
            <w:pPr>
              <w:widowControl/>
              <w:spacing w:line="400" w:lineRule="exact"/>
              <w:jc w:val="center"/>
              <w:textAlignment w:val="center"/>
              <w:rPr>
                <w:rFonts w:hint="eastAsia" w:ascii="仿宋_GB2312" w:hAnsi="宋体" w:eastAsia="仿宋_GB2312" w:cs="宋体"/>
                <w:color w:val="333333"/>
                <w:kern w:val="2"/>
                <w:sz w:val="22"/>
                <w:szCs w:val="22"/>
                <w:u w:val="none"/>
                <w:lang w:val="en-US" w:eastAsia="zh-CN" w:bidi="ar-SA"/>
              </w:rPr>
            </w:pPr>
            <w:r>
              <w:rPr>
                <w:rStyle w:val="64"/>
                <w:rFonts w:hint="eastAsia" w:ascii="仿宋_GB2312" w:hAnsi="宋体" w:eastAsia="仿宋_GB2312" w:cs="宋体"/>
                <w:sz w:val="22"/>
                <w:szCs w:val="22"/>
                <w:lang w:val="en-US" w:eastAsia="zh-CN"/>
              </w:rPr>
              <w:t>蓬莱区中医院</w:t>
            </w:r>
          </w:p>
        </w:tc>
        <w:tc>
          <w:tcPr>
            <w:tcW w:w="3956" w:type="dxa"/>
            <w:tcBorders>
              <w:top w:val="single" w:color="auto" w:sz="4" w:space="0"/>
              <w:left w:val="single" w:color="auto" w:sz="4" w:space="0"/>
              <w:bottom w:val="single" w:color="auto" w:sz="4" w:space="0"/>
              <w:right w:val="single" w:color="auto" w:sz="4" w:space="0"/>
            </w:tcBorders>
            <w:shd w:val="clear" w:color="auto" w:fill="auto"/>
            <w:vAlign w:val="center"/>
          </w:tcPr>
          <w:p w14:paraId="12B1E2D5">
            <w:pPr>
              <w:widowControl/>
              <w:spacing w:line="400" w:lineRule="exact"/>
              <w:jc w:val="center"/>
              <w:textAlignment w:val="center"/>
              <w:rPr>
                <w:rFonts w:hint="eastAsia" w:ascii="仿宋_GB2312" w:hAnsi="宋体" w:eastAsia="仿宋_GB2312" w:cs="宋体"/>
                <w:color w:val="333333"/>
                <w:kern w:val="2"/>
                <w:sz w:val="22"/>
                <w:szCs w:val="22"/>
                <w:u w:val="none"/>
                <w:lang w:val="en-US" w:eastAsia="zh-CN" w:bidi="ar-SA"/>
              </w:rPr>
            </w:pPr>
            <w:r>
              <w:rPr>
                <w:rStyle w:val="64"/>
                <w:rFonts w:hint="eastAsia" w:ascii="仿宋_GB2312" w:hAnsi="宋体" w:eastAsia="仿宋_GB2312" w:cs="宋体"/>
                <w:sz w:val="22"/>
                <w:szCs w:val="22"/>
                <w:lang w:val="en-US" w:eastAsia="zh-CN"/>
              </w:rPr>
              <w:t>0535-5641999</w:t>
            </w:r>
          </w:p>
        </w:tc>
      </w:tr>
    </w:tbl>
    <w:p w14:paraId="524D9DE9">
      <w:pPr>
        <w:tabs>
          <w:tab w:val="left" w:pos="993"/>
        </w:tabs>
        <w:snapToGrid w:val="0"/>
        <w:spacing w:line="560" w:lineRule="exact"/>
        <w:ind w:firstLine="640" w:firstLineChars="200"/>
        <w:rPr>
          <w:rFonts w:ascii="仿宋_GB2312" w:hAnsi="楷体_GB2312" w:eastAsia="仿宋_GB2312" w:cs="楷体_GB2312"/>
          <w:sz w:val="32"/>
          <w:szCs w:val="32"/>
        </w:rPr>
      </w:pPr>
    </w:p>
    <w:p w14:paraId="36B4DDAF">
      <w:pPr>
        <w:pStyle w:val="7"/>
        <w:spacing w:line="560" w:lineRule="exact"/>
        <w:ind w:firstLine="640"/>
        <w:rPr>
          <w:rFonts w:ascii="仿宋_GB2312" w:hAnsi="楷体_GB2312" w:eastAsia="仿宋_GB2312" w:cs="楷体_GB2312"/>
          <w:sz w:val="32"/>
          <w:szCs w:val="32"/>
        </w:rPr>
      </w:pPr>
    </w:p>
    <w:p w14:paraId="6ADF0373">
      <w:pPr>
        <w:spacing w:line="560" w:lineRule="exact"/>
        <w:ind w:firstLine="640" w:firstLineChars="200"/>
        <w:rPr>
          <w:rFonts w:ascii="仿宋_GB2312" w:eastAsia="仿宋_GB2312"/>
          <w:sz w:val="32"/>
          <w:szCs w:val="32"/>
        </w:rPr>
      </w:pPr>
    </w:p>
    <w:p w14:paraId="3659BBB3">
      <w:pPr>
        <w:spacing w:line="560" w:lineRule="exact"/>
        <w:ind w:firstLine="640" w:firstLineChars="200"/>
        <w:rPr>
          <w:rFonts w:ascii="仿宋_GB2312" w:eastAsia="仿宋_GB2312"/>
          <w:sz w:val="32"/>
          <w:szCs w:val="32"/>
        </w:rPr>
      </w:pPr>
    </w:p>
    <w:p w14:paraId="055FAE1D">
      <w:pPr>
        <w:spacing w:line="560" w:lineRule="exact"/>
        <w:ind w:firstLine="640" w:firstLineChars="200"/>
        <w:rPr>
          <w:rFonts w:ascii="仿宋_GB2312" w:eastAsia="仿宋_GB2312"/>
          <w:sz w:val="32"/>
          <w:szCs w:val="32"/>
        </w:rPr>
      </w:pPr>
    </w:p>
    <w:p w14:paraId="6BC042EE">
      <w:pPr>
        <w:spacing w:line="560" w:lineRule="exact"/>
        <w:ind w:firstLine="640" w:firstLineChars="200"/>
        <w:rPr>
          <w:rFonts w:ascii="仿宋_GB2312" w:eastAsia="仿宋_GB2312"/>
          <w:sz w:val="32"/>
          <w:szCs w:val="32"/>
        </w:rPr>
      </w:pPr>
    </w:p>
    <w:p w14:paraId="616DDE3C">
      <w:pPr>
        <w:spacing w:line="560" w:lineRule="exact"/>
        <w:ind w:firstLine="640" w:firstLineChars="200"/>
        <w:rPr>
          <w:rFonts w:ascii="仿宋_GB2312" w:eastAsia="仿宋_GB2312"/>
          <w:sz w:val="32"/>
          <w:szCs w:val="32"/>
        </w:rPr>
      </w:pPr>
    </w:p>
    <w:p w14:paraId="1B549D4D">
      <w:pPr>
        <w:spacing w:line="560" w:lineRule="exact"/>
        <w:ind w:firstLine="640" w:firstLineChars="200"/>
        <w:rPr>
          <w:rFonts w:ascii="仿宋_GB2312" w:eastAsia="仿宋_GB2312"/>
          <w:sz w:val="32"/>
          <w:szCs w:val="32"/>
        </w:rPr>
      </w:pPr>
    </w:p>
    <w:p w14:paraId="4384CDB6">
      <w:pPr>
        <w:spacing w:line="560" w:lineRule="exact"/>
        <w:rPr>
          <w:rFonts w:ascii="仿宋_GB2312" w:eastAsia="仿宋_GB2312"/>
          <w:sz w:val="32"/>
          <w:szCs w:val="32"/>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Î¢ÈíÑÅºÚ">
    <w:altName w:val="宋体"/>
    <w:panose1 w:val="00000000000000000000"/>
    <w:charset w:val="86"/>
    <w:family w:val="auto"/>
    <w:pitch w:val="default"/>
    <w:sig w:usb0="00000000" w:usb1="0000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9848F">
    <w:pPr>
      <w:pStyle w:val="17"/>
      <w:ind w:firstLine="360"/>
      <w:jc w:val="center"/>
    </w:pPr>
  </w:p>
  <w:p w14:paraId="0E7B3CEE">
    <w:pPr>
      <w:pStyle w:val="1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4B9CA">
    <w:pPr>
      <w:pStyle w:val="18"/>
      <w:pBdr>
        <w:bottom w:val="none" w:color="auto" w:sz="0" w:space="0"/>
      </w:pBdr>
      <w:ind w:firstLine="36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2"/>
  </w:compat>
  <w:docVars>
    <w:docVar w:name="commondata" w:val="eyJoZGlkIjoiYWJjYzM2OGI5MTgxZjdkZjY3MzVjNWU5NWZhZDdkNjcifQ=="/>
  </w:docVars>
  <w:rsids>
    <w:rsidRoot w:val="00D246DB"/>
    <w:rsid w:val="00013584"/>
    <w:rsid w:val="00031D61"/>
    <w:rsid w:val="00034EE2"/>
    <w:rsid w:val="00036F5C"/>
    <w:rsid w:val="00053850"/>
    <w:rsid w:val="00057CE8"/>
    <w:rsid w:val="00057E4A"/>
    <w:rsid w:val="00064D70"/>
    <w:rsid w:val="0006785E"/>
    <w:rsid w:val="00073BEA"/>
    <w:rsid w:val="0008286D"/>
    <w:rsid w:val="00084C25"/>
    <w:rsid w:val="00090320"/>
    <w:rsid w:val="000D3E00"/>
    <w:rsid w:val="000D4F1F"/>
    <w:rsid w:val="000D54EE"/>
    <w:rsid w:val="000E1281"/>
    <w:rsid w:val="000E2230"/>
    <w:rsid w:val="000E41E8"/>
    <w:rsid w:val="000E4F2B"/>
    <w:rsid w:val="000F4D56"/>
    <w:rsid w:val="00101898"/>
    <w:rsid w:val="00102AB5"/>
    <w:rsid w:val="0010363A"/>
    <w:rsid w:val="00111F56"/>
    <w:rsid w:val="001142FA"/>
    <w:rsid w:val="00116670"/>
    <w:rsid w:val="0012020B"/>
    <w:rsid w:val="00137FEE"/>
    <w:rsid w:val="00187BE5"/>
    <w:rsid w:val="00196659"/>
    <w:rsid w:val="00197100"/>
    <w:rsid w:val="001C37FB"/>
    <w:rsid w:val="001C6752"/>
    <w:rsid w:val="001F2953"/>
    <w:rsid w:val="00202BF0"/>
    <w:rsid w:val="002121B7"/>
    <w:rsid w:val="002249E0"/>
    <w:rsid w:val="002332BE"/>
    <w:rsid w:val="00244B86"/>
    <w:rsid w:val="00275548"/>
    <w:rsid w:val="002766DE"/>
    <w:rsid w:val="00294FA7"/>
    <w:rsid w:val="002956BD"/>
    <w:rsid w:val="00295F8D"/>
    <w:rsid w:val="002A7622"/>
    <w:rsid w:val="002A7A42"/>
    <w:rsid w:val="002B22E5"/>
    <w:rsid w:val="002B586D"/>
    <w:rsid w:val="002B5E5F"/>
    <w:rsid w:val="002C1446"/>
    <w:rsid w:val="002E62F2"/>
    <w:rsid w:val="002E69C0"/>
    <w:rsid w:val="002E7841"/>
    <w:rsid w:val="00302307"/>
    <w:rsid w:val="00310B8A"/>
    <w:rsid w:val="00322DF4"/>
    <w:rsid w:val="00326083"/>
    <w:rsid w:val="003443F2"/>
    <w:rsid w:val="00364E6F"/>
    <w:rsid w:val="00365734"/>
    <w:rsid w:val="00373611"/>
    <w:rsid w:val="003911C1"/>
    <w:rsid w:val="00396FBF"/>
    <w:rsid w:val="003A158E"/>
    <w:rsid w:val="003C398C"/>
    <w:rsid w:val="003C761E"/>
    <w:rsid w:val="003D5AD8"/>
    <w:rsid w:val="003F0FA6"/>
    <w:rsid w:val="0042463F"/>
    <w:rsid w:val="004351DD"/>
    <w:rsid w:val="00467CCC"/>
    <w:rsid w:val="00471AA9"/>
    <w:rsid w:val="00492DC9"/>
    <w:rsid w:val="004964DB"/>
    <w:rsid w:val="004A1B9E"/>
    <w:rsid w:val="004B14A3"/>
    <w:rsid w:val="004D3165"/>
    <w:rsid w:val="004E599F"/>
    <w:rsid w:val="00517F24"/>
    <w:rsid w:val="0052352C"/>
    <w:rsid w:val="00532B86"/>
    <w:rsid w:val="0053595E"/>
    <w:rsid w:val="00541566"/>
    <w:rsid w:val="00571DAF"/>
    <w:rsid w:val="00580389"/>
    <w:rsid w:val="005A2A46"/>
    <w:rsid w:val="005A4AF0"/>
    <w:rsid w:val="005B1BA8"/>
    <w:rsid w:val="005B3048"/>
    <w:rsid w:val="005B7EB4"/>
    <w:rsid w:val="005C2238"/>
    <w:rsid w:val="005D4DFE"/>
    <w:rsid w:val="0060596C"/>
    <w:rsid w:val="00615402"/>
    <w:rsid w:val="0062090D"/>
    <w:rsid w:val="0062323F"/>
    <w:rsid w:val="00646071"/>
    <w:rsid w:val="00653742"/>
    <w:rsid w:val="00654215"/>
    <w:rsid w:val="00671432"/>
    <w:rsid w:val="00675D78"/>
    <w:rsid w:val="00692EC7"/>
    <w:rsid w:val="006A1F30"/>
    <w:rsid w:val="006A6716"/>
    <w:rsid w:val="006A752B"/>
    <w:rsid w:val="006B527D"/>
    <w:rsid w:val="006C2B58"/>
    <w:rsid w:val="006D65CD"/>
    <w:rsid w:val="006E1854"/>
    <w:rsid w:val="006E2ED2"/>
    <w:rsid w:val="00701D47"/>
    <w:rsid w:val="007117ED"/>
    <w:rsid w:val="0071515E"/>
    <w:rsid w:val="007319A5"/>
    <w:rsid w:val="00744551"/>
    <w:rsid w:val="00762FB3"/>
    <w:rsid w:val="00763476"/>
    <w:rsid w:val="007645C8"/>
    <w:rsid w:val="00773E76"/>
    <w:rsid w:val="0079238F"/>
    <w:rsid w:val="00796297"/>
    <w:rsid w:val="007B1D65"/>
    <w:rsid w:val="008072FC"/>
    <w:rsid w:val="008162FC"/>
    <w:rsid w:val="008525B3"/>
    <w:rsid w:val="00856178"/>
    <w:rsid w:val="00862CDF"/>
    <w:rsid w:val="00870136"/>
    <w:rsid w:val="008735B0"/>
    <w:rsid w:val="008A4614"/>
    <w:rsid w:val="008B54EB"/>
    <w:rsid w:val="008C2FA8"/>
    <w:rsid w:val="008D7662"/>
    <w:rsid w:val="008E1289"/>
    <w:rsid w:val="008E66FD"/>
    <w:rsid w:val="008F767A"/>
    <w:rsid w:val="00906561"/>
    <w:rsid w:val="009216E9"/>
    <w:rsid w:val="00950E9A"/>
    <w:rsid w:val="00961596"/>
    <w:rsid w:val="009A4A3D"/>
    <w:rsid w:val="009A6073"/>
    <w:rsid w:val="009D1892"/>
    <w:rsid w:val="009D44A9"/>
    <w:rsid w:val="009E443C"/>
    <w:rsid w:val="00A00B9C"/>
    <w:rsid w:val="00A01D16"/>
    <w:rsid w:val="00A037BE"/>
    <w:rsid w:val="00A276E1"/>
    <w:rsid w:val="00A31297"/>
    <w:rsid w:val="00A40DC2"/>
    <w:rsid w:val="00A512DB"/>
    <w:rsid w:val="00A54491"/>
    <w:rsid w:val="00A65712"/>
    <w:rsid w:val="00A736DD"/>
    <w:rsid w:val="00A73B09"/>
    <w:rsid w:val="00A831FB"/>
    <w:rsid w:val="00A96097"/>
    <w:rsid w:val="00AA7081"/>
    <w:rsid w:val="00AB20AB"/>
    <w:rsid w:val="00AF4D36"/>
    <w:rsid w:val="00AF6253"/>
    <w:rsid w:val="00B21097"/>
    <w:rsid w:val="00B2248A"/>
    <w:rsid w:val="00B23A52"/>
    <w:rsid w:val="00B659F6"/>
    <w:rsid w:val="00B74127"/>
    <w:rsid w:val="00B741E3"/>
    <w:rsid w:val="00BA5CA7"/>
    <w:rsid w:val="00BA7911"/>
    <w:rsid w:val="00BA7E52"/>
    <w:rsid w:val="00BB28DA"/>
    <w:rsid w:val="00BC18E5"/>
    <w:rsid w:val="00BC4C68"/>
    <w:rsid w:val="00BC5E99"/>
    <w:rsid w:val="00BC68A4"/>
    <w:rsid w:val="00BE128E"/>
    <w:rsid w:val="00BE62CA"/>
    <w:rsid w:val="00BF544F"/>
    <w:rsid w:val="00C05E25"/>
    <w:rsid w:val="00C21173"/>
    <w:rsid w:val="00C24EBE"/>
    <w:rsid w:val="00C5377C"/>
    <w:rsid w:val="00C62799"/>
    <w:rsid w:val="00C636C2"/>
    <w:rsid w:val="00C6785D"/>
    <w:rsid w:val="00C70916"/>
    <w:rsid w:val="00C75206"/>
    <w:rsid w:val="00CB1336"/>
    <w:rsid w:val="00CB36E1"/>
    <w:rsid w:val="00CC01CE"/>
    <w:rsid w:val="00CD517C"/>
    <w:rsid w:val="00D21966"/>
    <w:rsid w:val="00D22CC4"/>
    <w:rsid w:val="00D246DB"/>
    <w:rsid w:val="00D702A3"/>
    <w:rsid w:val="00D76113"/>
    <w:rsid w:val="00DD2162"/>
    <w:rsid w:val="00E068E2"/>
    <w:rsid w:val="00E12DD1"/>
    <w:rsid w:val="00E25A27"/>
    <w:rsid w:val="00E52C05"/>
    <w:rsid w:val="00E56D25"/>
    <w:rsid w:val="00E61D36"/>
    <w:rsid w:val="00E643D3"/>
    <w:rsid w:val="00E73692"/>
    <w:rsid w:val="00E80D71"/>
    <w:rsid w:val="00E94731"/>
    <w:rsid w:val="00EB034E"/>
    <w:rsid w:val="00ED31FD"/>
    <w:rsid w:val="00EE1344"/>
    <w:rsid w:val="00EF0D4D"/>
    <w:rsid w:val="00F12428"/>
    <w:rsid w:val="00F366F3"/>
    <w:rsid w:val="00F52CC2"/>
    <w:rsid w:val="00F578CF"/>
    <w:rsid w:val="00F63BF2"/>
    <w:rsid w:val="00F7236F"/>
    <w:rsid w:val="00F75FB8"/>
    <w:rsid w:val="00F971EF"/>
    <w:rsid w:val="00FA2522"/>
    <w:rsid w:val="00FA7006"/>
    <w:rsid w:val="00FB0B79"/>
    <w:rsid w:val="00FB54DE"/>
    <w:rsid w:val="00FD2835"/>
    <w:rsid w:val="04345187"/>
    <w:rsid w:val="07707311"/>
    <w:rsid w:val="07FE2811"/>
    <w:rsid w:val="0AC44356"/>
    <w:rsid w:val="0C4A0AF2"/>
    <w:rsid w:val="0D227C48"/>
    <w:rsid w:val="0D366907"/>
    <w:rsid w:val="0E453CF0"/>
    <w:rsid w:val="0F3D21CF"/>
    <w:rsid w:val="107B4AFA"/>
    <w:rsid w:val="10F62635"/>
    <w:rsid w:val="14E341A9"/>
    <w:rsid w:val="1536455A"/>
    <w:rsid w:val="18C8780F"/>
    <w:rsid w:val="18F732F4"/>
    <w:rsid w:val="1A75281D"/>
    <w:rsid w:val="1D177F33"/>
    <w:rsid w:val="1F5A1750"/>
    <w:rsid w:val="1F6410B2"/>
    <w:rsid w:val="203B4241"/>
    <w:rsid w:val="217E3E6C"/>
    <w:rsid w:val="23322F35"/>
    <w:rsid w:val="23486DBA"/>
    <w:rsid w:val="26237A46"/>
    <w:rsid w:val="281573ED"/>
    <w:rsid w:val="2ABE67F2"/>
    <w:rsid w:val="2ACA2711"/>
    <w:rsid w:val="2C063C1D"/>
    <w:rsid w:val="2C516F34"/>
    <w:rsid w:val="300D097D"/>
    <w:rsid w:val="331C2CB3"/>
    <w:rsid w:val="339F04B3"/>
    <w:rsid w:val="349B6ECC"/>
    <w:rsid w:val="36F6034A"/>
    <w:rsid w:val="374F11B5"/>
    <w:rsid w:val="38DB1F8D"/>
    <w:rsid w:val="3AC510ED"/>
    <w:rsid w:val="3CD94A35"/>
    <w:rsid w:val="420E6F2F"/>
    <w:rsid w:val="455A6FF1"/>
    <w:rsid w:val="4765510B"/>
    <w:rsid w:val="47743CD8"/>
    <w:rsid w:val="496D4287"/>
    <w:rsid w:val="4A273284"/>
    <w:rsid w:val="4B4B11F4"/>
    <w:rsid w:val="4E1D6026"/>
    <w:rsid w:val="4F392D6E"/>
    <w:rsid w:val="53591FD4"/>
    <w:rsid w:val="54F85990"/>
    <w:rsid w:val="562C2CFF"/>
    <w:rsid w:val="570404A9"/>
    <w:rsid w:val="577214FD"/>
    <w:rsid w:val="5C595C90"/>
    <w:rsid w:val="5D9E1657"/>
    <w:rsid w:val="5F0A6BF5"/>
    <w:rsid w:val="64BB7D72"/>
    <w:rsid w:val="663D4248"/>
    <w:rsid w:val="673D2DDC"/>
    <w:rsid w:val="680D18B3"/>
    <w:rsid w:val="6821545C"/>
    <w:rsid w:val="68370BAF"/>
    <w:rsid w:val="68ED7DC4"/>
    <w:rsid w:val="6B9F78F8"/>
    <w:rsid w:val="6C9C4317"/>
    <w:rsid w:val="75A40A3A"/>
    <w:rsid w:val="762C55FB"/>
    <w:rsid w:val="7B133A12"/>
    <w:rsid w:val="7B7F7F7B"/>
    <w:rsid w:val="7C40623A"/>
    <w:rsid w:val="7C4F22D4"/>
    <w:rsid w:val="7D9457E9"/>
    <w:rsid w:val="7E1D3A7B"/>
    <w:rsid w:val="7FDC1E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微软雅黑"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5"/>
    <w:qFormat/>
    <w:uiPriority w:val="0"/>
    <w:pPr>
      <w:keepNext/>
      <w:keepLines/>
      <w:spacing w:before="340" w:after="330" w:line="578" w:lineRule="auto"/>
      <w:jc w:val="left"/>
      <w:outlineLvl w:val="0"/>
    </w:pPr>
    <w:rPr>
      <w:b/>
      <w:bCs/>
      <w:kern w:val="44"/>
      <w:sz w:val="44"/>
      <w:szCs w:val="44"/>
    </w:rPr>
  </w:style>
  <w:style w:type="paragraph" w:styleId="3">
    <w:name w:val="heading 2"/>
    <w:basedOn w:val="1"/>
    <w:next w:val="1"/>
    <w:link w:val="36"/>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37"/>
    <w:qFormat/>
    <w:uiPriority w:val="0"/>
    <w:pPr>
      <w:keepNext/>
      <w:keepLines/>
      <w:adjustRightInd w:val="0"/>
      <w:snapToGrid w:val="0"/>
      <w:spacing w:beforeAutospacing="1" w:afterAutospacing="1" w:line="360" w:lineRule="auto"/>
      <w:jc w:val="left"/>
      <w:outlineLvl w:val="2"/>
    </w:pPr>
    <w:rPr>
      <w:rFonts w:ascii="Times New Roman" w:hAnsi="Times New Roman" w:eastAsia="楷体_GB2312"/>
      <w:b/>
      <w:bCs/>
      <w:sz w:val="24"/>
      <w:szCs w:val="32"/>
    </w:rPr>
  </w:style>
  <w:style w:type="paragraph" w:styleId="5">
    <w:name w:val="heading 4"/>
    <w:basedOn w:val="1"/>
    <w:next w:val="1"/>
    <w:link w:val="38"/>
    <w:qFormat/>
    <w:uiPriority w:val="0"/>
    <w:pPr>
      <w:keepNext/>
      <w:keepLines/>
      <w:tabs>
        <w:tab w:val="left" w:pos="864"/>
      </w:tabs>
      <w:adjustRightInd w:val="0"/>
      <w:snapToGrid w:val="0"/>
      <w:spacing w:line="300" w:lineRule="auto"/>
      <w:ind w:left="864" w:hanging="864"/>
      <w:outlineLvl w:val="3"/>
    </w:pPr>
    <w:rPr>
      <w:rFonts w:ascii="Arial" w:hAnsi="Arial" w:eastAsia="华文细黑"/>
      <w:bCs/>
      <w:kern w:val="0"/>
      <w:sz w:val="24"/>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spacing w:line="360" w:lineRule="auto"/>
      <w:ind w:left="2520" w:leftChars="1200"/>
    </w:pPr>
  </w:style>
  <w:style w:type="paragraph" w:styleId="7">
    <w:name w:val="Normal Indent"/>
    <w:basedOn w:val="1"/>
    <w:unhideWhenUsed/>
    <w:qFormat/>
    <w:uiPriority w:val="0"/>
    <w:pPr>
      <w:ind w:firstLine="420" w:firstLineChars="200"/>
    </w:pPr>
    <w:rPr>
      <w:rFonts w:ascii="Times New Roman" w:hAnsi="Times New Roman" w:eastAsia="等线" w:cs="等线"/>
      <w:szCs w:val="24"/>
    </w:rPr>
  </w:style>
  <w:style w:type="paragraph" w:styleId="8">
    <w:name w:val="caption"/>
    <w:basedOn w:val="1"/>
    <w:next w:val="1"/>
    <w:qFormat/>
    <w:uiPriority w:val="0"/>
    <w:pPr>
      <w:spacing w:line="360" w:lineRule="auto"/>
    </w:pPr>
    <w:rPr>
      <w:rFonts w:ascii="Cambria" w:hAnsi="Cambria" w:eastAsia="黑体"/>
      <w:sz w:val="20"/>
      <w:szCs w:val="20"/>
    </w:rPr>
  </w:style>
  <w:style w:type="paragraph" w:styleId="9">
    <w:name w:val="Document Map"/>
    <w:basedOn w:val="1"/>
    <w:link w:val="41"/>
    <w:unhideWhenUsed/>
    <w:qFormat/>
    <w:uiPriority w:val="99"/>
    <w:pPr>
      <w:spacing w:line="360" w:lineRule="auto"/>
    </w:pPr>
    <w:rPr>
      <w:rFonts w:ascii="宋体"/>
      <w:sz w:val="18"/>
      <w:szCs w:val="18"/>
    </w:rPr>
  </w:style>
  <w:style w:type="paragraph" w:styleId="10">
    <w:name w:val="annotation text"/>
    <w:basedOn w:val="1"/>
    <w:link w:val="42"/>
    <w:unhideWhenUsed/>
    <w:qFormat/>
    <w:uiPriority w:val="99"/>
    <w:pPr>
      <w:jc w:val="left"/>
    </w:pPr>
  </w:style>
  <w:style w:type="paragraph" w:styleId="11">
    <w:name w:val="Body Text"/>
    <w:basedOn w:val="1"/>
    <w:link w:val="98"/>
    <w:semiHidden/>
    <w:unhideWhenUsed/>
    <w:qFormat/>
    <w:uiPriority w:val="0"/>
    <w:pPr>
      <w:spacing w:after="120" w:line="360" w:lineRule="auto"/>
    </w:pPr>
  </w:style>
  <w:style w:type="paragraph" w:styleId="12">
    <w:name w:val="Body Text Indent"/>
    <w:basedOn w:val="1"/>
    <w:link w:val="43"/>
    <w:qFormat/>
    <w:uiPriority w:val="0"/>
    <w:pPr>
      <w:spacing w:after="120" w:line="360" w:lineRule="auto"/>
      <w:ind w:left="420" w:leftChars="200"/>
    </w:pPr>
  </w:style>
  <w:style w:type="paragraph" w:styleId="13">
    <w:name w:val="toc 5"/>
    <w:basedOn w:val="1"/>
    <w:next w:val="1"/>
    <w:unhideWhenUsed/>
    <w:qFormat/>
    <w:uiPriority w:val="39"/>
    <w:pPr>
      <w:spacing w:line="360" w:lineRule="auto"/>
      <w:ind w:left="1680" w:leftChars="800"/>
    </w:pPr>
  </w:style>
  <w:style w:type="paragraph" w:styleId="14">
    <w:name w:val="toc 3"/>
    <w:basedOn w:val="1"/>
    <w:next w:val="1"/>
    <w:unhideWhenUsed/>
    <w:qFormat/>
    <w:uiPriority w:val="39"/>
    <w:pPr>
      <w:spacing w:line="360" w:lineRule="auto"/>
      <w:ind w:left="840" w:leftChars="400"/>
    </w:pPr>
  </w:style>
  <w:style w:type="paragraph" w:styleId="15">
    <w:name w:val="toc 8"/>
    <w:basedOn w:val="1"/>
    <w:next w:val="1"/>
    <w:unhideWhenUsed/>
    <w:qFormat/>
    <w:uiPriority w:val="39"/>
    <w:pPr>
      <w:spacing w:line="360" w:lineRule="auto"/>
      <w:ind w:left="2940" w:leftChars="1400"/>
    </w:pPr>
  </w:style>
  <w:style w:type="paragraph" w:styleId="16">
    <w:name w:val="Balloon Text"/>
    <w:basedOn w:val="1"/>
    <w:link w:val="44"/>
    <w:unhideWhenUsed/>
    <w:qFormat/>
    <w:uiPriority w:val="99"/>
    <w:pPr>
      <w:spacing w:line="360" w:lineRule="auto"/>
    </w:pPr>
    <w:rPr>
      <w:sz w:val="18"/>
      <w:szCs w:val="18"/>
    </w:rPr>
  </w:style>
  <w:style w:type="paragraph" w:styleId="17">
    <w:name w:val="footer"/>
    <w:basedOn w:val="1"/>
    <w:link w:val="45"/>
    <w:unhideWhenUsed/>
    <w:qFormat/>
    <w:uiPriority w:val="0"/>
    <w:pPr>
      <w:tabs>
        <w:tab w:val="center" w:pos="4153"/>
        <w:tab w:val="right" w:pos="8306"/>
      </w:tabs>
      <w:snapToGrid w:val="0"/>
      <w:spacing w:line="360" w:lineRule="auto"/>
      <w:jc w:val="left"/>
    </w:pPr>
    <w:rPr>
      <w:sz w:val="18"/>
      <w:szCs w:val="18"/>
    </w:rPr>
  </w:style>
  <w:style w:type="paragraph" w:styleId="18">
    <w:name w:val="header"/>
    <w:basedOn w:val="1"/>
    <w:link w:val="46"/>
    <w:unhideWhenUsed/>
    <w:qFormat/>
    <w:uiPriority w:val="99"/>
    <w:pPr>
      <w:pBdr>
        <w:bottom w:val="single" w:color="auto" w:sz="6" w:space="1"/>
      </w:pBdr>
      <w:tabs>
        <w:tab w:val="center" w:pos="4153"/>
        <w:tab w:val="right" w:pos="8306"/>
      </w:tabs>
      <w:snapToGrid w:val="0"/>
      <w:spacing w:line="360" w:lineRule="auto"/>
      <w:jc w:val="center"/>
    </w:pPr>
    <w:rPr>
      <w:sz w:val="18"/>
      <w:szCs w:val="18"/>
    </w:rPr>
  </w:style>
  <w:style w:type="paragraph" w:styleId="19">
    <w:name w:val="toc 1"/>
    <w:basedOn w:val="1"/>
    <w:next w:val="1"/>
    <w:unhideWhenUsed/>
    <w:qFormat/>
    <w:uiPriority w:val="39"/>
    <w:pPr>
      <w:tabs>
        <w:tab w:val="right" w:leader="dot" w:pos="8306"/>
      </w:tabs>
      <w:spacing w:line="360" w:lineRule="auto"/>
    </w:pPr>
    <w:rPr>
      <w:rFonts w:ascii="宋体" w:hAnsi="宋体"/>
      <w:sz w:val="30"/>
      <w:szCs w:val="30"/>
    </w:rPr>
  </w:style>
  <w:style w:type="paragraph" w:styleId="20">
    <w:name w:val="toc 4"/>
    <w:basedOn w:val="1"/>
    <w:next w:val="1"/>
    <w:unhideWhenUsed/>
    <w:qFormat/>
    <w:uiPriority w:val="39"/>
    <w:pPr>
      <w:spacing w:line="360" w:lineRule="auto"/>
      <w:ind w:left="1260" w:leftChars="600"/>
    </w:pPr>
  </w:style>
  <w:style w:type="paragraph" w:styleId="21">
    <w:name w:val="toc 6"/>
    <w:basedOn w:val="1"/>
    <w:next w:val="1"/>
    <w:unhideWhenUsed/>
    <w:qFormat/>
    <w:uiPriority w:val="39"/>
    <w:pPr>
      <w:spacing w:line="360" w:lineRule="auto"/>
      <w:ind w:left="2100" w:leftChars="1000"/>
    </w:pPr>
  </w:style>
  <w:style w:type="paragraph" w:styleId="22">
    <w:name w:val="toc 2"/>
    <w:basedOn w:val="1"/>
    <w:next w:val="1"/>
    <w:unhideWhenUsed/>
    <w:qFormat/>
    <w:uiPriority w:val="39"/>
    <w:pPr>
      <w:spacing w:line="360" w:lineRule="auto"/>
      <w:ind w:left="420" w:leftChars="200"/>
    </w:pPr>
  </w:style>
  <w:style w:type="paragraph" w:styleId="23">
    <w:name w:val="toc 9"/>
    <w:basedOn w:val="1"/>
    <w:next w:val="1"/>
    <w:unhideWhenUsed/>
    <w:qFormat/>
    <w:uiPriority w:val="39"/>
    <w:pPr>
      <w:spacing w:line="360" w:lineRule="auto"/>
      <w:ind w:left="3360" w:leftChars="1600"/>
    </w:pPr>
  </w:style>
  <w:style w:type="paragraph" w:styleId="24">
    <w:name w:val="Normal (Web)"/>
    <w:basedOn w:val="1"/>
    <w:qFormat/>
    <w:uiPriority w:val="0"/>
    <w:pPr>
      <w:widowControl/>
      <w:jc w:val="left"/>
    </w:pPr>
    <w:rPr>
      <w:rFonts w:ascii="宋体" w:hAnsi="宋体" w:cs="宋体"/>
      <w:kern w:val="0"/>
      <w:sz w:val="24"/>
      <w:szCs w:val="24"/>
    </w:rPr>
  </w:style>
  <w:style w:type="paragraph" w:styleId="25">
    <w:name w:val="Title"/>
    <w:basedOn w:val="1"/>
    <w:next w:val="1"/>
    <w:link w:val="40"/>
    <w:qFormat/>
    <w:uiPriority w:val="0"/>
    <w:pPr>
      <w:adjustRightInd w:val="0"/>
      <w:snapToGrid w:val="0"/>
      <w:spacing w:before="100" w:beforeAutospacing="1" w:after="100" w:afterAutospacing="1"/>
      <w:jc w:val="left"/>
      <w:outlineLvl w:val="0"/>
    </w:pPr>
    <w:rPr>
      <w:rFonts w:ascii="Cambria" w:hAnsi="Cambria"/>
      <w:b/>
      <w:bCs/>
      <w:sz w:val="32"/>
      <w:szCs w:val="32"/>
    </w:rPr>
  </w:style>
  <w:style w:type="paragraph" w:styleId="26">
    <w:name w:val="annotation subject"/>
    <w:basedOn w:val="10"/>
    <w:next w:val="10"/>
    <w:link w:val="47"/>
    <w:semiHidden/>
    <w:unhideWhenUsed/>
    <w:qFormat/>
    <w:uiPriority w:val="0"/>
    <w:pPr>
      <w:spacing w:line="360" w:lineRule="auto"/>
    </w:pPr>
    <w:rPr>
      <w:b/>
      <w:bCs/>
    </w:rPr>
  </w:style>
  <w:style w:type="table" w:styleId="28">
    <w:name w:val="Table Grid"/>
    <w:basedOn w:val="27"/>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b/>
    </w:rPr>
  </w:style>
  <w:style w:type="character" w:styleId="31">
    <w:name w:val="page number"/>
    <w:basedOn w:val="29"/>
    <w:qFormat/>
    <w:uiPriority w:val="0"/>
  </w:style>
  <w:style w:type="character" w:styleId="32">
    <w:name w:val="Emphasis"/>
    <w:qFormat/>
    <w:uiPriority w:val="20"/>
    <w:rPr>
      <w:rFonts w:eastAsia="隶书"/>
      <w:b/>
      <w:i/>
      <w:iCs/>
      <w:sz w:val="24"/>
    </w:rPr>
  </w:style>
  <w:style w:type="character" w:styleId="33">
    <w:name w:val="Hyperlink"/>
    <w:unhideWhenUsed/>
    <w:qFormat/>
    <w:uiPriority w:val="99"/>
    <w:rPr>
      <w:color w:val="666666"/>
      <w:u w:val="none"/>
    </w:rPr>
  </w:style>
  <w:style w:type="character" w:styleId="34">
    <w:name w:val="annotation reference"/>
    <w:unhideWhenUsed/>
    <w:qFormat/>
    <w:uiPriority w:val="99"/>
    <w:rPr>
      <w:sz w:val="21"/>
      <w:szCs w:val="21"/>
    </w:rPr>
  </w:style>
  <w:style w:type="character" w:customStyle="1" w:styleId="35">
    <w:name w:val="标题 1 Char"/>
    <w:basedOn w:val="29"/>
    <w:link w:val="2"/>
    <w:qFormat/>
    <w:uiPriority w:val="0"/>
    <w:rPr>
      <w:rFonts w:ascii="Calibri" w:hAnsi="Calibri" w:eastAsia="宋体" w:cs="Times New Roman"/>
      <w:b/>
      <w:bCs/>
      <w:kern w:val="44"/>
      <w:sz w:val="44"/>
      <w:szCs w:val="44"/>
    </w:rPr>
  </w:style>
  <w:style w:type="character" w:customStyle="1" w:styleId="36">
    <w:name w:val="标题 2 Char"/>
    <w:basedOn w:val="29"/>
    <w:link w:val="3"/>
    <w:qFormat/>
    <w:uiPriority w:val="0"/>
    <w:rPr>
      <w:rFonts w:ascii="Cambria" w:hAnsi="Cambria" w:eastAsia="宋体" w:cs="Times New Roman"/>
      <w:b/>
      <w:bCs/>
      <w:sz w:val="32"/>
      <w:szCs w:val="32"/>
    </w:rPr>
  </w:style>
  <w:style w:type="character" w:customStyle="1" w:styleId="37">
    <w:name w:val="标题 3 Char"/>
    <w:basedOn w:val="29"/>
    <w:link w:val="4"/>
    <w:qFormat/>
    <w:uiPriority w:val="0"/>
    <w:rPr>
      <w:rFonts w:ascii="Times New Roman" w:hAnsi="Times New Roman" w:eastAsia="楷体_GB2312" w:cs="Times New Roman"/>
      <w:b/>
      <w:bCs/>
      <w:sz w:val="24"/>
      <w:szCs w:val="32"/>
    </w:rPr>
  </w:style>
  <w:style w:type="character" w:customStyle="1" w:styleId="38">
    <w:name w:val="标题 4 Char"/>
    <w:basedOn w:val="29"/>
    <w:link w:val="5"/>
    <w:qFormat/>
    <w:uiPriority w:val="0"/>
    <w:rPr>
      <w:rFonts w:ascii="Arial" w:hAnsi="Arial" w:eastAsia="华文细黑" w:cs="Times New Roman"/>
      <w:bCs/>
      <w:kern w:val="0"/>
      <w:sz w:val="24"/>
      <w:szCs w:val="28"/>
    </w:rPr>
  </w:style>
  <w:style w:type="paragraph" w:styleId="39">
    <w:name w:val="List Paragraph"/>
    <w:basedOn w:val="1"/>
    <w:qFormat/>
    <w:uiPriority w:val="34"/>
    <w:pPr>
      <w:ind w:firstLine="420" w:firstLineChars="200"/>
    </w:pPr>
    <w:rPr>
      <w:rFonts w:cs="宋体"/>
    </w:rPr>
  </w:style>
  <w:style w:type="character" w:customStyle="1" w:styleId="40">
    <w:name w:val="标题 Char"/>
    <w:basedOn w:val="29"/>
    <w:link w:val="25"/>
    <w:qFormat/>
    <w:uiPriority w:val="0"/>
    <w:rPr>
      <w:rFonts w:ascii="Cambria" w:hAnsi="Cambria" w:eastAsia="宋体" w:cs="Times New Roman"/>
      <w:b/>
      <w:bCs/>
      <w:sz w:val="32"/>
      <w:szCs w:val="32"/>
    </w:rPr>
  </w:style>
  <w:style w:type="character" w:customStyle="1" w:styleId="41">
    <w:name w:val="文档结构图 Char"/>
    <w:basedOn w:val="29"/>
    <w:link w:val="9"/>
    <w:qFormat/>
    <w:uiPriority w:val="99"/>
    <w:rPr>
      <w:rFonts w:ascii="宋体" w:hAnsi="Calibri" w:eastAsia="宋体" w:cs="Times New Roman"/>
      <w:sz w:val="18"/>
      <w:szCs w:val="18"/>
    </w:rPr>
  </w:style>
  <w:style w:type="character" w:customStyle="1" w:styleId="42">
    <w:name w:val="批注文字 Char"/>
    <w:basedOn w:val="29"/>
    <w:link w:val="10"/>
    <w:qFormat/>
    <w:uiPriority w:val="99"/>
    <w:rPr>
      <w:rFonts w:ascii="Calibri" w:hAnsi="Calibri" w:eastAsia="宋体" w:cs="Times New Roman"/>
    </w:rPr>
  </w:style>
  <w:style w:type="character" w:customStyle="1" w:styleId="43">
    <w:name w:val="正文文本缩进 Char"/>
    <w:basedOn w:val="29"/>
    <w:link w:val="12"/>
    <w:qFormat/>
    <w:uiPriority w:val="0"/>
    <w:rPr>
      <w:rFonts w:ascii="Calibri" w:hAnsi="Calibri" w:eastAsia="宋体" w:cs="Times New Roman"/>
    </w:rPr>
  </w:style>
  <w:style w:type="character" w:customStyle="1" w:styleId="44">
    <w:name w:val="批注框文本 Char"/>
    <w:basedOn w:val="29"/>
    <w:link w:val="16"/>
    <w:qFormat/>
    <w:uiPriority w:val="99"/>
    <w:rPr>
      <w:rFonts w:ascii="Calibri" w:hAnsi="Calibri" w:eastAsia="宋体" w:cs="Times New Roman"/>
      <w:sz w:val="18"/>
      <w:szCs w:val="18"/>
    </w:rPr>
  </w:style>
  <w:style w:type="character" w:customStyle="1" w:styleId="45">
    <w:name w:val="页脚 Char"/>
    <w:basedOn w:val="29"/>
    <w:link w:val="17"/>
    <w:qFormat/>
    <w:uiPriority w:val="99"/>
    <w:rPr>
      <w:rFonts w:ascii="Calibri" w:hAnsi="Calibri" w:eastAsia="宋体" w:cs="Times New Roman"/>
      <w:sz w:val="18"/>
      <w:szCs w:val="18"/>
    </w:rPr>
  </w:style>
  <w:style w:type="character" w:customStyle="1" w:styleId="46">
    <w:name w:val="页眉 Char"/>
    <w:basedOn w:val="29"/>
    <w:link w:val="18"/>
    <w:qFormat/>
    <w:uiPriority w:val="99"/>
    <w:rPr>
      <w:rFonts w:ascii="Calibri" w:hAnsi="Calibri" w:eastAsia="宋体" w:cs="Times New Roman"/>
      <w:sz w:val="18"/>
      <w:szCs w:val="18"/>
    </w:rPr>
  </w:style>
  <w:style w:type="character" w:customStyle="1" w:styleId="47">
    <w:name w:val="批注主题 Char"/>
    <w:basedOn w:val="42"/>
    <w:link w:val="26"/>
    <w:semiHidden/>
    <w:qFormat/>
    <w:uiPriority w:val="0"/>
    <w:rPr>
      <w:rFonts w:ascii="Calibri" w:hAnsi="Calibri" w:eastAsia="宋体" w:cs="Times New Roman"/>
      <w:b/>
      <w:bCs/>
    </w:rPr>
  </w:style>
  <w:style w:type="paragraph" w:customStyle="1" w:styleId="48">
    <w:name w:val="Char2"/>
    <w:basedOn w:val="1"/>
    <w:unhideWhenUsed/>
    <w:qFormat/>
    <w:uiPriority w:val="99"/>
    <w:pPr>
      <w:spacing w:line="360" w:lineRule="auto"/>
    </w:pPr>
    <w:rPr>
      <w:rFonts w:hint="eastAsia"/>
    </w:rPr>
  </w:style>
  <w:style w:type="paragraph" w:customStyle="1" w:styleId="49">
    <w:name w:val="Char Char"/>
    <w:basedOn w:val="17"/>
    <w:qFormat/>
    <w:uiPriority w:val="0"/>
    <w:pPr>
      <w:shd w:val="clear" w:color="auto" w:fill="000080"/>
      <w:tabs>
        <w:tab w:val="clear" w:pos="4153"/>
        <w:tab w:val="clear" w:pos="8306"/>
      </w:tabs>
      <w:snapToGrid/>
      <w:jc w:val="both"/>
    </w:pPr>
    <w:rPr>
      <w:rFonts w:ascii="Tahoma" w:hAnsi="Tahoma"/>
      <w:sz w:val="24"/>
      <w:szCs w:val="24"/>
    </w:rPr>
  </w:style>
  <w:style w:type="paragraph" w:customStyle="1" w:styleId="50">
    <w:name w:val="TOC 标题1"/>
    <w:basedOn w:val="2"/>
    <w:next w:val="1"/>
    <w:qFormat/>
    <w:uiPriority w:val="39"/>
    <w:pPr>
      <w:widowControl/>
      <w:spacing w:before="480" w:after="0" w:line="276" w:lineRule="auto"/>
      <w:outlineLvl w:val="9"/>
    </w:pPr>
    <w:rPr>
      <w:rFonts w:ascii="Cambria" w:hAnsi="Cambria"/>
      <w:color w:val="365F91"/>
      <w:kern w:val="0"/>
      <w:sz w:val="28"/>
      <w:szCs w:val="28"/>
    </w:rPr>
  </w:style>
  <w:style w:type="paragraph" w:customStyle="1" w:styleId="51">
    <w:name w:val="样式 标题 3 + 段前: 自动 段后: 自动 行距: 单倍行距"/>
    <w:basedOn w:val="4"/>
    <w:qFormat/>
    <w:uiPriority w:val="0"/>
    <w:pPr>
      <w:spacing w:before="100" w:after="100" w:line="240" w:lineRule="auto"/>
    </w:pPr>
    <w:rPr>
      <w:rFonts w:cs="宋体"/>
      <w:szCs w:val="20"/>
    </w:rPr>
  </w:style>
  <w:style w:type="paragraph" w:customStyle="1" w:styleId="52">
    <w:name w:val="5"/>
    <w:basedOn w:val="1"/>
    <w:qFormat/>
    <w:uiPriority w:val="0"/>
    <w:rPr>
      <w:rFonts w:ascii="Times New Roman" w:hAnsi="Times New Roman"/>
      <w:szCs w:val="24"/>
    </w:rPr>
  </w:style>
  <w:style w:type="paragraph" w:customStyle="1" w:styleId="53">
    <w:name w:val="纯文本1"/>
    <w:basedOn w:val="1"/>
    <w:qFormat/>
    <w:uiPriority w:val="0"/>
    <w:pPr>
      <w:adjustRightInd w:val="0"/>
      <w:textAlignment w:val="baseline"/>
    </w:pPr>
    <w:rPr>
      <w:rFonts w:ascii="宋体" w:hAnsi="Courier New"/>
      <w:sz w:val="24"/>
      <w:szCs w:val="20"/>
    </w:rPr>
  </w:style>
  <w:style w:type="paragraph" w:customStyle="1" w:styleId="54">
    <w:name w:val="段落"/>
    <w:basedOn w:val="12"/>
    <w:qFormat/>
    <w:uiPriority w:val="0"/>
    <w:pPr>
      <w:adjustRightInd w:val="0"/>
      <w:spacing w:after="0" w:line="420" w:lineRule="exact"/>
      <w:ind w:left="0" w:leftChars="0" w:firstLine="549" w:firstLineChars="200"/>
      <w:textAlignment w:val="baseline"/>
    </w:pPr>
    <w:rPr>
      <w:rFonts w:ascii="Times New Roman" w:hAnsi="Times New Roman"/>
      <w:spacing w:val="8"/>
      <w:kern w:val="0"/>
      <w:sz w:val="24"/>
      <w:szCs w:val="20"/>
    </w:rPr>
  </w:style>
  <w:style w:type="paragraph" w:customStyle="1" w:styleId="55">
    <w:name w:val="插图"/>
    <w:basedOn w:val="1"/>
    <w:qFormat/>
    <w:uiPriority w:val="0"/>
    <w:pPr>
      <w:adjustRightInd w:val="0"/>
      <w:spacing w:before="240" w:after="120" w:line="420" w:lineRule="atLeast"/>
      <w:jc w:val="center"/>
      <w:textAlignment w:val="baseline"/>
    </w:pPr>
    <w:rPr>
      <w:rFonts w:ascii="Times New Roman" w:hAnsi="Times New Roman"/>
      <w:spacing w:val="10"/>
      <w:kern w:val="0"/>
      <w:sz w:val="24"/>
      <w:szCs w:val="20"/>
    </w:rPr>
  </w:style>
  <w:style w:type="paragraph" w:customStyle="1" w:styleId="56">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57">
    <w:name w:val="列出段落1"/>
    <w:basedOn w:val="1"/>
    <w:qFormat/>
    <w:uiPriority w:val="34"/>
    <w:pPr>
      <w:spacing w:line="360" w:lineRule="auto"/>
      <w:ind w:firstLine="420" w:firstLineChars="200"/>
    </w:pPr>
    <w:rPr>
      <w:sz w:val="24"/>
    </w:rPr>
  </w:style>
  <w:style w:type="paragraph" w:customStyle="1" w:styleId="58">
    <w:name w:val="回答"/>
    <w:basedOn w:val="1"/>
    <w:qFormat/>
    <w:uiPriority w:val="0"/>
    <w:pPr>
      <w:adjustRightInd w:val="0"/>
      <w:snapToGrid w:val="0"/>
      <w:spacing w:line="360" w:lineRule="auto"/>
    </w:pPr>
    <w:rPr>
      <w:rFonts w:ascii="仿宋" w:hAnsi="仿宋" w:eastAsia="仿宋"/>
      <w:b/>
      <w:sz w:val="24"/>
    </w:rPr>
  </w:style>
  <w:style w:type="character" w:customStyle="1" w:styleId="59">
    <w:name w:val="style41"/>
    <w:qFormat/>
    <w:uiPriority w:val="0"/>
    <w:rPr>
      <w:color w:val="333333"/>
      <w:sz w:val="23"/>
      <w:szCs w:val="23"/>
    </w:rPr>
  </w:style>
  <w:style w:type="character" w:customStyle="1" w:styleId="60">
    <w:name w:val="article_content"/>
    <w:basedOn w:val="29"/>
    <w:qFormat/>
    <w:uiPriority w:val="0"/>
  </w:style>
  <w:style w:type="character" w:customStyle="1" w:styleId="61">
    <w:name w:val="file"/>
    <w:basedOn w:val="29"/>
    <w:qFormat/>
    <w:uiPriority w:val="0"/>
  </w:style>
  <w:style w:type="character" w:customStyle="1" w:styleId="62">
    <w:name w:val="folder"/>
    <w:basedOn w:val="29"/>
    <w:qFormat/>
    <w:uiPriority w:val="0"/>
  </w:style>
  <w:style w:type="character" w:customStyle="1" w:styleId="63">
    <w:name w:val="folder1"/>
    <w:basedOn w:val="29"/>
    <w:qFormat/>
    <w:uiPriority w:val="0"/>
  </w:style>
  <w:style w:type="character" w:customStyle="1" w:styleId="64">
    <w:name w:val="font41"/>
    <w:basedOn w:val="29"/>
    <w:qFormat/>
    <w:uiPriority w:val="0"/>
    <w:rPr>
      <w:rFonts w:hint="eastAsia" w:ascii="Î¢ÈíÑÅºÚ" w:hAnsi="Î¢ÈíÑÅºÚ" w:eastAsia="Î¢ÈíÑÅºÚ" w:cs="Î¢ÈíÑÅºÚ"/>
      <w:color w:val="333333"/>
      <w:sz w:val="20"/>
      <w:szCs w:val="20"/>
      <w:u w:val="none"/>
    </w:rPr>
  </w:style>
  <w:style w:type="character" w:customStyle="1" w:styleId="65">
    <w:name w:val="font11"/>
    <w:qFormat/>
    <w:uiPriority w:val="0"/>
    <w:rPr>
      <w:rFonts w:hint="eastAsia" w:ascii="宋体" w:hAnsi="宋体" w:eastAsia="宋体" w:cs="宋体"/>
      <w:color w:val="333333"/>
      <w:sz w:val="20"/>
      <w:szCs w:val="20"/>
      <w:u w:val="none"/>
    </w:rPr>
  </w:style>
  <w:style w:type="character" w:customStyle="1" w:styleId="66">
    <w:name w:val="font01"/>
    <w:qFormat/>
    <w:uiPriority w:val="0"/>
    <w:rPr>
      <w:rFonts w:hint="eastAsia" w:ascii="宋体" w:hAnsi="宋体" w:eastAsia="宋体" w:cs="宋体"/>
      <w:color w:val="000000"/>
      <w:sz w:val="18"/>
      <w:szCs w:val="18"/>
      <w:u w:val="none"/>
    </w:rPr>
  </w:style>
  <w:style w:type="paragraph" w:customStyle="1" w:styleId="67">
    <w:name w:val="正文1"/>
    <w:qFormat/>
    <w:uiPriority w:val="0"/>
    <w:pPr>
      <w:widowControl w:val="0"/>
      <w:adjustRightInd w:val="0"/>
      <w:spacing w:line="360" w:lineRule="atLeast"/>
      <w:textAlignment w:val="baseline"/>
    </w:pPr>
    <w:rPr>
      <w:rFonts w:ascii="Arial" w:hAnsi="Times New Roman" w:eastAsia="宋体" w:cs="Times New Roman"/>
      <w:sz w:val="34"/>
      <w:lang w:val="en-US" w:eastAsia="zh-CN" w:bidi="ar-SA"/>
    </w:rPr>
  </w:style>
  <w:style w:type="paragraph" w:customStyle="1" w:styleId="68">
    <w:name w:val="样式 宋体 小四 首行缩进:  0.93 厘米 段前: 11.15 磅 段后: 11.15 磅1"/>
    <w:basedOn w:val="1"/>
    <w:qFormat/>
    <w:uiPriority w:val="99"/>
    <w:pPr>
      <w:adjustRightInd w:val="0"/>
      <w:snapToGrid w:val="0"/>
      <w:ind w:left="200" w:leftChars="200"/>
    </w:pPr>
    <w:rPr>
      <w:rFonts w:ascii="宋体" w:hAnsi="Times New Roman"/>
      <w:sz w:val="24"/>
      <w:szCs w:val="20"/>
    </w:rPr>
  </w:style>
  <w:style w:type="paragraph" w:customStyle="1" w:styleId="69">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71">
    <w:name w:val="xl7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72">
    <w:name w:val="xl80"/>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73">
    <w:name w:val="xl81"/>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74">
    <w:name w:val="xl8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75">
    <w:name w:val="xl83"/>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76">
    <w:name w:val="xl84"/>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77">
    <w:name w:val="xl8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78">
    <w:name w:val="xl86"/>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79">
    <w:name w:val="xl8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80">
    <w:name w:val="xl88"/>
    <w:basedOn w:val="1"/>
    <w:qFormat/>
    <w:uiPriority w:val="0"/>
    <w:pPr>
      <w:widowControl/>
      <w:pBdr>
        <w:top w:val="single" w:color="auto" w:sz="8" w:space="0"/>
        <w:left w:val="single" w:color="auto" w:sz="8" w:space="0"/>
        <w:bottom w:val="single" w:color="auto" w:sz="8" w:space="0"/>
      </w:pBdr>
      <w:shd w:val="clear" w:color="000000" w:fill="FFFFFF"/>
      <w:spacing w:before="100" w:beforeAutospacing="1" w:after="100" w:afterAutospacing="1"/>
      <w:jc w:val="center"/>
    </w:pPr>
    <w:rPr>
      <w:rFonts w:ascii="宋体" w:hAnsi="宋体" w:cs="宋体"/>
      <w:b/>
      <w:bCs/>
      <w:kern w:val="0"/>
      <w:sz w:val="28"/>
      <w:szCs w:val="28"/>
    </w:rPr>
  </w:style>
  <w:style w:type="paragraph" w:customStyle="1" w:styleId="81">
    <w:name w:val="xl89"/>
    <w:basedOn w:val="1"/>
    <w:qFormat/>
    <w:uiPriority w:val="0"/>
    <w:pPr>
      <w:widowControl/>
      <w:pBdr>
        <w:top w:val="single" w:color="auto" w:sz="8" w:space="0"/>
        <w:bottom w:val="single" w:color="auto" w:sz="8" w:space="0"/>
      </w:pBdr>
      <w:shd w:val="clear" w:color="000000" w:fill="FFFFFF"/>
      <w:spacing w:before="100" w:beforeAutospacing="1" w:after="100" w:afterAutospacing="1"/>
      <w:jc w:val="center"/>
    </w:pPr>
    <w:rPr>
      <w:rFonts w:ascii="宋体" w:hAnsi="宋体" w:cs="宋体"/>
      <w:b/>
      <w:bCs/>
      <w:kern w:val="0"/>
      <w:sz w:val="28"/>
      <w:szCs w:val="28"/>
    </w:rPr>
  </w:style>
  <w:style w:type="paragraph" w:customStyle="1" w:styleId="82">
    <w:name w:val="xl90"/>
    <w:basedOn w:val="1"/>
    <w:qFormat/>
    <w:uiPriority w:val="0"/>
    <w:pPr>
      <w:widowControl/>
      <w:pBdr>
        <w:top w:val="single" w:color="auto" w:sz="8" w:space="0"/>
        <w:bottom w:val="single" w:color="auto" w:sz="8" w:space="0"/>
        <w:right w:val="single" w:color="auto" w:sz="8" w:space="0"/>
      </w:pBdr>
      <w:shd w:val="clear" w:color="000000" w:fill="FFFFFF"/>
      <w:spacing w:before="100" w:beforeAutospacing="1" w:after="100" w:afterAutospacing="1"/>
      <w:jc w:val="center"/>
    </w:pPr>
    <w:rPr>
      <w:rFonts w:ascii="宋体" w:hAnsi="宋体" w:cs="宋体"/>
      <w:b/>
      <w:bCs/>
      <w:kern w:val="0"/>
      <w:sz w:val="28"/>
      <w:szCs w:val="28"/>
    </w:rPr>
  </w:style>
  <w:style w:type="paragraph" w:customStyle="1" w:styleId="83">
    <w:name w:val="font6"/>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84">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85">
    <w:name w:val="xl6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6">
    <w:name w:val="xl6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87">
    <w:name w:val="xl65"/>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kern w:val="0"/>
      <w:szCs w:val="21"/>
    </w:rPr>
  </w:style>
  <w:style w:type="paragraph" w:customStyle="1" w:styleId="88">
    <w:name w:val="xl66"/>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Times New Roman" w:hAnsi="Times New Roman"/>
      <w:kern w:val="0"/>
      <w:sz w:val="20"/>
      <w:szCs w:val="20"/>
    </w:rPr>
  </w:style>
  <w:style w:type="paragraph" w:customStyle="1" w:styleId="89">
    <w:name w:val="xl67"/>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kern w:val="0"/>
      <w:szCs w:val="21"/>
    </w:rPr>
  </w:style>
  <w:style w:type="paragraph" w:customStyle="1" w:styleId="90">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kern w:val="0"/>
      <w:szCs w:val="21"/>
    </w:rPr>
  </w:style>
  <w:style w:type="paragraph" w:customStyle="1" w:styleId="91">
    <w:name w:val="xl69"/>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kern w:val="0"/>
      <w:szCs w:val="21"/>
    </w:rPr>
  </w:style>
  <w:style w:type="paragraph" w:customStyle="1" w:styleId="92">
    <w:name w:val="xl70"/>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hAnsi="宋体" w:cs="宋体"/>
      <w:kern w:val="0"/>
      <w:szCs w:val="21"/>
    </w:rPr>
  </w:style>
  <w:style w:type="paragraph" w:customStyle="1" w:styleId="93">
    <w:name w:val="xl71"/>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94">
    <w:name w:val="xl7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95">
    <w:name w:val="xl7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96">
    <w:name w:val="xl74"/>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97">
    <w:name w:val="xl7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character" w:customStyle="1" w:styleId="98">
    <w:name w:val="正文文本 Char"/>
    <w:basedOn w:val="29"/>
    <w:link w:val="11"/>
    <w:semiHidden/>
    <w:qFormat/>
    <w:uiPriority w:val="0"/>
    <w:rPr>
      <w:rFonts w:ascii="Calibri" w:hAnsi="Calibri" w:eastAsia="宋体" w:cs="Times New Roman"/>
    </w:rPr>
  </w:style>
  <w:style w:type="table" w:customStyle="1" w:styleId="99">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100">
    <w:name w:val="Table Paragraph"/>
    <w:basedOn w:val="1"/>
    <w:qFormat/>
    <w:uiPriority w:val="1"/>
    <w:pPr>
      <w:autoSpaceDE w:val="0"/>
      <w:autoSpaceDN w:val="0"/>
      <w:spacing w:before="63"/>
      <w:jc w:val="center"/>
    </w:pPr>
    <w:rPr>
      <w:rFonts w:ascii="宋体" w:hAnsi="宋体" w:cs="宋体"/>
      <w:kern w:val="0"/>
      <w:sz w:val="22"/>
    </w:rPr>
  </w:style>
  <w:style w:type="paragraph" w:customStyle="1" w:styleId="101">
    <w:name w:val="正文文本1"/>
    <w:qFormat/>
    <w:uiPriority w:val="99"/>
    <w:pPr>
      <w:widowControl w:val="0"/>
      <w:shd w:val="clear" w:color="auto" w:fill="FFFFFF"/>
      <w:spacing w:line="328" w:lineRule="auto"/>
      <w:ind w:firstLine="260"/>
    </w:pPr>
    <w:rPr>
      <w:rFonts w:ascii="MingLiU" w:hAnsi="MingLiU" w:eastAsia="MingLiU" w:cs="MingLiU"/>
      <w:sz w:val="22"/>
      <w:szCs w:val="22"/>
      <w:lang w:val="zh-CN" w:eastAsia="zh-CN" w:bidi="ar-SA"/>
    </w:rPr>
  </w:style>
  <w:style w:type="paragraph" w:customStyle="1" w:styleId="102">
    <w:name w:val="TOC 标题2"/>
    <w:basedOn w:val="2"/>
    <w:next w:val="1"/>
    <w:semiHidden/>
    <w:unhideWhenUsed/>
    <w:qFormat/>
    <w:uiPriority w:val="39"/>
    <w:pPr>
      <w:widowControl/>
      <w:spacing w:before="480" w:after="0" w:line="276" w:lineRule="auto"/>
      <w:outlineLvl w:val="9"/>
    </w:pPr>
    <w:rPr>
      <w:rFonts w:asciiTheme="majorHAnsi" w:hAnsiTheme="majorHAnsi" w:eastAsiaTheme="majorEastAsia" w:cstheme="majorBidi"/>
      <w:color w:val="366091" w:themeColor="accent1" w:themeShade="BF"/>
      <w:kern w:val="0"/>
      <w:sz w:val="28"/>
      <w:szCs w:val="28"/>
    </w:rPr>
  </w:style>
  <w:style w:type="paragraph" w:customStyle="1" w:styleId="103">
    <w:name w:val="制度正文"/>
    <w:basedOn w:val="1"/>
    <w:link w:val="104"/>
    <w:uiPriority w:val="0"/>
    <w:pPr>
      <w:spacing w:line="560" w:lineRule="exact"/>
      <w:ind w:firstLine="640" w:firstLineChars="200"/>
    </w:pPr>
    <w:rPr>
      <w:rFonts w:hint="eastAsia" w:ascii="仿宋_GB2312" w:hAnsi="Times New Roman" w:eastAsia="仿宋_GB2312"/>
      <w:sz w:val="32"/>
      <w:szCs w:val="32"/>
    </w:rPr>
  </w:style>
  <w:style w:type="character" w:customStyle="1" w:styleId="104">
    <w:name w:val="制度正文 字符"/>
    <w:basedOn w:val="29"/>
    <w:link w:val="103"/>
    <w:uiPriority w:val="0"/>
    <w:rPr>
      <w:rFonts w:hint="eastAsia" w:ascii="仿宋_GB2312" w:hAnsi="Times New Roman" w:eastAsia="仿宋_GB2312" w:cs="Times New Roman"/>
      <w:kern w:val="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5B3479C-7FAF-40DA-B5ED-44C15D18E01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14</Pages>
  <Words>8846</Words>
  <Characters>10006</Characters>
  <Lines>170</Lines>
  <Paragraphs>48</Paragraphs>
  <TotalTime>2</TotalTime>
  <ScaleCrop>false</ScaleCrop>
  <LinksUpToDate>false</LinksUpToDate>
  <CharactersWithSpaces>10689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2023-08-16T00:41:00Z</dcterms:created>
  <dc:creator>xb21cn</dc:creator>
  <cp:lastModifiedBy>李兴林</cp:lastModifiedBy>
  <cp:lastPrinted>2023-12-26T01:10:00Z</cp:lastPrinted>
  <dcterms:modified xsi:type="dcterms:W3CDTF">2025-08-26T00:51:19Z</dcterms:modified>
  <cp:revision>165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ECA93E3555F3405E82DF2BD3C5E9D5E9_12</vt:lpwstr>
  </property>
  <property fmtid="{D5CDD505-2E9C-101B-9397-08002B2CF9AE}" pid="4" name="KSOTemplateDocerSaveRecord">
    <vt:lpwstr>eyJoZGlkIjoiZGQyYjI0NmY5YzE4NzU2YjI0ZTdkZWM2NzUyMzkzZWQiLCJ1c2VySWQiOiI1NTE1NjY0NTEifQ==</vt:lpwstr>
  </property>
</Properties>
</file>