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45125A">
      <w:pPr>
        <w:pStyle w:val="24"/>
        <w:spacing w:before="0" w:beforeAutospacing="0" w:after="0" w:afterAutospacing="0" w:line="360" w:lineRule="auto"/>
        <w:jc w:val="center"/>
        <w:outlineLvl w:val="0"/>
        <w:rPr>
          <w:rFonts w:hint="default" w:ascii="Times New Roman" w:hAnsi="Times New Roman" w:cs="Times New Roman"/>
          <w:b/>
          <w:sz w:val="32"/>
          <w:szCs w:val="32"/>
        </w:rPr>
      </w:pPr>
    </w:p>
    <w:p w14:paraId="338A8E4B">
      <w:pPr>
        <w:pStyle w:val="24"/>
        <w:spacing w:before="0" w:beforeAutospacing="0" w:after="0" w:afterAutospacing="0" w:line="360" w:lineRule="auto"/>
        <w:jc w:val="center"/>
        <w:outlineLvl w:val="0"/>
        <w:rPr>
          <w:rFonts w:hint="default" w:ascii="Times New Roman" w:hAnsi="Times New Roman" w:cs="Times New Roman"/>
          <w:b/>
          <w:sz w:val="32"/>
          <w:szCs w:val="32"/>
        </w:rPr>
      </w:pPr>
      <w:r>
        <w:rPr>
          <w:rFonts w:hint="default" w:ascii="Times New Roman" w:hAnsi="Times New Roman" w:cs="Times New Roman"/>
          <w:b/>
          <w:sz w:val="32"/>
          <w:szCs w:val="32"/>
        </w:rPr>
        <w:t>文昌华兴丰润实业有限公司木材加工厂改扩建项目</w:t>
      </w:r>
    </w:p>
    <w:p w14:paraId="6D437891">
      <w:pPr>
        <w:pStyle w:val="24"/>
        <w:spacing w:before="0" w:beforeAutospacing="0" w:after="0" w:afterAutospacing="0" w:line="360" w:lineRule="auto"/>
        <w:jc w:val="center"/>
        <w:outlineLvl w:val="0"/>
        <w:rPr>
          <w:rFonts w:hint="default" w:ascii="Times New Roman" w:hAnsi="Times New Roman" w:cs="Times New Roman"/>
          <w:b/>
          <w:sz w:val="32"/>
          <w:szCs w:val="32"/>
        </w:rPr>
      </w:pPr>
      <w:r>
        <w:rPr>
          <w:rFonts w:hint="default" w:ascii="Times New Roman" w:hAnsi="Times New Roman" w:cs="Times New Roman"/>
          <w:b/>
          <w:sz w:val="32"/>
          <w:szCs w:val="32"/>
        </w:rPr>
        <w:t>竣工环境保护验收意见</w:t>
      </w:r>
    </w:p>
    <w:p w14:paraId="50753F19">
      <w:pPr>
        <w:spacing w:after="0" w:line="360" w:lineRule="auto"/>
        <w:ind w:left="220" w:leftChars="100" w:firstLine="560"/>
        <w:rPr>
          <w:rFonts w:hint="eastAsia" w:ascii="宋体" w:hAnsi="宋体" w:eastAsia="宋体" w:cs="宋体"/>
          <w:color w:val="000000"/>
          <w:sz w:val="21"/>
          <w:szCs w:val="21"/>
        </w:rPr>
      </w:pPr>
    </w:p>
    <w:p w14:paraId="3D0275A1">
      <w:pPr>
        <w:pStyle w:val="24"/>
        <w:keepNext w:val="0"/>
        <w:keepLines w:val="0"/>
        <w:pageBreakBefore w:val="0"/>
        <w:kinsoku/>
        <w:wordWrap/>
        <w:overflowPunct/>
        <w:topLinePunct w:val="0"/>
        <w:autoSpaceDE/>
        <w:autoSpaceDN/>
        <w:bidi w:val="0"/>
        <w:adjustRightInd w:val="0"/>
        <w:snapToGrid w:val="0"/>
        <w:spacing w:before="0" w:beforeAutospacing="0" w:after="0" w:afterAutospacing="0" w:line="500" w:lineRule="exact"/>
        <w:ind w:firstLine="560" w:firstLineChars="200"/>
        <w:jc w:val="both"/>
        <w:outlineLvl w:val="0"/>
        <w:rPr>
          <w:rFonts w:hint="eastAsia" w:ascii="仿宋" w:hAnsi="仿宋" w:eastAsia="仿宋" w:cs="仿宋"/>
          <w:bCs/>
          <w:sz w:val="28"/>
          <w:szCs w:val="28"/>
        </w:rPr>
      </w:pPr>
      <w:r>
        <w:rPr>
          <w:rFonts w:hint="eastAsia" w:ascii="仿宋" w:hAnsi="仿宋" w:eastAsia="仿宋" w:cs="仿宋"/>
          <w:bCs/>
          <w:sz w:val="28"/>
          <w:szCs w:val="28"/>
          <w:highlight w:val="none"/>
        </w:rPr>
        <w:t>202</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11</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23</w:t>
      </w:r>
      <w:r>
        <w:rPr>
          <w:rFonts w:hint="eastAsia" w:ascii="仿宋" w:hAnsi="仿宋" w:eastAsia="仿宋" w:cs="仿宋"/>
          <w:bCs/>
          <w:sz w:val="28"/>
          <w:szCs w:val="28"/>
          <w:highlight w:val="none"/>
        </w:rPr>
        <w:t>日</w:t>
      </w:r>
      <w:r>
        <w:rPr>
          <w:rFonts w:hint="eastAsia" w:ascii="仿宋" w:hAnsi="仿宋" w:eastAsia="仿宋" w:cs="仿宋"/>
          <w:bCs/>
          <w:sz w:val="28"/>
          <w:szCs w:val="28"/>
        </w:rPr>
        <w:t>，</w:t>
      </w:r>
      <w:r>
        <w:rPr>
          <w:rFonts w:hint="default" w:ascii="仿宋" w:hAnsi="仿宋" w:eastAsia="仿宋" w:cs="仿宋"/>
          <w:bCs/>
          <w:sz w:val="28"/>
          <w:szCs w:val="28"/>
        </w:rPr>
        <w:t>文昌华兴丰润实业有限公司</w:t>
      </w:r>
      <w:r>
        <w:rPr>
          <w:rFonts w:hint="eastAsia" w:ascii="仿宋" w:hAnsi="仿宋" w:eastAsia="仿宋" w:cs="仿宋"/>
          <w:bCs/>
          <w:sz w:val="28"/>
          <w:szCs w:val="28"/>
        </w:rPr>
        <w:t>根据《文昌华兴丰润实业有限公司木材加工厂改扩建项目竣工环境保护验收监测报告》并对照《建设项目竣工环境保护验收暂行办法》，严格依照国家有关法律法规、建设项目竣工环境保护验收技术规范、本项目环境影响评价报告表和审批部门审批决定等要求，邀请相关单位代表和专业技术专家组成验收组对本项目自行组织验收。</w:t>
      </w:r>
    </w:p>
    <w:p w14:paraId="22676946">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rPr>
          <w:rFonts w:hint="eastAsia" w:ascii="仿宋" w:hAnsi="仿宋" w:eastAsia="仿宋" w:cs="仿宋"/>
          <w:bCs/>
          <w:sz w:val="28"/>
          <w:szCs w:val="28"/>
        </w:rPr>
      </w:pPr>
      <w:r>
        <w:rPr>
          <w:rFonts w:hint="eastAsia" w:ascii="仿宋" w:hAnsi="仿宋" w:eastAsia="仿宋" w:cs="仿宋"/>
          <w:bCs/>
          <w:sz w:val="28"/>
          <w:szCs w:val="28"/>
        </w:rPr>
        <w:t>验收组听取了建设单位对该项目环保执行情况和验收监测单位对项目竣工环保验收监测报告的汇报，现场检查了项目及环保设施建设、运行情况，查阅了有关资料。经认真讨论，形成验收意见如下：</w:t>
      </w:r>
    </w:p>
    <w:p w14:paraId="743E565A">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一、工程建设基本情况</w:t>
      </w:r>
    </w:p>
    <w:p w14:paraId="1683B62E">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color w:val="000000"/>
          <w:sz w:val="28"/>
          <w:szCs w:val="28"/>
        </w:rPr>
        <w:t>（一）建设地点、规模、内容</w:t>
      </w:r>
    </w:p>
    <w:p w14:paraId="09CBDE90">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项目建设于文昌市文城镇排城村委会福星周村，本次“文昌华兴丰润实业有限公司木材加工厂”改扩建后项目厂区总用地面积17459.06m2，建筑面积约10871m2，主要建设内容包括：厂区新建板材加工车间、木板胶合拼接车间，增加原产品生产规模，增加新产品种类；供热改建为1台10t/h的生物质专用锅炉；以及完善其他配套设施。其中生产规模：木条（方木）增加18000吨/年，改扩建后全厂合计24000吨/年，新增产品木单板6000吨/年，新增产品木拼接板3000吨/年。</w:t>
      </w:r>
    </w:p>
    <w:p w14:paraId="10840A5A">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（二）建设过程及环保审批情况</w:t>
      </w:r>
    </w:p>
    <w:p w14:paraId="7C514DA8">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建设单位</w:t>
      </w:r>
      <w:r>
        <w:rPr>
          <w:rFonts w:hint="default" w:ascii="仿宋" w:hAnsi="仿宋" w:eastAsia="仿宋" w:cs="仿宋"/>
          <w:bCs/>
          <w:sz w:val="28"/>
          <w:szCs w:val="28"/>
          <w:lang w:val="en-US" w:eastAsia="zh-CN"/>
        </w:rPr>
        <w:t>于2025年4月委托海南芝南环保科技有限公司编制完成了《文昌华兴丰润实业有限公司木材加工厂改扩建项目环境影响报告表》，于2025年4月28日获得了文昌市营商环境建设局《关于文昌华兴丰润实业有限公司木材加工厂改扩建项目环境影响报告表的批复》（文营批[2025]68号）。</w:t>
      </w:r>
      <w:r>
        <w:rPr>
          <w:rFonts w:hint="eastAsia" w:ascii="仿宋" w:hAnsi="仿宋" w:eastAsia="仿宋" w:cs="仿宋"/>
          <w:bCs/>
          <w:sz w:val="28"/>
          <w:szCs w:val="28"/>
          <w:lang w:val="en-US" w:eastAsia="zh-CN"/>
        </w:rPr>
        <w:t>后</w:t>
      </w:r>
      <w:r>
        <w:rPr>
          <w:rFonts w:hint="default" w:ascii="仿宋" w:hAnsi="仿宋" w:eastAsia="仿宋" w:cs="仿宋"/>
          <w:bCs/>
          <w:sz w:val="28"/>
          <w:szCs w:val="28"/>
          <w:lang w:val="en-US" w:eastAsia="zh-CN"/>
        </w:rPr>
        <w:t>于2025年11月20日，相应办理了排污登记变更。</w:t>
      </w:r>
      <w:r>
        <w:rPr>
          <w:rFonts w:hint="eastAsia" w:ascii="仿宋" w:hAnsi="仿宋" w:eastAsia="仿宋" w:cs="仿宋"/>
          <w:bCs/>
          <w:sz w:val="28"/>
          <w:szCs w:val="28"/>
          <w:lang w:val="en-US" w:eastAsia="zh-CN"/>
        </w:rPr>
        <w:t>项目于2025年5月开工建设，2025年10月完工后开始调试。</w:t>
      </w:r>
    </w:p>
    <w:p w14:paraId="0FBA6CD5">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（三）投资情况</w:t>
      </w:r>
    </w:p>
    <w:p w14:paraId="7FB2B54A">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rPr>
      </w:pPr>
      <w:r>
        <w:rPr>
          <w:rFonts w:hint="eastAsia" w:ascii="仿宋" w:hAnsi="仿宋" w:eastAsia="仿宋" w:cs="仿宋"/>
          <w:bCs/>
          <w:sz w:val="28"/>
          <w:szCs w:val="28"/>
        </w:rPr>
        <w:t>项目实际建设总投资</w:t>
      </w:r>
      <w:r>
        <w:rPr>
          <w:rFonts w:hint="eastAsia" w:ascii="仿宋" w:hAnsi="仿宋" w:eastAsia="仿宋" w:cs="仿宋"/>
          <w:bCs/>
          <w:sz w:val="28"/>
          <w:szCs w:val="28"/>
          <w:lang w:val="en-US" w:eastAsia="zh-CN"/>
        </w:rPr>
        <w:t>280</w:t>
      </w:r>
      <w:r>
        <w:rPr>
          <w:rFonts w:hint="eastAsia" w:ascii="仿宋" w:hAnsi="仿宋" w:eastAsia="仿宋" w:cs="仿宋"/>
          <w:bCs/>
          <w:sz w:val="28"/>
          <w:szCs w:val="28"/>
        </w:rPr>
        <w:t>万元，其中环保投资</w:t>
      </w:r>
      <w:r>
        <w:rPr>
          <w:rFonts w:hint="eastAsia" w:ascii="仿宋" w:hAnsi="仿宋" w:eastAsia="仿宋" w:cs="仿宋"/>
          <w:bCs/>
          <w:sz w:val="28"/>
          <w:szCs w:val="28"/>
          <w:lang w:val="en-US" w:eastAsia="zh-CN"/>
        </w:rPr>
        <w:t>68</w:t>
      </w:r>
      <w:r>
        <w:rPr>
          <w:rFonts w:hint="eastAsia" w:ascii="仿宋" w:hAnsi="仿宋" w:eastAsia="仿宋" w:cs="仿宋"/>
          <w:bCs/>
          <w:sz w:val="28"/>
          <w:szCs w:val="28"/>
        </w:rPr>
        <w:t>万元，占总投资的</w:t>
      </w:r>
      <w:r>
        <w:rPr>
          <w:rFonts w:hint="eastAsia" w:ascii="仿宋" w:hAnsi="仿宋" w:eastAsia="仿宋" w:cs="仿宋"/>
          <w:bCs/>
          <w:sz w:val="28"/>
          <w:szCs w:val="28"/>
          <w:lang w:val="en-US" w:eastAsia="zh-CN"/>
        </w:rPr>
        <w:t>24.3</w:t>
      </w:r>
      <w:r>
        <w:rPr>
          <w:rFonts w:hint="eastAsia" w:ascii="仿宋" w:hAnsi="仿宋" w:eastAsia="仿宋" w:cs="仿宋"/>
          <w:bCs/>
          <w:sz w:val="28"/>
          <w:szCs w:val="28"/>
        </w:rPr>
        <w:t>%。</w:t>
      </w:r>
    </w:p>
    <w:p w14:paraId="298FEE1F">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（四）验收范围</w:t>
      </w:r>
    </w:p>
    <w:p w14:paraId="0DD4ECA8">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rPr>
      </w:pPr>
      <w:r>
        <w:rPr>
          <w:rFonts w:hint="eastAsia" w:ascii="仿宋" w:hAnsi="仿宋" w:eastAsia="仿宋" w:cs="仿宋"/>
          <w:bCs/>
          <w:sz w:val="28"/>
          <w:szCs w:val="28"/>
        </w:rPr>
        <w:t>本次验收范围包括：</w:t>
      </w:r>
      <w:r>
        <w:rPr>
          <w:rFonts w:hint="eastAsia" w:ascii="仿宋" w:hAnsi="仿宋" w:eastAsia="仿宋" w:cs="仿宋"/>
          <w:bCs/>
          <w:sz w:val="28"/>
          <w:szCs w:val="28"/>
          <w:lang w:val="en-US" w:eastAsia="zh-CN"/>
        </w:rPr>
        <w:t>文昌华兴丰润实业有限公司木材加工厂整体厂区，主要建设内容：板材加工车间、木板胶合拼接车间、烘干车间、锅炉房、产品仓库、办公生活区等以及各车间内配套相关生产设施、环保措施等。另原木车间现为闲置车间，未建设原木加工相关内容，后续若建设使用/恢复原木加工工序，需另行验收</w:t>
      </w:r>
      <w:r>
        <w:rPr>
          <w:rFonts w:hint="eastAsia" w:ascii="仿宋" w:hAnsi="仿宋" w:eastAsia="仿宋" w:cs="仿宋"/>
          <w:bCs/>
          <w:sz w:val="28"/>
          <w:szCs w:val="28"/>
        </w:rPr>
        <w:t>。</w:t>
      </w:r>
    </w:p>
    <w:p w14:paraId="7AB6B4E6">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二、工程变动情况</w:t>
      </w:r>
    </w:p>
    <w:p w14:paraId="797F2F49">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项目实际建设性质、规模、地点均未发生变动，生产工艺、环境保护措施变动，但并未导致污染物排放量增加/环境不利影响加重，不属于重大变动。</w:t>
      </w:r>
    </w:p>
    <w:p w14:paraId="0C6715E3">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三、环境保护设施建设情况</w:t>
      </w:r>
    </w:p>
    <w:p w14:paraId="69BF575D">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（一）废水</w:t>
      </w:r>
    </w:p>
    <w:p w14:paraId="56273C47">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default" w:ascii="仿宋" w:hAnsi="仿宋" w:eastAsia="仿宋" w:cs="仿宋"/>
          <w:bCs/>
          <w:sz w:val="28"/>
          <w:szCs w:val="28"/>
          <w:lang w:val="en-US" w:eastAsia="zh-CN"/>
        </w:rPr>
      </w:pPr>
      <w:r>
        <w:rPr>
          <w:rFonts w:hint="default" w:ascii="仿宋" w:hAnsi="仿宋" w:eastAsia="仿宋" w:cs="仿宋"/>
          <w:bCs/>
          <w:sz w:val="28"/>
          <w:szCs w:val="28"/>
          <w:lang w:val="en-US" w:eastAsia="zh-CN"/>
        </w:rPr>
        <w:t>项目营运期废水及防治措施主要为：生活污水经三级化粪池收集处理后用作周边种植地农肥使用；锅炉排水单独收集至排水池，经加药絮凝沉淀处理后，清水回用于厂区洒水降尘。</w:t>
      </w:r>
    </w:p>
    <w:p w14:paraId="26C39F65">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ascii="仿宋" w:hAnsi="仿宋" w:eastAsia="仿宋" w:cs="仿宋"/>
          <w:b/>
          <w:bCs/>
          <w:color w:val="000000"/>
          <w:sz w:val="28"/>
          <w:szCs w:val="28"/>
        </w:rPr>
        <w:t>（</w:t>
      </w:r>
      <w:r>
        <w:rPr>
          <w:rFonts w:hint="eastAsia" w:ascii="仿宋" w:hAnsi="仿宋" w:eastAsia="仿宋" w:cs="仿宋"/>
          <w:b/>
          <w:bCs/>
          <w:color w:val="000000"/>
          <w:sz w:val="28"/>
          <w:szCs w:val="28"/>
        </w:rPr>
        <w:t>二</w:t>
      </w:r>
      <w:r>
        <w:rPr>
          <w:rFonts w:ascii="仿宋" w:hAnsi="仿宋" w:eastAsia="仿宋" w:cs="仿宋"/>
          <w:b/>
          <w:bCs/>
          <w:color w:val="000000"/>
          <w:sz w:val="28"/>
          <w:szCs w:val="28"/>
        </w:rPr>
        <w:t>）废气</w:t>
      </w:r>
    </w:p>
    <w:p w14:paraId="11687DF2">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default" w:ascii="仿宋" w:hAnsi="仿宋" w:eastAsia="仿宋" w:cs="仿宋"/>
          <w:bCs/>
          <w:sz w:val="28"/>
          <w:szCs w:val="28"/>
          <w:lang w:val="en-US" w:eastAsia="zh-CN"/>
        </w:rPr>
      </w:pPr>
      <w:r>
        <w:rPr>
          <w:rFonts w:hint="default" w:ascii="仿宋" w:hAnsi="仿宋" w:eastAsia="仿宋" w:cs="仿宋"/>
          <w:bCs/>
          <w:sz w:val="28"/>
          <w:szCs w:val="28"/>
          <w:lang w:val="en-US" w:eastAsia="zh-CN"/>
        </w:rPr>
        <w:t>项目营运期废气及防治措施主要为：木板切割、磨边工序的生产设备开口处直连排气管道，由风机和2套布袋除尘器将粉尘收集、处理后达标由2根15m高排气筒排放DA003、DA004；木板胶合工序的生产设备顶端加装集气罩接密闭软帘，由风机和活性炭吸附箱收集、处理后达标由1根15m高排气筒排放DA005；供热采用一台10t/h生物质专用锅炉，使用燃料为生物质（致密成型）颗粒，锅炉烟气采用“低氮燃烧、静电除尘器”，处理达标由1根40m高排气筒排放DA001；各生产车间采用封闭车间，设置喷雾/喷淋装置，减小无组织排放，降低车间内粉尘浓度。</w:t>
      </w:r>
    </w:p>
    <w:p w14:paraId="15C337B5">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（三）噪声</w:t>
      </w:r>
    </w:p>
    <w:p w14:paraId="61CEB7B4">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rPr>
          <w:rFonts w:hint="default" w:ascii="仿宋" w:hAnsi="仿宋" w:eastAsia="仿宋" w:cs="仿宋"/>
          <w:bCs/>
          <w:sz w:val="28"/>
          <w:szCs w:val="28"/>
        </w:rPr>
      </w:pPr>
      <w:r>
        <w:rPr>
          <w:rFonts w:hint="default" w:ascii="仿宋" w:hAnsi="仿宋" w:eastAsia="仿宋" w:cs="仿宋"/>
          <w:bCs/>
          <w:sz w:val="28"/>
          <w:szCs w:val="28"/>
        </w:rPr>
        <w:t>项目营运期主要噪声源为：带锯机、断料机、修边机、刨料机、砂光机、锅炉、烘干房等生产设施噪声。项目通过选用低噪设备、设备基础减震、封闭车间、锅炉房隔声等措施，降低噪声产生及排放。</w:t>
      </w:r>
    </w:p>
    <w:p w14:paraId="2047C48A">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（四）固体废物</w:t>
      </w:r>
    </w:p>
    <w:p w14:paraId="6C347168">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textAlignment w:val="auto"/>
        <w:rPr>
          <w:rFonts w:hint="default" w:ascii="仿宋" w:hAnsi="仿宋" w:eastAsia="仿宋" w:cs="仿宋"/>
          <w:sz w:val="28"/>
          <w:szCs w:val="28"/>
          <w:lang w:val="zh-CN"/>
        </w:rPr>
      </w:pPr>
      <w:r>
        <w:rPr>
          <w:rFonts w:hint="default" w:ascii="仿宋" w:hAnsi="仿宋" w:eastAsia="仿宋" w:cs="仿宋"/>
          <w:sz w:val="28"/>
          <w:szCs w:val="28"/>
          <w:lang w:val="zh-CN"/>
        </w:rPr>
        <w:t>项目营运期产生的固废及处置措施主要为：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7723A860">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lang w:val="en-US" w:eastAsia="zh-CN"/>
        </w:rPr>
        <w:t>五</w:t>
      </w: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lang w:val="en-US" w:eastAsia="zh-CN"/>
        </w:rPr>
        <w:t>其他环境保护设施</w:t>
      </w:r>
    </w:p>
    <w:p w14:paraId="1161D30D">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
          <w:bCs/>
          <w:color w:val="000000"/>
          <w:sz w:val="28"/>
          <w:szCs w:val="28"/>
        </w:rPr>
      </w:pPr>
      <w:r>
        <w:rPr>
          <w:rFonts w:hint="default" w:ascii="仿宋" w:hAnsi="仿宋" w:eastAsia="仿宋" w:cs="仿宋"/>
          <w:bCs/>
          <w:color w:val="auto"/>
          <w:sz w:val="28"/>
          <w:szCs w:val="28"/>
          <w:lang w:val="en-US" w:eastAsia="zh-CN" w:bidi="ar-SA"/>
        </w:rPr>
        <w:t>项目危废间地面做好防腐、防渗处理，设置围堰，确保事故情况下可有效收集到泄漏废机油，事故废油交由资质单位处置。厂区内禁止烟火，加强通风，定期喷雾</w:t>
      </w:r>
      <w:r>
        <w:rPr>
          <w:rFonts w:hint="eastAsia" w:ascii="仿宋" w:hAnsi="仿宋" w:eastAsia="仿宋" w:cs="仿宋"/>
          <w:bCs/>
          <w:color w:val="auto"/>
          <w:sz w:val="28"/>
          <w:szCs w:val="28"/>
          <w:lang w:val="en-US" w:eastAsia="zh-CN" w:bidi="ar-SA"/>
        </w:rPr>
        <w:t>/喷淋</w:t>
      </w:r>
      <w:r>
        <w:rPr>
          <w:rFonts w:hint="default" w:ascii="仿宋" w:hAnsi="仿宋" w:eastAsia="仿宋" w:cs="仿宋"/>
          <w:bCs/>
          <w:color w:val="auto"/>
          <w:sz w:val="28"/>
          <w:szCs w:val="28"/>
          <w:lang w:val="en-US" w:eastAsia="zh-CN" w:bidi="ar-SA"/>
        </w:rPr>
        <w:t>降低车间空气中粉尘浓度；常备沙袋、吸油纸吸附棉等应急物资，事故情况下可及时使用，清理污染物质。</w:t>
      </w:r>
      <w:r>
        <w:rPr>
          <w:rFonts w:hint="eastAsia" w:ascii="仿宋" w:hAnsi="仿宋" w:eastAsia="仿宋" w:cs="仿宋"/>
          <w:bCs/>
          <w:color w:val="auto"/>
          <w:sz w:val="28"/>
          <w:szCs w:val="28"/>
          <w:lang w:val="en-US" w:eastAsia="zh-CN" w:bidi="ar-SA"/>
        </w:rPr>
        <w:t>事故废油和沾染污染物质交由有资质单位处置。厂区内设置值班室、监控系统，与相关责任人的手机端互联。出现事故情况及时报告，并采取相关应急措施。</w:t>
      </w:r>
    </w:p>
    <w:p w14:paraId="732F840F">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四、环境保护设施调试效果</w:t>
      </w:r>
    </w:p>
    <w:p w14:paraId="2C6F1485">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海南环供科技有限公司编制的《</w:t>
      </w:r>
      <w:r>
        <w:rPr>
          <w:rFonts w:hint="eastAsia" w:ascii="仿宋" w:hAnsi="仿宋" w:eastAsia="仿宋" w:cs="仿宋"/>
          <w:bCs/>
          <w:sz w:val="28"/>
          <w:szCs w:val="28"/>
        </w:rPr>
        <w:t>文昌华兴丰润实业有限公司木材加工厂改扩建项目竣工环境保护验收监测报告</w:t>
      </w:r>
      <w:r>
        <w:rPr>
          <w:rFonts w:hint="eastAsia" w:ascii="仿宋" w:hAnsi="仿宋" w:eastAsia="仿宋" w:cs="仿宋"/>
          <w:bCs/>
          <w:sz w:val="28"/>
          <w:szCs w:val="28"/>
          <w:lang w:val="en-US" w:eastAsia="zh-CN"/>
        </w:rPr>
        <w:t>表</w:t>
      </w:r>
      <w:r>
        <w:rPr>
          <w:rFonts w:hint="eastAsia" w:ascii="仿宋" w:hAnsi="仿宋" w:eastAsia="仿宋" w:cs="仿宋"/>
          <w:sz w:val="28"/>
          <w:szCs w:val="28"/>
        </w:rPr>
        <w:t>》表明：</w:t>
      </w:r>
    </w:p>
    <w:p w14:paraId="3C72FB5F">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1、废水</w:t>
      </w:r>
    </w:p>
    <w:p w14:paraId="752644A7">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val="en-US" w:eastAsia="zh-CN"/>
          <w14:textFill>
            <w14:solidFill>
              <w14:schemeClr w14:val="tx1"/>
            </w14:solidFill>
          </w14:textFill>
        </w:rPr>
        <w:t>项目营运期</w:t>
      </w:r>
      <w:r>
        <w:rPr>
          <w:rFonts w:hint="default" w:ascii="仿宋" w:hAnsi="仿宋" w:eastAsia="仿宋" w:cs="仿宋"/>
          <w:bCs/>
          <w:sz w:val="28"/>
          <w:szCs w:val="28"/>
          <w:lang w:val="en-US" w:eastAsia="zh-CN"/>
        </w:rPr>
        <w:t>生活污水经三级化粪池收集处理后用作周边种植地农肥使用；锅炉排水单独收集至排水池，经加药絮凝沉淀处理后，清水回用于厂区洒水降尘。</w:t>
      </w:r>
    </w:p>
    <w:p w14:paraId="185DF8C6">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2、废气</w:t>
      </w:r>
    </w:p>
    <w:p w14:paraId="432E22B5">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rPr>
          <w:rFonts w:hint="eastAsia" w:ascii="仿宋" w:hAnsi="仿宋" w:eastAsia="仿宋" w:cs="仿宋"/>
          <w:bCs/>
          <w:color w:val="000000" w:themeColor="text1"/>
          <w:sz w:val="28"/>
          <w:szCs w:val="28"/>
          <w:lang w:val="en-US"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验收监测期间，项目废气排放：</w:t>
      </w:r>
    </w:p>
    <w:p w14:paraId="39ED335A">
      <w:pPr>
        <w:pStyle w:val="20"/>
        <w:keepNext w:val="0"/>
        <w:keepLines w:val="0"/>
        <w:pageBreakBefore w:val="0"/>
        <w:widowControl w:val="0"/>
        <w:kinsoku/>
        <w:wordWrap/>
        <w:overflowPunct/>
        <w:topLinePunct w:val="0"/>
        <w:autoSpaceDE w:val="0"/>
        <w:autoSpaceDN w:val="0"/>
        <w:bidi w:val="0"/>
        <w:adjustRightInd w:val="0"/>
        <w:snapToGrid w:val="0"/>
        <w:spacing w:after="0" w:line="500" w:lineRule="exact"/>
        <w:ind w:firstLine="560" w:firstLineChars="200"/>
        <w:textAlignment w:val="auto"/>
        <w:rPr>
          <w:rFonts w:hint="default" w:ascii="仿宋" w:hAnsi="仿宋" w:eastAsia="仿宋" w:cs="仿宋"/>
          <w:bCs/>
          <w:color w:val="auto"/>
          <w:sz w:val="28"/>
          <w:szCs w:val="28"/>
          <w:lang w:val="en-US" w:eastAsia="zh-CN" w:bidi="ar-SA"/>
        </w:rPr>
      </w:pPr>
      <w:r>
        <w:rPr>
          <w:rFonts w:hint="default" w:ascii="仿宋" w:hAnsi="仿宋" w:eastAsia="仿宋" w:cs="仿宋"/>
          <w:bCs/>
          <w:color w:val="auto"/>
          <w:sz w:val="28"/>
          <w:szCs w:val="28"/>
          <w:lang w:val="en-US" w:eastAsia="zh-CN" w:bidi="ar-SA"/>
        </w:rPr>
        <w:t>①项目板材加工废气2个排放口的废气污染物颗粒物有组织排放均符合《大气污染物综合排放标准》（GB16297-1996）中表2相应标准限值。</w:t>
      </w:r>
    </w:p>
    <w:p w14:paraId="5BD7DDE8">
      <w:pPr>
        <w:pStyle w:val="15"/>
        <w:keepNext w:val="0"/>
        <w:keepLines w:val="0"/>
        <w:pageBreakBefore w:val="0"/>
        <w:kinsoku/>
        <w:wordWrap/>
        <w:overflowPunct/>
        <w:topLinePunct w:val="0"/>
        <w:bidi w:val="0"/>
        <w:adjustRightInd w:val="0"/>
        <w:snapToGrid w:val="0"/>
        <w:spacing w:after="0" w:line="500" w:lineRule="exact"/>
        <w:ind w:left="0" w:leftChars="0" w:firstLine="560" w:firstLineChars="200"/>
        <w:textAlignment w:val="auto"/>
        <w:rPr>
          <w:rFonts w:hint="default" w:ascii="仿宋" w:hAnsi="仿宋" w:eastAsia="仿宋" w:cs="仿宋"/>
          <w:bCs/>
          <w:color w:val="auto"/>
          <w:sz w:val="28"/>
          <w:szCs w:val="28"/>
          <w:lang w:val="en-US" w:eastAsia="zh-CN" w:bidi="ar-SA"/>
        </w:rPr>
      </w:pPr>
      <w:r>
        <w:rPr>
          <w:rFonts w:hint="default" w:ascii="仿宋" w:hAnsi="仿宋" w:eastAsia="仿宋" w:cs="仿宋"/>
          <w:bCs/>
          <w:color w:val="auto"/>
          <w:sz w:val="28"/>
          <w:szCs w:val="28"/>
          <w:lang w:val="en-US" w:eastAsia="zh-CN" w:bidi="ar-SA"/>
        </w:rPr>
        <w:t>②项目胶合废气污染物非甲烷总烃有组织排放均符合《大气污染物综合排放标准》（GB16297-1996）中表2相应标准限值。同时，核算非甲烷总烃排放量：0.0144kg/h×8h×300d=0.0</w:t>
      </w:r>
      <w:r>
        <w:rPr>
          <w:rFonts w:hint="eastAsia" w:ascii="仿宋" w:hAnsi="仿宋" w:eastAsia="仿宋" w:cs="仿宋"/>
          <w:bCs/>
          <w:color w:val="auto"/>
          <w:sz w:val="28"/>
          <w:szCs w:val="28"/>
          <w:lang w:val="en-US" w:eastAsia="zh-CN" w:bidi="ar-SA"/>
        </w:rPr>
        <w:t>217</w:t>
      </w:r>
      <w:r>
        <w:rPr>
          <w:rFonts w:hint="default" w:ascii="仿宋" w:hAnsi="仿宋" w:eastAsia="仿宋" w:cs="仿宋"/>
          <w:bCs/>
          <w:color w:val="auto"/>
          <w:sz w:val="28"/>
          <w:szCs w:val="28"/>
          <w:lang w:val="en-US" w:eastAsia="zh-CN" w:bidi="ar-SA"/>
        </w:rPr>
        <w:t>t/a，符合项目环评及批复文件的总量控制指标非甲烷总烃0.0222t/a的要求。经核算，胶合废气治理效率符合环评中15%的要求。。</w:t>
      </w:r>
    </w:p>
    <w:p w14:paraId="7276C988">
      <w:pPr>
        <w:pStyle w:val="15"/>
        <w:keepNext w:val="0"/>
        <w:keepLines w:val="0"/>
        <w:pageBreakBefore w:val="0"/>
        <w:kinsoku/>
        <w:wordWrap/>
        <w:overflowPunct/>
        <w:topLinePunct w:val="0"/>
        <w:bidi w:val="0"/>
        <w:adjustRightInd w:val="0"/>
        <w:snapToGrid w:val="0"/>
        <w:spacing w:after="0" w:line="500" w:lineRule="exact"/>
        <w:ind w:left="0" w:leftChars="0" w:firstLine="560" w:firstLineChars="200"/>
        <w:jc w:val="both"/>
        <w:textAlignment w:val="auto"/>
        <w:rPr>
          <w:rFonts w:hint="default" w:ascii="仿宋" w:hAnsi="仿宋" w:eastAsia="仿宋" w:cs="仿宋"/>
          <w:bCs/>
          <w:color w:val="auto"/>
          <w:sz w:val="28"/>
          <w:szCs w:val="28"/>
          <w:lang w:val="en-US" w:eastAsia="zh-CN" w:bidi="ar-SA"/>
        </w:rPr>
      </w:pPr>
      <w:r>
        <w:rPr>
          <w:rFonts w:hint="default" w:ascii="仿宋" w:hAnsi="仿宋" w:eastAsia="仿宋" w:cs="仿宋"/>
          <w:bCs/>
          <w:color w:val="auto"/>
          <w:sz w:val="28"/>
          <w:szCs w:val="28"/>
          <w:lang w:val="en-US" w:eastAsia="zh-CN" w:bidi="ar-SA"/>
        </w:rPr>
        <w:t>③项目锅炉烟气污染物：二氧化硫、氮氧化物、颗粒物、烟气黑度有组织排放均符合《锅炉大气污染物排放标准》（DB46/ 622-2024）表1中燃生物质锅炉排放限值。同时，核算氮氧化物排放量：0268kg/h×24h×300d=1.93t/a，符</w:t>
      </w:r>
      <w:bookmarkStart w:id="0" w:name="_GoBack"/>
      <w:bookmarkEnd w:id="0"/>
      <w:r>
        <w:rPr>
          <w:rFonts w:hint="default" w:ascii="仿宋" w:hAnsi="仿宋" w:eastAsia="仿宋" w:cs="仿宋"/>
          <w:bCs/>
          <w:color w:val="auto"/>
          <w:sz w:val="28"/>
          <w:szCs w:val="28"/>
          <w:lang w:val="en-US" w:eastAsia="zh-CN" w:bidi="ar-SA"/>
        </w:rPr>
        <w:t>合项目环评及批复文件的总量控制指标氮氧化物3.34t/a的要求。</w:t>
      </w:r>
    </w:p>
    <w:p w14:paraId="30289CA6">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textAlignment w:val="auto"/>
        <w:rPr>
          <w:rFonts w:hint="default" w:ascii="仿宋" w:hAnsi="仿宋" w:eastAsia="仿宋" w:cs="仿宋"/>
          <w:bCs/>
          <w:color w:val="auto"/>
          <w:sz w:val="28"/>
          <w:szCs w:val="28"/>
          <w:lang w:val="en-US" w:eastAsia="zh-CN" w:bidi="ar-SA"/>
        </w:rPr>
      </w:pPr>
      <w:r>
        <w:rPr>
          <w:rFonts w:hint="default" w:ascii="仿宋" w:hAnsi="仿宋" w:eastAsia="仿宋" w:cs="仿宋"/>
          <w:bCs/>
          <w:color w:val="auto"/>
          <w:sz w:val="28"/>
          <w:szCs w:val="28"/>
          <w:lang w:val="en-US" w:eastAsia="zh-CN" w:bidi="ar-SA"/>
        </w:rPr>
        <w:t>④项目厂区内非甲烷总烃浓度符合《挥发性有机物无组织排放控制标准》（GB37822-2019）中附录A标准限值要求。</w:t>
      </w:r>
    </w:p>
    <w:p w14:paraId="09625378">
      <w:pPr>
        <w:pStyle w:val="20"/>
        <w:keepNext w:val="0"/>
        <w:keepLines w:val="0"/>
        <w:pageBreakBefore w:val="0"/>
        <w:widowControl w:val="0"/>
        <w:kinsoku/>
        <w:wordWrap/>
        <w:overflowPunct/>
        <w:topLinePunct w:val="0"/>
        <w:autoSpaceDE w:val="0"/>
        <w:autoSpaceDN w:val="0"/>
        <w:bidi w:val="0"/>
        <w:adjustRightInd w:val="0"/>
        <w:snapToGrid w:val="0"/>
        <w:spacing w:after="0" w:line="500" w:lineRule="exact"/>
        <w:ind w:firstLine="560" w:firstLineChars="200"/>
        <w:textAlignment w:val="auto"/>
        <w:rPr>
          <w:rFonts w:hint="default" w:ascii="仿宋" w:hAnsi="仿宋" w:eastAsia="仿宋" w:cs="仿宋"/>
          <w:bCs/>
          <w:color w:val="auto"/>
          <w:sz w:val="28"/>
          <w:szCs w:val="28"/>
          <w:lang w:val="en-US" w:eastAsia="zh-CN" w:bidi="ar-SA"/>
        </w:rPr>
      </w:pPr>
      <w:r>
        <w:rPr>
          <w:rFonts w:hint="default" w:ascii="仿宋" w:hAnsi="仿宋" w:eastAsia="仿宋" w:cs="仿宋"/>
          <w:bCs/>
          <w:color w:val="auto"/>
          <w:sz w:val="28"/>
          <w:szCs w:val="28"/>
          <w:lang w:val="en-US" w:eastAsia="zh-CN" w:bidi="ar-SA"/>
        </w:rPr>
        <w:t>⑤项目厂界颗粒物无组织排放符合《大气污染物综合排放标准》（GB 16297-1996）中表2二级标准限值，同时符合《锅炉大气污染物排放标准 》（DB46/ 622-2024）中表3标准限值；臭气浓度无组织排放符合《恶臭污染物排放标准》（GB14554-1993）中表1恶臭污染物厂界标准值中的二级标准限值。</w:t>
      </w:r>
    </w:p>
    <w:p w14:paraId="14FE8404">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p>
    <w:p w14:paraId="5068E0B3">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3、厂界噪声</w:t>
      </w:r>
    </w:p>
    <w:p w14:paraId="62810AFE">
      <w:pPr>
        <w:pStyle w:val="1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560" w:firstLineChars="200"/>
        <w:jc w:val="both"/>
        <w:rPr>
          <w:rFonts w:hint="eastAsia" w:ascii="仿宋" w:hAnsi="仿宋" w:eastAsia="仿宋" w:cs="仿宋"/>
          <w:bCs/>
          <w:color w:val="000000" w:themeColor="text1"/>
          <w:sz w:val="28"/>
          <w:szCs w:val="28"/>
          <w:lang w:val="en-US"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验收监测期间，项目厂界昼夜噪声监测结果均符合</w:t>
      </w:r>
      <w:r>
        <w:rPr>
          <w:rFonts w:hint="default" w:ascii="仿宋" w:hAnsi="仿宋" w:eastAsia="仿宋" w:cs="仿宋"/>
          <w:bCs/>
          <w:color w:val="000000" w:themeColor="text1"/>
          <w:sz w:val="28"/>
          <w:szCs w:val="28"/>
          <w:lang w:val="zh-TW" w:eastAsia="zh-TW" w:bidi="ar-SA"/>
          <w14:textFill>
            <w14:solidFill>
              <w14:schemeClr w14:val="tx1"/>
            </w14:solidFill>
          </w14:textFill>
        </w:rPr>
        <w:t>《工业企业厂界环境噪声排放标准》</w:t>
      </w:r>
      <w:r>
        <w:rPr>
          <w:rFonts w:hint="default" w:ascii="仿宋" w:hAnsi="仿宋" w:eastAsia="仿宋" w:cs="仿宋"/>
          <w:bCs/>
          <w:color w:val="000000" w:themeColor="text1"/>
          <w:sz w:val="28"/>
          <w:szCs w:val="28"/>
          <w:lang w:val="en-US" w:eastAsia="en-US" w:bidi="ar-SA"/>
          <w14:textFill>
            <w14:solidFill>
              <w14:schemeClr w14:val="tx1"/>
            </w14:solidFill>
          </w14:textFill>
        </w:rPr>
        <w:t>（</w:t>
      </w:r>
      <w:r>
        <w:rPr>
          <w:rFonts w:hint="default" w:ascii="仿宋" w:hAnsi="仿宋" w:eastAsia="仿宋" w:cs="仿宋"/>
          <w:bCs/>
          <w:color w:val="000000" w:themeColor="text1"/>
          <w:sz w:val="28"/>
          <w:szCs w:val="28"/>
          <w:lang w:val="zh-TW" w:eastAsia="zh-TW" w:bidi="ar-SA"/>
          <w14:textFill>
            <w14:solidFill>
              <w14:schemeClr w14:val="tx1"/>
            </w14:solidFill>
          </w14:textFill>
        </w:rPr>
        <w:t>GB</w:t>
      </w:r>
      <w:r>
        <w:rPr>
          <w:rFonts w:hint="default" w:ascii="仿宋" w:hAnsi="仿宋" w:eastAsia="仿宋" w:cs="仿宋"/>
          <w:bCs/>
          <w:color w:val="000000" w:themeColor="text1"/>
          <w:sz w:val="28"/>
          <w:szCs w:val="28"/>
          <w:lang w:val="en-US" w:eastAsia="en-US" w:bidi="ar-SA"/>
          <w14:textFill>
            <w14:solidFill>
              <w14:schemeClr w14:val="tx1"/>
            </w14:solidFill>
          </w14:textFill>
        </w:rPr>
        <w:t>12348-2008)</w:t>
      </w:r>
      <w:r>
        <w:rPr>
          <w:rFonts w:hint="default" w:ascii="仿宋" w:hAnsi="仿宋" w:eastAsia="仿宋" w:cs="仿宋"/>
          <w:bCs/>
          <w:color w:val="000000" w:themeColor="text1"/>
          <w:sz w:val="28"/>
          <w:szCs w:val="28"/>
          <w:lang w:val="en-US" w:eastAsia="zh-CN" w:bidi="ar-SA"/>
          <w14:textFill>
            <w14:solidFill>
              <w14:schemeClr w14:val="tx1"/>
            </w14:solidFill>
          </w14:textFill>
        </w:rPr>
        <w:t>中的</w:t>
      </w:r>
      <w:r>
        <w:rPr>
          <w:rFonts w:hint="eastAsia" w:ascii="仿宋" w:hAnsi="仿宋" w:eastAsia="仿宋" w:cs="仿宋"/>
          <w:bCs/>
          <w:color w:val="000000" w:themeColor="text1"/>
          <w:sz w:val="28"/>
          <w:szCs w:val="28"/>
          <w:lang w:val="en-US" w:eastAsia="zh-CN" w:bidi="ar-SA"/>
          <w14:textFill>
            <w14:solidFill>
              <w14:schemeClr w14:val="tx1"/>
            </w14:solidFill>
          </w14:textFill>
        </w:rPr>
        <w:t>2</w:t>
      </w:r>
      <w:r>
        <w:rPr>
          <w:rFonts w:hint="default" w:ascii="仿宋" w:hAnsi="仿宋" w:eastAsia="仿宋" w:cs="仿宋"/>
          <w:bCs/>
          <w:color w:val="000000" w:themeColor="text1"/>
          <w:sz w:val="28"/>
          <w:szCs w:val="28"/>
          <w:lang w:val="en-US" w:eastAsia="zh-CN" w:bidi="ar-SA"/>
          <w14:textFill>
            <w14:solidFill>
              <w14:schemeClr w14:val="tx1"/>
            </w14:solidFill>
          </w14:textFill>
        </w:rPr>
        <w:t>类标准</w:t>
      </w:r>
      <w:r>
        <w:rPr>
          <w:rFonts w:hint="eastAsia" w:ascii="仿宋" w:hAnsi="仿宋" w:eastAsia="仿宋" w:cs="仿宋"/>
          <w:bCs/>
          <w:color w:val="000000" w:themeColor="text1"/>
          <w:sz w:val="28"/>
          <w:szCs w:val="28"/>
          <w:lang w:val="en-US" w:eastAsia="zh-CN" w:bidi="ar-SA"/>
          <w14:textFill>
            <w14:solidFill>
              <w14:schemeClr w14:val="tx1"/>
            </w14:solidFill>
          </w14:textFill>
        </w:rPr>
        <w:t>限值要求。</w:t>
      </w:r>
    </w:p>
    <w:p w14:paraId="0B8F958F">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4、固体废物</w:t>
      </w:r>
    </w:p>
    <w:p w14:paraId="532D25F3">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textAlignment w:val="auto"/>
        <w:rPr>
          <w:rFonts w:hint="default" w:ascii="仿宋" w:hAnsi="仿宋" w:eastAsia="仿宋" w:cs="仿宋"/>
          <w:sz w:val="28"/>
          <w:szCs w:val="28"/>
          <w:lang w:val="zh-CN"/>
        </w:rPr>
      </w:pPr>
      <w:r>
        <w:rPr>
          <w:rFonts w:hint="default" w:ascii="仿宋" w:hAnsi="仿宋" w:eastAsia="仿宋" w:cs="仿宋"/>
          <w:sz w:val="28"/>
          <w:szCs w:val="28"/>
          <w:lang w:val="zh-CN"/>
        </w:rPr>
        <w:t>项目营运期生活垃圾自行分类收集，交由环卫部门清运；锅炉房除尘器收集烟粉尘、锅炉灰渣自行收集外售用作农肥；板材车间除尘器收集木粉尘自行收集外售回收公司；锅炉软化水产生的废离子交换树脂由厂家更换回收；危险废物（废胶桶、废机油、废活性炭）分类暂存于危废间，委托海南中宝资源有限公司（即资质单位）处置。</w:t>
      </w:r>
    </w:p>
    <w:p w14:paraId="454616DE">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baseline"/>
        <w:rPr>
          <w:rFonts w:hint="eastAsia" w:ascii="仿宋" w:hAnsi="仿宋" w:eastAsia="仿宋"/>
          <w:b/>
          <w:bCs/>
          <w:color w:val="000000"/>
          <w:sz w:val="28"/>
          <w:szCs w:val="28"/>
        </w:rPr>
      </w:pPr>
      <w:r>
        <w:rPr>
          <w:rFonts w:hint="eastAsia" w:ascii="仿宋" w:hAnsi="仿宋" w:eastAsia="仿宋"/>
          <w:b/>
          <w:bCs/>
          <w:color w:val="000000"/>
          <w:sz w:val="28"/>
          <w:szCs w:val="28"/>
        </w:rPr>
        <w:t>五、验收结论</w:t>
      </w:r>
    </w:p>
    <w:p w14:paraId="2CE819B7">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验收组认为</w:t>
      </w:r>
      <w:r>
        <w:rPr>
          <w:rFonts w:hint="eastAsia" w:ascii="仿宋" w:hAnsi="仿宋" w:eastAsia="仿宋" w:cs="仿宋"/>
          <w:bCs/>
          <w:sz w:val="28"/>
          <w:szCs w:val="28"/>
          <w:lang w:eastAsia="zh-CN"/>
        </w:rPr>
        <w:t>“</w:t>
      </w:r>
      <w:r>
        <w:rPr>
          <w:rFonts w:hint="eastAsia" w:ascii="仿宋" w:hAnsi="仿宋" w:eastAsia="仿宋" w:cs="仿宋"/>
          <w:bCs/>
          <w:sz w:val="28"/>
          <w:szCs w:val="28"/>
        </w:rPr>
        <w:t>文昌华兴丰润实业有限公司木材加工厂改扩建项目</w:t>
      </w:r>
      <w:r>
        <w:rPr>
          <w:rFonts w:hint="eastAsia" w:ascii="仿宋" w:hAnsi="仿宋" w:eastAsia="仿宋" w:cs="仿宋"/>
          <w:bCs/>
          <w:sz w:val="28"/>
          <w:szCs w:val="28"/>
          <w:lang w:eastAsia="zh-CN"/>
        </w:rPr>
        <w:t>”</w:t>
      </w:r>
      <w:r>
        <w:rPr>
          <w:rFonts w:hint="eastAsia" w:ascii="仿宋" w:hAnsi="仿宋" w:eastAsia="仿宋"/>
          <w:sz w:val="28"/>
          <w:szCs w:val="28"/>
        </w:rPr>
        <w:t>环保手续齐全，落实了项目环境影响报告</w:t>
      </w:r>
      <w:r>
        <w:rPr>
          <w:rFonts w:hint="eastAsia" w:ascii="仿宋" w:hAnsi="仿宋" w:eastAsia="仿宋"/>
          <w:sz w:val="28"/>
          <w:szCs w:val="28"/>
          <w:lang w:val="en-US" w:eastAsia="zh-CN"/>
        </w:rPr>
        <w:t>表</w:t>
      </w:r>
      <w:r>
        <w:rPr>
          <w:rFonts w:hint="eastAsia" w:ascii="仿宋" w:hAnsi="仿宋" w:eastAsia="仿宋"/>
          <w:sz w:val="28"/>
          <w:szCs w:val="28"/>
        </w:rPr>
        <w:t>及其批复的要求，采取了相应的废水、废气、噪声、固废污染防治措施，污染物排放符合相应标准要求。根据现场检查环保措施落实情况及验收监测期间各项污染物监测结果，该项目符合建设项目竣工环保验收条件。验收报告编制符合建设项目竣工环境保护技术规范要求，</w:t>
      </w:r>
      <w:r>
        <w:rPr>
          <w:rFonts w:hint="eastAsia" w:ascii="仿宋" w:hAnsi="仿宋" w:eastAsia="仿宋"/>
          <w:bCs/>
          <w:sz w:val="28"/>
          <w:szCs w:val="28"/>
        </w:rPr>
        <w:t>该项目</w:t>
      </w:r>
      <w:r>
        <w:rPr>
          <w:rFonts w:hint="eastAsia" w:ascii="仿宋" w:hAnsi="仿宋" w:eastAsia="仿宋"/>
          <w:sz w:val="28"/>
          <w:szCs w:val="28"/>
        </w:rPr>
        <w:t>竣工环境保护</w:t>
      </w:r>
      <w:r>
        <w:rPr>
          <w:rFonts w:ascii="仿宋" w:hAnsi="仿宋" w:eastAsia="仿宋"/>
          <w:sz w:val="28"/>
          <w:szCs w:val="28"/>
        </w:rPr>
        <w:t>验收</w:t>
      </w:r>
      <w:r>
        <w:rPr>
          <w:rFonts w:hint="eastAsia" w:ascii="仿宋" w:hAnsi="仿宋" w:eastAsia="仿宋"/>
          <w:sz w:val="28"/>
          <w:szCs w:val="28"/>
        </w:rPr>
        <w:t>结果为合格</w:t>
      </w:r>
      <w:r>
        <w:rPr>
          <w:rFonts w:ascii="仿宋" w:hAnsi="仿宋" w:eastAsia="仿宋"/>
          <w:sz w:val="28"/>
          <w:szCs w:val="28"/>
        </w:rPr>
        <w:t>。</w:t>
      </w:r>
    </w:p>
    <w:p w14:paraId="5F2F5DDE">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b/>
          <w:bCs/>
          <w:color w:val="000000"/>
          <w:sz w:val="28"/>
          <w:szCs w:val="28"/>
        </w:rPr>
      </w:pPr>
      <w:r>
        <w:rPr>
          <w:rFonts w:hint="eastAsia" w:ascii="仿宋" w:hAnsi="仿宋" w:eastAsia="仿宋"/>
          <w:b/>
          <w:bCs/>
          <w:color w:val="000000"/>
          <w:sz w:val="28"/>
          <w:szCs w:val="28"/>
        </w:rPr>
        <w:t>六、后续要求</w:t>
      </w:r>
    </w:p>
    <w:p w14:paraId="5032F84C">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（1）完善环境管理制度，细化环境管理岗位职责，按照相关规范设置排污标识。</w:t>
      </w:r>
    </w:p>
    <w:p w14:paraId="244FE1A9">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（2）加强固体废物管理。按照国家和省关于固体废物的有关规定做好废物的收集、暂存和转移处置工作。</w:t>
      </w:r>
    </w:p>
    <w:p w14:paraId="58E7F897">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 xml:space="preserve">（3）定期对项目设备进行维护、保修，确保设备设施正常运转与污染物持续稳定达标。  </w:t>
      </w:r>
    </w:p>
    <w:p w14:paraId="43E0BA7E">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（4）完善建设项目突发环境事件应急预案编制及备案工作。</w:t>
      </w:r>
    </w:p>
    <w:p w14:paraId="3CDEE9A3">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b/>
          <w:bCs/>
          <w:sz w:val="28"/>
          <w:szCs w:val="28"/>
        </w:rPr>
      </w:pPr>
    </w:p>
    <w:p w14:paraId="6343B487">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b/>
          <w:bCs/>
          <w:sz w:val="28"/>
          <w:szCs w:val="28"/>
        </w:rPr>
      </w:pPr>
    </w:p>
    <w:p w14:paraId="0915F086">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b/>
          <w:bCs/>
          <w:sz w:val="28"/>
          <w:szCs w:val="28"/>
        </w:rPr>
      </w:pPr>
      <w:r>
        <w:rPr>
          <w:rFonts w:hint="eastAsia" w:ascii="仿宋" w:hAnsi="仿宋" w:eastAsia="仿宋"/>
          <w:b/>
          <w:bCs/>
          <w:sz w:val="28"/>
          <w:szCs w:val="28"/>
        </w:rPr>
        <w:t>七、验收人员信息</w:t>
      </w:r>
    </w:p>
    <w:p w14:paraId="29B8E81F">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 xml:space="preserve">      见附件</w:t>
      </w:r>
    </w:p>
    <w:p w14:paraId="437A0CF1">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p>
    <w:p w14:paraId="664067AD">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 xml:space="preserve">验收组：         </w:t>
      </w:r>
    </w:p>
    <w:p w14:paraId="4C851CF7">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right"/>
        <w:rPr>
          <w:rFonts w:hint="eastAsia" w:ascii="仿宋" w:hAnsi="仿宋" w:eastAsia="仿宋"/>
          <w:sz w:val="28"/>
          <w:szCs w:val="28"/>
        </w:rPr>
      </w:pPr>
    </w:p>
    <w:p w14:paraId="3FCA9279">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right"/>
        <w:rPr>
          <w:rFonts w:hint="eastAsia" w:ascii="仿宋" w:hAnsi="仿宋" w:eastAsia="仿宋"/>
          <w:sz w:val="28"/>
          <w:szCs w:val="28"/>
        </w:rPr>
      </w:pPr>
      <w:r>
        <w:rPr>
          <w:rFonts w:hint="eastAsia" w:ascii="仿宋" w:hAnsi="仿宋" w:eastAsia="仿宋"/>
          <w:sz w:val="28"/>
          <w:szCs w:val="28"/>
        </w:rPr>
        <w:t xml:space="preserve">  </w:t>
      </w:r>
    </w:p>
    <w:p w14:paraId="6ABAF663">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right"/>
        <w:rPr>
          <w:rFonts w:hint="eastAsia" w:ascii="仿宋" w:hAnsi="仿宋" w:eastAsia="仿宋" w:cs="仿宋"/>
          <w:bCs/>
          <w:sz w:val="28"/>
          <w:szCs w:val="28"/>
        </w:rPr>
      </w:pPr>
      <w:r>
        <w:rPr>
          <w:rFonts w:hint="eastAsia" w:ascii="仿宋" w:hAnsi="仿宋" w:eastAsia="仿宋" w:cs="仿宋"/>
          <w:bCs/>
          <w:sz w:val="28"/>
          <w:szCs w:val="28"/>
        </w:rPr>
        <w:t>文昌华兴丰润实业有限公司木材加工厂</w:t>
      </w:r>
    </w:p>
    <w:p w14:paraId="218B240F">
      <w:pPr>
        <w:keepNext w:val="0"/>
        <w:keepLines w:val="0"/>
        <w:pageBreakBefore w:val="0"/>
        <w:kinsoku/>
        <w:wordWrap/>
        <w:overflowPunct/>
        <w:topLinePunct w:val="0"/>
        <w:autoSpaceDE/>
        <w:autoSpaceDN/>
        <w:bidi w:val="0"/>
        <w:adjustRightInd w:val="0"/>
        <w:snapToGrid w:val="0"/>
        <w:spacing w:after="0" w:line="500" w:lineRule="exact"/>
        <w:jc w:val="right"/>
        <w:rPr>
          <w:sz w:val="28"/>
          <w:szCs w:val="28"/>
          <w:highlight w:val="none"/>
        </w:rPr>
      </w:pPr>
      <w:r>
        <w:rPr>
          <w:rFonts w:hint="eastAsia" w:ascii="仿宋" w:hAnsi="仿宋" w:eastAsia="仿宋"/>
          <w:sz w:val="28"/>
          <w:szCs w:val="28"/>
          <w:highlight w:val="none"/>
        </w:rPr>
        <w:t>2025</w:t>
      </w:r>
      <w:r>
        <w:rPr>
          <w:rFonts w:ascii="仿宋" w:hAnsi="仿宋" w:eastAsia="仿宋"/>
          <w:sz w:val="28"/>
          <w:szCs w:val="28"/>
          <w:highlight w:val="none"/>
        </w:rPr>
        <w:t>年</w:t>
      </w:r>
      <w:r>
        <w:rPr>
          <w:rFonts w:hint="eastAsia" w:ascii="仿宋" w:hAnsi="仿宋" w:eastAsia="仿宋"/>
          <w:sz w:val="28"/>
          <w:szCs w:val="28"/>
          <w:highlight w:val="none"/>
          <w:lang w:val="en-US" w:eastAsia="zh-CN"/>
        </w:rPr>
        <w:t>12</w:t>
      </w:r>
      <w:r>
        <w:rPr>
          <w:rFonts w:ascii="仿宋" w:hAnsi="仿宋" w:eastAsia="仿宋"/>
          <w:sz w:val="28"/>
          <w:szCs w:val="28"/>
          <w:highlight w:val="none"/>
        </w:rPr>
        <w:t>月</w:t>
      </w:r>
      <w:r>
        <w:rPr>
          <w:rFonts w:hint="eastAsia" w:ascii="仿宋" w:hAnsi="仿宋" w:eastAsia="仿宋"/>
          <w:sz w:val="28"/>
          <w:szCs w:val="28"/>
          <w:highlight w:val="none"/>
          <w:lang w:val="en-US" w:eastAsia="zh-CN"/>
        </w:rPr>
        <w:t>18</w:t>
      </w:r>
      <w:r>
        <w:rPr>
          <w:rFonts w:ascii="仿宋" w:hAnsi="仿宋" w:eastAsia="仿宋"/>
          <w:sz w:val="28"/>
          <w:szCs w:val="28"/>
          <w:highlight w:val="none"/>
        </w:rPr>
        <w:t>日</w:t>
      </w:r>
    </w:p>
    <w:sectPr>
      <w:pgSz w:w="11906" w:h="16838"/>
      <w:pgMar w:top="1440" w:right="1800" w:bottom="1440" w:left="1800" w:header="851"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00544E14"/>
    <w:rsid w:val="000151C5"/>
    <w:rsid w:val="0002369B"/>
    <w:rsid w:val="00056147"/>
    <w:rsid w:val="00094800"/>
    <w:rsid w:val="000C37BD"/>
    <w:rsid w:val="000E2A23"/>
    <w:rsid w:val="000F02CA"/>
    <w:rsid w:val="00125BE9"/>
    <w:rsid w:val="001316B8"/>
    <w:rsid w:val="001701B3"/>
    <w:rsid w:val="001745EE"/>
    <w:rsid w:val="00180CF0"/>
    <w:rsid w:val="00196C21"/>
    <w:rsid w:val="001B5663"/>
    <w:rsid w:val="002021BF"/>
    <w:rsid w:val="002212A5"/>
    <w:rsid w:val="002215C1"/>
    <w:rsid w:val="00240785"/>
    <w:rsid w:val="002770BB"/>
    <w:rsid w:val="002D0F9C"/>
    <w:rsid w:val="002E1B03"/>
    <w:rsid w:val="0030147D"/>
    <w:rsid w:val="00302608"/>
    <w:rsid w:val="003070B2"/>
    <w:rsid w:val="0031369B"/>
    <w:rsid w:val="003852DF"/>
    <w:rsid w:val="0039561F"/>
    <w:rsid w:val="003D33B3"/>
    <w:rsid w:val="004238D2"/>
    <w:rsid w:val="00426F29"/>
    <w:rsid w:val="00437159"/>
    <w:rsid w:val="00444BB9"/>
    <w:rsid w:val="0047690C"/>
    <w:rsid w:val="004846A1"/>
    <w:rsid w:val="004A0005"/>
    <w:rsid w:val="004A4668"/>
    <w:rsid w:val="004B2452"/>
    <w:rsid w:val="005135CC"/>
    <w:rsid w:val="00513F0B"/>
    <w:rsid w:val="005152E7"/>
    <w:rsid w:val="00544E14"/>
    <w:rsid w:val="0058637C"/>
    <w:rsid w:val="00593FA5"/>
    <w:rsid w:val="00597317"/>
    <w:rsid w:val="005A1205"/>
    <w:rsid w:val="005A75BA"/>
    <w:rsid w:val="005C12FE"/>
    <w:rsid w:val="005C38E8"/>
    <w:rsid w:val="005D33EA"/>
    <w:rsid w:val="005E4CC1"/>
    <w:rsid w:val="00631574"/>
    <w:rsid w:val="006465F3"/>
    <w:rsid w:val="006732D5"/>
    <w:rsid w:val="00692292"/>
    <w:rsid w:val="006D4C43"/>
    <w:rsid w:val="00706B05"/>
    <w:rsid w:val="007102D9"/>
    <w:rsid w:val="00720E6F"/>
    <w:rsid w:val="0072223D"/>
    <w:rsid w:val="00733714"/>
    <w:rsid w:val="0075291C"/>
    <w:rsid w:val="00755DA3"/>
    <w:rsid w:val="00767775"/>
    <w:rsid w:val="0078178E"/>
    <w:rsid w:val="007C3076"/>
    <w:rsid w:val="007E452C"/>
    <w:rsid w:val="007F3CEC"/>
    <w:rsid w:val="00800332"/>
    <w:rsid w:val="00813DCB"/>
    <w:rsid w:val="00817706"/>
    <w:rsid w:val="00822A15"/>
    <w:rsid w:val="0082310F"/>
    <w:rsid w:val="008333CE"/>
    <w:rsid w:val="008849BA"/>
    <w:rsid w:val="008939B9"/>
    <w:rsid w:val="008A74F8"/>
    <w:rsid w:val="008B06B6"/>
    <w:rsid w:val="008B1556"/>
    <w:rsid w:val="008C0DEF"/>
    <w:rsid w:val="008E14AD"/>
    <w:rsid w:val="008F4088"/>
    <w:rsid w:val="00900482"/>
    <w:rsid w:val="00924C80"/>
    <w:rsid w:val="0094048C"/>
    <w:rsid w:val="009834D0"/>
    <w:rsid w:val="009975E8"/>
    <w:rsid w:val="009B07F7"/>
    <w:rsid w:val="009C2755"/>
    <w:rsid w:val="009D2038"/>
    <w:rsid w:val="00A10960"/>
    <w:rsid w:val="00A67294"/>
    <w:rsid w:val="00A768F7"/>
    <w:rsid w:val="00A77299"/>
    <w:rsid w:val="00AB2452"/>
    <w:rsid w:val="00AD15B8"/>
    <w:rsid w:val="00AD5A34"/>
    <w:rsid w:val="00B058D6"/>
    <w:rsid w:val="00B171BA"/>
    <w:rsid w:val="00B2300D"/>
    <w:rsid w:val="00B503E9"/>
    <w:rsid w:val="00B93E4A"/>
    <w:rsid w:val="00BB2A39"/>
    <w:rsid w:val="00BB4758"/>
    <w:rsid w:val="00BE19B5"/>
    <w:rsid w:val="00BE2E41"/>
    <w:rsid w:val="00BF4AF9"/>
    <w:rsid w:val="00BF5265"/>
    <w:rsid w:val="00C24065"/>
    <w:rsid w:val="00C67F56"/>
    <w:rsid w:val="00C96972"/>
    <w:rsid w:val="00CD4425"/>
    <w:rsid w:val="00D1779E"/>
    <w:rsid w:val="00D21847"/>
    <w:rsid w:val="00D417E7"/>
    <w:rsid w:val="00D72597"/>
    <w:rsid w:val="00D901E6"/>
    <w:rsid w:val="00DC51EA"/>
    <w:rsid w:val="00DE51F2"/>
    <w:rsid w:val="00DE5893"/>
    <w:rsid w:val="00DF0847"/>
    <w:rsid w:val="00E002C5"/>
    <w:rsid w:val="00E47E92"/>
    <w:rsid w:val="00E63BB9"/>
    <w:rsid w:val="00EA346A"/>
    <w:rsid w:val="00F06866"/>
    <w:rsid w:val="00F21884"/>
    <w:rsid w:val="00F30EB4"/>
    <w:rsid w:val="00F50301"/>
    <w:rsid w:val="00F83436"/>
    <w:rsid w:val="016320EC"/>
    <w:rsid w:val="018B17F6"/>
    <w:rsid w:val="020E02AA"/>
    <w:rsid w:val="02320568"/>
    <w:rsid w:val="02693733"/>
    <w:rsid w:val="04677C5D"/>
    <w:rsid w:val="04875FE6"/>
    <w:rsid w:val="061B7C8C"/>
    <w:rsid w:val="064E6B17"/>
    <w:rsid w:val="06587D46"/>
    <w:rsid w:val="07106873"/>
    <w:rsid w:val="09860291"/>
    <w:rsid w:val="09A3577C"/>
    <w:rsid w:val="0A567102"/>
    <w:rsid w:val="0A867E5A"/>
    <w:rsid w:val="0A8E01DA"/>
    <w:rsid w:val="0D9C2C0E"/>
    <w:rsid w:val="0FA900C5"/>
    <w:rsid w:val="114F12E4"/>
    <w:rsid w:val="11B524F0"/>
    <w:rsid w:val="126A5246"/>
    <w:rsid w:val="136046DE"/>
    <w:rsid w:val="13833F28"/>
    <w:rsid w:val="16120E51"/>
    <w:rsid w:val="176C18A3"/>
    <w:rsid w:val="179A6985"/>
    <w:rsid w:val="17A06220"/>
    <w:rsid w:val="18095BFD"/>
    <w:rsid w:val="196071E6"/>
    <w:rsid w:val="1B990BFB"/>
    <w:rsid w:val="1BE834C2"/>
    <w:rsid w:val="1E3A4205"/>
    <w:rsid w:val="1F2533E2"/>
    <w:rsid w:val="21090163"/>
    <w:rsid w:val="210A2924"/>
    <w:rsid w:val="21B77BBF"/>
    <w:rsid w:val="21D62D2D"/>
    <w:rsid w:val="235356C5"/>
    <w:rsid w:val="250255F5"/>
    <w:rsid w:val="275A34C6"/>
    <w:rsid w:val="276A122F"/>
    <w:rsid w:val="27934C2A"/>
    <w:rsid w:val="28266DD7"/>
    <w:rsid w:val="282B4E63"/>
    <w:rsid w:val="29EE7EF6"/>
    <w:rsid w:val="2A6F32F9"/>
    <w:rsid w:val="2C491D5B"/>
    <w:rsid w:val="2C9A25B7"/>
    <w:rsid w:val="2CE508B3"/>
    <w:rsid w:val="2D323B22"/>
    <w:rsid w:val="2F4973E9"/>
    <w:rsid w:val="2FB3473C"/>
    <w:rsid w:val="307A764C"/>
    <w:rsid w:val="307D6477"/>
    <w:rsid w:val="30896BCA"/>
    <w:rsid w:val="31835A5A"/>
    <w:rsid w:val="33F16F60"/>
    <w:rsid w:val="35E6061B"/>
    <w:rsid w:val="36FB7FD0"/>
    <w:rsid w:val="371D62BE"/>
    <w:rsid w:val="37A20571"/>
    <w:rsid w:val="37CF525B"/>
    <w:rsid w:val="37DC1CD5"/>
    <w:rsid w:val="397228F1"/>
    <w:rsid w:val="3A036ECC"/>
    <w:rsid w:val="3A5957F8"/>
    <w:rsid w:val="3B163750"/>
    <w:rsid w:val="3C4B742A"/>
    <w:rsid w:val="3DA94408"/>
    <w:rsid w:val="3DBB413B"/>
    <w:rsid w:val="3E6F38A3"/>
    <w:rsid w:val="3EF67B21"/>
    <w:rsid w:val="3F5D68DF"/>
    <w:rsid w:val="40B72949"/>
    <w:rsid w:val="40F7192E"/>
    <w:rsid w:val="417116E0"/>
    <w:rsid w:val="41717932"/>
    <w:rsid w:val="41FB544E"/>
    <w:rsid w:val="438555BA"/>
    <w:rsid w:val="439B47F3"/>
    <w:rsid w:val="43C71A8C"/>
    <w:rsid w:val="460A6819"/>
    <w:rsid w:val="46317E1F"/>
    <w:rsid w:val="49DE18DD"/>
    <w:rsid w:val="4A6C6434"/>
    <w:rsid w:val="4B2A6676"/>
    <w:rsid w:val="4BC863A1"/>
    <w:rsid w:val="4BF407D2"/>
    <w:rsid w:val="4CD34FFD"/>
    <w:rsid w:val="4DAE7818"/>
    <w:rsid w:val="4DD03858"/>
    <w:rsid w:val="4E465CA3"/>
    <w:rsid w:val="4F1148B7"/>
    <w:rsid w:val="4F806F93"/>
    <w:rsid w:val="50020304"/>
    <w:rsid w:val="51510BE7"/>
    <w:rsid w:val="51BE59F8"/>
    <w:rsid w:val="546A4C94"/>
    <w:rsid w:val="54AA0D3A"/>
    <w:rsid w:val="55CE6AFA"/>
    <w:rsid w:val="566C1F15"/>
    <w:rsid w:val="589F1B38"/>
    <w:rsid w:val="5A2410D8"/>
    <w:rsid w:val="5A26766F"/>
    <w:rsid w:val="5AA1498D"/>
    <w:rsid w:val="5BC76675"/>
    <w:rsid w:val="5CB12E81"/>
    <w:rsid w:val="5D986325"/>
    <w:rsid w:val="5DE61D08"/>
    <w:rsid w:val="5E562778"/>
    <w:rsid w:val="5EFF6126"/>
    <w:rsid w:val="61FF49EC"/>
    <w:rsid w:val="62593D9F"/>
    <w:rsid w:val="62D41677"/>
    <w:rsid w:val="62F45876"/>
    <w:rsid w:val="632C5010"/>
    <w:rsid w:val="64C251EC"/>
    <w:rsid w:val="65957B0C"/>
    <w:rsid w:val="659A4F2D"/>
    <w:rsid w:val="67E265E5"/>
    <w:rsid w:val="68DE3AC3"/>
    <w:rsid w:val="6A2B4273"/>
    <w:rsid w:val="6AB9187F"/>
    <w:rsid w:val="6B5B0EAD"/>
    <w:rsid w:val="6B861FFB"/>
    <w:rsid w:val="6C7A432B"/>
    <w:rsid w:val="6D991B7C"/>
    <w:rsid w:val="6DCC3677"/>
    <w:rsid w:val="6FCE2BBF"/>
    <w:rsid w:val="706423D6"/>
    <w:rsid w:val="71B857D3"/>
    <w:rsid w:val="71F05CCB"/>
    <w:rsid w:val="740B662A"/>
    <w:rsid w:val="761D53B8"/>
    <w:rsid w:val="76646BAF"/>
    <w:rsid w:val="76C2163C"/>
    <w:rsid w:val="79165616"/>
    <w:rsid w:val="79C97604"/>
    <w:rsid w:val="7A0F3269"/>
    <w:rsid w:val="7A301431"/>
    <w:rsid w:val="7A401675"/>
    <w:rsid w:val="7A4A7D8D"/>
    <w:rsid w:val="7A9B2D4F"/>
    <w:rsid w:val="7AD37CC8"/>
    <w:rsid w:val="7C174657"/>
    <w:rsid w:val="7D7C1EA9"/>
    <w:rsid w:val="7DAE3D44"/>
    <w:rsid w:val="7DE903E6"/>
    <w:rsid w:val="7E6548F3"/>
    <w:rsid w:val="7FC92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rPr>
      <w:rFonts w:eastAsia="宋体"/>
    </w:rPr>
  </w:style>
  <w:style w:type="paragraph" w:styleId="3">
    <w:name w:val="Document Map"/>
    <w:basedOn w:val="1"/>
    <w:autoRedefine/>
    <w:semiHidden/>
    <w:qFormat/>
    <w:uiPriority w:val="0"/>
    <w:pPr>
      <w:shd w:val="clear" w:color="auto" w:fill="000080"/>
    </w:pPr>
  </w:style>
  <w:style w:type="paragraph" w:styleId="4">
    <w:name w:val="annotation text"/>
    <w:basedOn w:val="1"/>
    <w:qFormat/>
    <w:uiPriority w:val="0"/>
    <w:pPr>
      <w:jc w:val="left"/>
    </w:pPr>
  </w:style>
  <w:style w:type="paragraph" w:styleId="5">
    <w:name w:val="Body Text"/>
    <w:basedOn w:val="1"/>
    <w:qFormat/>
    <w:uiPriority w:val="0"/>
    <w:pPr>
      <w:spacing w:line="220" w:lineRule="exact"/>
      <w:jc w:val="center"/>
    </w:pPr>
  </w:style>
  <w:style w:type="paragraph" w:styleId="6">
    <w:name w:val="Body Text Indent"/>
    <w:basedOn w:val="1"/>
    <w:autoRedefine/>
    <w:qFormat/>
    <w:uiPriority w:val="0"/>
    <w:pPr>
      <w:spacing w:line="360" w:lineRule="auto"/>
      <w:ind w:firstLine="480"/>
    </w:pPr>
    <w:rPr>
      <w:rFonts w:ascii="宋体" w:hAnsi="宋体"/>
      <w:color w:val="FF6600"/>
      <w:sz w:val="24"/>
    </w:rPr>
  </w:style>
  <w:style w:type="paragraph" w:styleId="7">
    <w:name w:val="Plain Text"/>
    <w:basedOn w:val="1"/>
    <w:qFormat/>
    <w:uiPriority w:val="0"/>
    <w:rPr>
      <w:rFonts w:ascii="宋体" w:hAnsi="Courier New" w:eastAsia="宋体" w:cs="Courier New"/>
      <w:szCs w:val="21"/>
    </w:rPr>
  </w:style>
  <w:style w:type="paragraph" w:styleId="8">
    <w:name w:val="Date"/>
    <w:basedOn w:val="1"/>
    <w:next w:val="1"/>
    <w:link w:val="27"/>
    <w:autoRedefine/>
    <w:qFormat/>
    <w:uiPriority w:val="0"/>
    <w:pPr>
      <w:widowControl w:val="0"/>
      <w:adjustRightInd/>
      <w:snapToGrid/>
      <w:spacing w:after="0"/>
      <w:ind w:left="100" w:leftChars="2500"/>
      <w:jc w:val="both"/>
    </w:pPr>
    <w:rPr>
      <w:rFonts w:ascii="宋体" w:hAnsi="宋体" w:eastAsia="宋体"/>
      <w:b/>
      <w:bCs/>
      <w:kern w:val="2"/>
      <w:sz w:val="36"/>
      <w:szCs w:val="24"/>
    </w:rPr>
  </w:style>
  <w:style w:type="paragraph" w:styleId="9">
    <w:name w:val="Balloon Text"/>
    <w:basedOn w:val="1"/>
    <w:link w:val="30"/>
    <w:autoRedefine/>
    <w:qFormat/>
    <w:uiPriority w:val="0"/>
    <w:pPr>
      <w:spacing w:after="0"/>
    </w:pPr>
    <w:rPr>
      <w:sz w:val="18"/>
      <w:szCs w:val="18"/>
    </w:rPr>
  </w:style>
  <w:style w:type="paragraph" w:styleId="10">
    <w:name w:val="footer"/>
    <w:basedOn w:val="1"/>
    <w:link w:val="26"/>
    <w:autoRedefine/>
    <w:qFormat/>
    <w:uiPriority w:val="99"/>
    <w:pPr>
      <w:tabs>
        <w:tab w:val="center" w:pos="4153"/>
        <w:tab w:val="right" w:pos="8306"/>
      </w:tabs>
    </w:pPr>
    <w:rPr>
      <w:sz w:val="18"/>
      <w:szCs w:val="18"/>
    </w:rPr>
  </w:style>
  <w:style w:type="paragraph" w:styleId="11">
    <w:name w:val="header"/>
    <w:basedOn w:val="1"/>
    <w:link w:val="25"/>
    <w:autoRedefine/>
    <w:qFormat/>
    <w:uiPriority w:val="0"/>
    <w:pPr>
      <w:pBdr>
        <w:bottom w:val="single" w:color="auto" w:sz="6" w:space="1"/>
      </w:pBdr>
      <w:tabs>
        <w:tab w:val="center" w:pos="4153"/>
        <w:tab w:val="right" w:pos="8306"/>
      </w:tabs>
      <w:jc w:val="center"/>
    </w:pPr>
    <w:rPr>
      <w:sz w:val="18"/>
      <w:szCs w:val="18"/>
    </w:rPr>
  </w:style>
  <w:style w:type="paragraph" w:styleId="12">
    <w:name w:val="index heading"/>
    <w:basedOn w:val="1"/>
    <w:next w:val="13"/>
    <w:autoRedefine/>
    <w:semiHidden/>
    <w:qFormat/>
    <w:uiPriority w:val="0"/>
    <w:rPr>
      <w:rFonts w:ascii="Arial" w:hAnsi="Arial" w:cs="Arial"/>
      <w:b/>
      <w:bCs/>
    </w:rPr>
  </w:style>
  <w:style w:type="paragraph" w:styleId="13">
    <w:name w:val="index 1"/>
    <w:basedOn w:val="1"/>
    <w:next w:val="1"/>
    <w:autoRedefine/>
    <w:semiHidden/>
    <w:qFormat/>
    <w:uiPriority w:val="0"/>
  </w:style>
  <w:style w:type="paragraph" w:styleId="14">
    <w:name w:val="Body Text Indent 3"/>
    <w:basedOn w:val="1"/>
    <w:link w:val="28"/>
    <w:qFormat/>
    <w:uiPriority w:val="0"/>
    <w:pPr>
      <w:widowControl w:val="0"/>
      <w:adjustRightInd/>
      <w:snapToGrid/>
      <w:spacing w:after="120"/>
      <w:ind w:left="420" w:leftChars="200"/>
      <w:jc w:val="both"/>
    </w:pPr>
    <w:rPr>
      <w:rFonts w:ascii="Times New Roman" w:hAnsi="Times New Roman" w:eastAsia="宋体"/>
      <w:kern w:val="2"/>
      <w:sz w:val="16"/>
      <w:szCs w:val="16"/>
    </w:rPr>
  </w:style>
  <w:style w:type="paragraph" w:styleId="15">
    <w:name w:val="Body Text First Indent 2"/>
    <w:basedOn w:val="6"/>
    <w:next w:val="1"/>
    <w:autoRedefine/>
    <w:qFormat/>
    <w:uiPriority w:val="0"/>
    <w:pPr>
      <w:spacing w:after="120" w:line="240" w:lineRule="auto"/>
      <w:ind w:left="420" w:leftChars="200" w:firstLine="420"/>
    </w:pPr>
    <w:rPr>
      <w:rFonts w:ascii="Times New Roman" w:eastAsia="宋体"/>
      <w:sz w:val="21"/>
      <w:szCs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22"/>
    <w:rPr>
      <w:b/>
      <w:bCs/>
    </w:rPr>
  </w:style>
  <w:style w:type="paragraph" w:customStyle="1" w:styleId="20">
    <w:name w:val="Default"/>
    <w:basedOn w:val="21"/>
    <w:next w:val="22"/>
    <w:autoRedefine/>
    <w:qFormat/>
    <w:uiPriority w:val="0"/>
    <w:pPr>
      <w:widowControl w:val="0"/>
      <w:autoSpaceDE w:val="0"/>
      <w:autoSpaceDN w:val="0"/>
    </w:pPr>
    <w:rPr>
      <w:rFonts w:hAnsi="Calibri" w:eastAsia="宋体" w:cs="宋体"/>
      <w:color w:val="000000"/>
      <w:sz w:val="24"/>
      <w:szCs w:val="24"/>
    </w:rPr>
  </w:style>
  <w:style w:type="paragraph" w:customStyle="1" w:styleId="21">
    <w:name w:val="纯文本1"/>
    <w:basedOn w:val="1"/>
    <w:autoRedefine/>
    <w:qFormat/>
    <w:uiPriority w:val="0"/>
    <w:rPr>
      <w:rFonts w:ascii="宋体" w:hAnsi="Courier New"/>
      <w:szCs w:val="20"/>
    </w:rPr>
  </w:style>
  <w:style w:type="paragraph" w:customStyle="1" w:styleId="22">
    <w:name w:val="样式1"/>
    <w:basedOn w:val="12"/>
    <w:next w:val="1"/>
    <w:qFormat/>
    <w:uiPriority w:val="0"/>
    <w:rPr>
      <w:sz w:val="28"/>
      <w:szCs w:val="28"/>
    </w:rPr>
  </w:style>
  <w:style w:type="paragraph" w:customStyle="1" w:styleId="23">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24">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5">
    <w:name w:val="页眉 字符"/>
    <w:basedOn w:val="18"/>
    <w:link w:val="11"/>
    <w:autoRedefine/>
    <w:qFormat/>
    <w:uiPriority w:val="0"/>
    <w:rPr>
      <w:rFonts w:ascii="Tahoma" w:hAnsi="Tahoma" w:eastAsia="微软雅黑"/>
      <w:sz w:val="18"/>
      <w:szCs w:val="18"/>
    </w:rPr>
  </w:style>
  <w:style w:type="character" w:customStyle="1" w:styleId="26">
    <w:name w:val="页脚 字符"/>
    <w:basedOn w:val="18"/>
    <w:link w:val="10"/>
    <w:autoRedefine/>
    <w:qFormat/>
    <w:uiPriority w:val="99"/>
    <w:rPr>
      <w:rFonts w:ascii="Tahoma" w:hAnsi="Tahoma" w:eastAsia="微软雅黑"/>
      <w:sz w:val="18"/>
      <w:szCs w:val="18"/>
    </w:rPr>
  </w:style>
  <w:style w:type="character" w:customStyle="1" w:styleId="27">
    <w:name w:val="日期 字符"/>
    <w:basedOn w:val="18"/>
    <w:link w:val="8"/>
    <w:autoRedefine/>
    <w:qFormat/>
    <w:uiPriority w:val="0"/>
    <w:rPr>
      <w:rFonts w:ascii="宋体" w:hAnsi="宋体"/>
      <w:b/>
      <w:bCs/>
      <w:kern w:val="2"/>
      <w:sz w:val="36"/>
      <w:szCs w:val="24"/>
    </w:rPr>
  </w:style>
  <w:style w:type="character" w:customStyle="1" w:styleId="28">
    <w:name w:val="正文文本缩进 3 字符"/>
    <w:basedOn w:val="18"/>
    <w:link w:val="14"/>
    <w:autoRedefine/>
    <w:qFormat/>
    <w:uiPriority w:val="0"/>
    <w:rPr>
      <w:kern w:val="2"/>
      <w:sz w:val="16"/>
      <w:szCs w:val="16"/>
    </w:rPr>
  </w:style>
  <w:style w:type="paragraph" w:customStyle="1" w:styleId="29">
    <w:name w:val="普通(网站)2"/>
    <w:basedOn w:val="1"/>
    <w:autoRedefine/>
    <w:qFormat/>
    <w:uiPriority w:val="0"/>
    <w:pPr>
      <w:adjustRightInd/>
      <w:snapToGrid/>
      <w:spacing w:before="100" w:beforeAutospacing="1" w:after="100" w:afterAutospacing="1"/>
    </w:pPr>
    <w:rPr>
      <w:rFonts w:hint="eastAsia" w:ascii="宋体" w:hAnsi="宋体" w:eastAsia="宋体"/>
      <w:sz w:val="24"/>
      <w:szCs w:val="24"/>
    </w:rPr>
  </w:style>
  <w:style w:type="character" w:customStyle="1" w:styleId="30">
    <w:name w:val="批注框文本 字符"/>
    <w:basedOn w:val="18"/>
    <w:link w:val="9"/>
    <w:qFormat/>
    <w:uiPriority w:val="0"/>
    <w:rPr>
      <w:rFonts w:ascii="Tahoma" w:hAnsi="Tahoma" w:eastAsia="微软雅黑"/>
      <w:sz w:val="18"/>
      <w:szCs w:val="18"/>
    </w:rPr>
  </w:style>
  <w:style w:type="character" w:customStyle="1" w:styleId="31">
    <w:name w:val="正文文本 (2)_"/>
    <w:basedOn w:val="18"/>
    <w:link w:val="32"/>
    <w:autoRedefine/>
    <w:qFormat/>
    <w:uiPriority w:val="0"/>
    <w:rPr>
      <w:rFonts w:ascii="MingLiU" w:hAnsi="MingLiU" w:eastAsia="MingLiU" w:cs="MingLiU"/>
      <w:sz w:val="22"/>
      <w:szCs w:val="22"/>
    </w:rPr>
  </w:style>
  <w:style w:type="paragraph" w:customStyle="1" w:styleId="32">
    <w:name w:val="正文文本 (2)9"/>
    <w:basedOn w:val="1"/>
    <w:link w:val="31"/>
    <w:autoRedefine/>
    <w:qFormat/>
    <w:uiPriority w:val="0"/>
    <w:pPr>
      <w:shd w:val="clear" w:color="auto" w:fill="FFFFFF"/>
      <w:spacing w:line="499" w:lineRule="exact"/>
      <w:ind w:hanging="120"/>
      <w:jc w:val="distribute"/>
    </w:pPr>
    <w:rPr>
      <w:rFonts w:ascii="MingLiU" w:hAnsi="MingLiU" w:eastAsia="MingLiU" w:cs="MingLiU"/>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2951</Words>
  <Characters>3200</Characters>
  <Lines>15</Lines>
  <Paragraphs>4</Paragraphs>
  <TotalTime>7</TotalTime>
  <ScaleCrop>false</ScaleCrop>
  <LinksUpToDate>false</LinksUpToDate>
  <CharactersWithSpaces>3223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2019-07-17T06:23:00Z</dcterms:created>
  <dc:creator>刘统亮</dc:creator>
  <cp:lastModifiedBy>shc</cp:lastModifiedBy>
  <cp:lastPrinted>2023-05-23T00:57:00Z</cp:lastPrinted>
  <dcterms:modified xsi:type="dcterms:W3CDTF">2025-12-19T04:01:35Z</dcterms:modified>
  <dc:title>××项目竣工环境保护验收意见</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123EE267AA5847E7B21A455C9451A806</vt:lpwstr>
  </property>
  <property fmtid="{D5CDD505-2E9C-101B-9397-08002B2CF9AE}" pid="4" name="KSOTemplateDocerSaveRecord">
    <vt:lpwstr>eyJoZGlkIjoiZjBmYTc1YzNmODA4ZDhmMWMzYmQ4NjE3MGE4NzRhY2MiLCJ1c2VySWQiOiI2NDkxNjk1NjUifQ==</vt:lpwstr>
  </property>
</Properties>
</file>