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D80AA">
      <w:pPr>
        <w:pStyle w:val="9"/>
        <w:ind w:left="0" w:leftChars="0" w:firstLine="0" w:firstLineChars="0"/>
        <w:outlineLvl w:val="9"/>
      </w:pPr>
    </w:p>
    <w:p w14:paraId="64093FD0">
      <w:pPr>
        <w:widowControl w:val="0"/>
        <w:adjustRightInd/>
        <w:snapToGrid/>
        <w:spacing w:after="0" w:line="360" w:lineRule="auto"/>
        <w:ind w:firstLine="883" w:firstLineChars="200"/>
        <w:jc w:val="center"/>
        <w:outlineLvl w:val="9"/>
        <w:rPr>
          <w:rFonts w:ascii="宋体" w:hAnsi="宋体" w:eastAsia="宋体" w:cs="宋体"/>
          <w:b/>
          <w:bCs/>
          <w:color w:val="000000"/>
          <w:kern w:val="2"/>
          <w:sz w:val="44"/>
          <w:szCs w:val="44"/>
        </w:rPr>
      </w:pPr>
    </w:p>
    <w:p w14:paraId="140E5E43">
      <w:pPr>
        <w:widowControl w:val="0"/>
        <w:adjustRightInd/>
        <w:snapToGrid/>
        <w:spacing w:after="0" w:line="360" w:lineRule="auto"/>
        <w:ind w:firstLine="883" w:firstLineChars="200"/>
        <w:jc w:val="center"/>
        <w:outlineLvl w:val="9"/>
        <w:rPr>
          <w:rFonts w:ascii="宋体" w:hAnsi="宋体" w:eastAsia="宋体" w:cs="宋体"/>
          <w:b/>
          <w:bCs/>
          <w:color w:val="000000"/>
          <w:kern w:val="2"/>
          <w:sz w:val="44"/>
          <w:szCs w:val="44"/>
        </w:rPr>
      </w:pPr>
    </w:p>
    <w:p w14:paraId="2752F8B6">
      <w:pPr>
        <w:widowControl w:val="0"/>
        <w:adjustRightInd/>
        <w:snapToGrid/>
        <w:spacing w:after="0" w:line="360" w:lineRule="auto"/>
        <w:jc w:val="center"/>
        <w:outlineLvl w:val="9"/>
        <w:rPr>
          <w:rFonts w:hint="eastAsia" w:ascii="宋体" w:hAnsi="宋体" w:eastAsia="宋体" w:cs="宋体"/>
          <w:b/>
          <w:bCs/>
          <w:color w:val="000000"/>
          <w:kern w:val="2"/>
          <w:sz w:val="44"/>
          <w:szCs w:val="44"/>
          <w:lang w:eastAsia="zh-CN"/>
        </w:rPr>
      </w:pPr>
      <w:bookmarkStart w:id="0" w:name="OLE_LINK26"/>
      <w:r>
        <w:rPr>
          <w:rFonts w:hint="eastAsia" w:ascii="宋体" w:hAnsi="宋体" w:eastAsia="宋体" w:cs="宋体"/>
          <w:b/>
          <w:bCs/>
          <w:color w:val="000000"/>
          <w:kern w:val="2"/>
          <w:sz w:val="44"/>
          <w:szCs w:val="44"/>
          <w:lang w:eastAsia="zh-CN"/>
        </w:rPr>
        <w:t>长春名玺报废汽车回收拆解有限公司建设项目</w:t>
      </w:r>
      <w:bookmarkEnd w:id="0"/>
    </w:p>
    <w:p w14:paraId="04D0B599">
      <w:pPr>
        <w:widowControl w:val="0"/>
        <w:adjustRightInd/>
        <w:snapToGrid/>
        <w:spacing w:after="0" w:line="360" w:lineRule="auto"/>
        <w:jc w:val="center"/>
        <w:outlineLvl w:val="9"/>
        <w:rPr>
          <w:rFonts w:ascii="宋体" w:hAnsi="宋体" w:eastAsia="宋体" w:cs="宋体"/>
          <w:kern w:val="2"/>
          <w:sz w:val="44"/>
          <w:szCs w:val="44"/>
        </w:rPr>
      </w:pPr>
      <w:r>
        <w:rPr>
          <w:rFonts w:hint="eastAsia" w:ascii="宋体" w:hAnsi="宋体" w:eastAsia="宋体" w:cs="宋体"/>
          <w:b/>
          <w:bCs/>
          <w:color w:val="000000"/>
          <w:kern w:val="2"/>
          <w:sz w:val="44"/>
          <w:szCs w:val="44"/>
        </w:rPr>
        <w:t>竣工环境保护验收监测报告表</w:t>
      </w:r>
    </w:p>
    <w:p w14:paraId="77CA0201">
      <w:pPr>
        <w:spacing w:line="360" w:lineRule="auto"/>
        <w:jc w:val="center"/>
        <w:outlineLvl w:val="9"/>
        <w:rPr>
          <w:rFonts w:ascii="仿宋_GB2312" w:eastAsia="仿宋_GB2312" w:cs="Times New Roman"/>
          <w:b/>
          <w:color w:val="000000" w:themeColor="text1"/>
          <w:sz w:val="28"/>
          <w:highlight w:val="yellow"/>
          <w14:textFill>
            <w14:solidFill>
              <w14:schemeClr w14:val="tx1"/>
            </w14:solidFill>
          </w14:textFill>
        </w:rPr>
      </w:pPr>
    </w:p>
    <w:p w14:paraId="371C3BD4">
      <w:pPr>
        <w:jc w:val="center"/>
        <w:outlineLvl w:val="9"/>
        <w:rPr>
          <w:rFonts w:ascii="仿宋_GB2312" w:eastAsia="仿宋_GB2312" w:cs="Times New Roman"/>
          <w:b/>
          <w:color w:val="000000"/>
          <w:sz w:val="28"/>
        </w:rPr>
      </w:pPr>
    </w:p>
    <w:p w14:paraId="1E6C6117">
      <w:pPr>
        <w:pStyle w:val="9"/>
        <w:outlineLvl w:val="9"/>
        <w:rPr>
          <w:rFonts w:ascii="仿宋_GB2312" w:eastAsia="仿宋_GB2312" w:cs="Times New Roman"/>
          <w:b/>
          <w:color w:val="000000"/>
          <w:sz w:val="28"/>
        </w:rPr>
      </w:pPr>
    </w:p>
    <w:p w14:paraId="2F8392AD">
      <w:pPr>
        <w:outlineLvl w:val="9"/>
      </w:pPr>
    </w:p>
    <w:p w14:paraId="3EAED6BE">
      <w:pPr>
        <w:jc w:val="center"/>
        <w:outlineLvl w:val="9"/>
        <w:rPr>
          <w:rFonts w:ascii="仿宋_GB2312" w:eastAsia="仿宋_GB2312" w:cs="Times New Roman"/>
          <w:b/>
          <w:color w:val="000000"/>
          <w:sz w:val="28"/>
        </w:rPr>
      </w:pPr>
    </w:p>
    <w:p w14:paraId="741AC4AB">
      <w:pPr>
        <w:jc w:val="center"/>
        <w:outlineLvl w:val="9"/>
        <w:rPr>
          <w:rFonts w:ascii="仿宋_GB2312" w:eastAsia="仿宋_GB2312" w:cs="Times New Roman"/>
          <w:b/>
          <w:color w:val="000000"/>
          <w:sz w:val="28"/>
        </w:rPr>
      </w:pPr>
    </w:p>
    <w:p w14:paraId="648F9D06">
      <w:pPr>
        <w:outlineLvl w:val="9"/>
        <w:rPr>
          <w:rFonts w:ascii="仿宋" w:hAnsi="仿宋" w:eastAsia="仿宋" w:cs="Times New Roman"/>
          <w:b/>
          <w:color w:val="000000"/>
          <w:sz w:val="28"/>
          <w:szCs w:val="28"/>
        </w:rPr>
      </w:pPr>
    </w:p>
    <w:p w14:paraId="1BFF4190">
      <w:pPr>
        <w:outlineLvl w:val="9"/>
        <w:rPr>
          <w:rFonts w:ascii="仿宋" w:hAnsi="仿宋" w:eastAsia="仿宋" w:cs="Times New Roman"/>
          <w:b/>
          <w:color w:val="000000"/>
          <w:sz w:val="28"/>
          <w:szCs w:val="28"/>
        </w:rPr>
      </w:pPr>
    </w:p>
    <w:p w14:paraId="79F77B7E">
      <w:pPr>
        <w:outlineLvl w:val="9"/>
        <w:rPr>
          <w:rFonts w:ascii="仿宋" w:hAnsi="仿宋" w:eastAsia="仿宋" w:cs="Times New Roman"/>
          <w:b/>
          <w:color w:val="000000"/>
          <w:sz w:val="28"/>
          <w:szCs w:val="28"/>
        </w:rPr>
      </w:pPr>
    </w:p>
    <w:p w14:paraId="1BE0C61F">
      <w:pPr>
        <w:outlineLvl w:val="9"/>
        <w:rPr>
          <w:rFonts w:ascii="仿宋" w:hAnsi="仿宋" w:eastAsia="仿宋" w:cs="Times New Roman"/>
          <w:b/>
          <w:color w:val="000000"/>
          <w:sz w:val="28"/>
          <w:szCs w:val="28"/>
        </w:rPr>
      </w:pPr>
    </w:p>
    <w:p w14:paraId="24FB3B22">
      <w:pPr>
        <w:jc w:val="center"/>
        <w:outlineLvl w:val="9"/>
        <w:rPr>
          <w:rFonts w:hint="default" w:ascii="仿宋" w:hAnsi="仿宋" w:eastAsia="仿宋" w:cs="Times New Roman"/>
          <w:b/>
          <w:color w:val="000000"/>
          <w:sz w:val="28"/>
          <w:szCs w:val="28"/>
          <w:u w:val="single"/>
          <w:lang w:val="en-US" w:eastAsia="zh-CN"/>
        </w:rPr>
      </w:pPr>
      <w:r>
        <w:rPr>
          <w:rFonts w:hint="eastAsia" w:ascii="仿宋" w:hAnsi="仿宋" w:eastAsia="仿宋" w:cs="Times New Roman"/>
          <w:b/>
          <w:color w:val="000000"/>
          <w:sz w:val="28"/>
          <w:szCs w:val="28"/>
        </w:rPr>
        <w:t>建设单位:</w:t>
      </w:r>
      <w:r>
        <w:rPr>
          <w:rFonts w:ascii="仿宋" w:hAnsi="仿宋" w:eastAsia="仿宋" w:cs="Times New Roman"/>
          <w:b/>
          <w:color w:val="000000"/>
          <w:sz w:val="28"/>
          <w:szCs w:val="28"/>
          <w:u w:val="single"/>
        </w:rPr>
        <w:t xml:space="preserve">  </w:t>
      </w:r>
      <w:r>
        <w:rPr>
          <w:rFonts w:hint="eastAsia" w:ascii="仿宋" w:hAnsi="仿宋" w:eastAsia="仿宋" w:cs="Times New Roman"/>
          <w:b/>
          <w:color w:val="000000"/>
          <w:sz w:val="28"/>
          <w:szCs w:val="28"/>
          <w:u w:val="single"/>
          <w:lang w:eastAsia="zh-CN"/>
        </w:rPr>
        <w:t>长春名玺报废汽车回收拆解有限公司</w:t>
      </w:r>
      <w:r>
        <w:rPr>
          <w:rFonts w:hint="eastAsia" w:ascii="仿宋" w:hAnsi="仿宋" w:eastAsia="仿宋" w:cs="Times New Roman"/>
          <w:b/>
          <w:color w:val="000000"/>
          <w:sz w:val="28"/>
          <w:szCs w:val="28"/>
          <w:u w:val="single"/>
          <w:lang w:val="en-US" w:eastAsia="zh-CN"/>
        </w:rPr>
        <w:t xml:space="preserve">  </w:t>
      </w:r>
    </w:p>
    <w:p w14:paraId="3CA91495">
      <w:pPr>
        <w:spacing w:before="360" w:beforeLines="150" w:line="360" w:lineRule="auto"/>
        <w:jc w:val="center"/>
        <w:outlineLvl w:val="9"/>
        <w:rPr>
          <w:rFonts w:hint="default" w:ascii="仿宋" w:hAnsi="仿宋" w:eastAsia="仿宋" w:cs="Times New Roman"/>
          <w:b/>
          <w:color w:val="000000"/>
          <w:sz w:val="28"/>
          <w:szCs w:val="28"/>
          <w:lang w:val="en-US" w:eastAsia="zh-CN"/>
        </w:rPr>
      </w:pPr>
      <w:r>
        <w:rPr>
          <w:rFonts w:hint="eastAsia" w:ascii="仿宋" w:hAnsi="仿宋" w:eastAsia="仿宋" w:cs="Times New Roman"/>
          <w:b/>
          <w:color w:val="000000"/>
          <w:sz w:val="28"/>
          <w:szCs w:val="28"/>
        </w:rPr>
        <w:t>编制单位:</w:t>
      </w:r>
      <w:r>
        <w:rPr>
          <w:rFonts w:hint="eastAsia" w:ascii="仿宋" w:hAnsi="仿宋" w:eastAsia="仿宋" w:cs="Times New Roman"/>
          <w:b/>
          <w:color w:val="000000"/>
          <w:sz w:val="28"/>
          <w:szCs w:val="28"/>
          <w:u w:val="single"/>
        </w:rPr>
        <w:t xml:space="preserve">  </w:t>
      </w:r>
      <w:r>
        <w:rPr>
          <w:rFonts w:hint="eastAsia" w:ascii="仿宋" w:hAnsi="仿宋" w:eastAsia="仿宋" w:cs="Times New Roman"/>
          <w:b/>
          <w:color w:val="000000"/>
          <w:sz w:val="28"/>
          <w:szCs w:val="28"/>
          <w:u w:val="single"/>
          <w:lang w:eastAsia="zh-CN"/>
        </w:rPr>
        <w:t>长春名玺报废汽车回收拆解有限公司</w:t>
      </w:r>
      <w:r>
        <w:rPr>
          <w:rFonts w:hint="eastAsia" w:ascii="仿宋" w:hAnsi="仿宋" w:eastAsia="仿宋" w:cs="Times New Roman"/>
          <w:b/>
          <w:color w:val="000000"/>
          <w:sz w:val="28"/>
          <w:szCs w:val="28"/>
          <w:u w:val="single"/>
          <w:lang w:val="en-US" w:eastAsia="zh-CN"/>
        </w:rPr>
        <w:t xml:space="preserve">  </w:t>
      </w:r>
    </w:p>
    <w:p w14:paraId="0CF824AE">
      <w:pPr>
        <w:outlineLvl w:val="9"/>
        <w:rPr>
          <w:rFonts w:ascii="华文新魏" w:eastAsia="华文新魏" w:cs="Times New Roman"/>
          <w:b/>
          <w:color w:val="000000"/>
          <w:sz w:val="28"/>
          <w:szCs w:val="28"/>
        </w:rPr>
      </w:pPr>
    </w:p>
    <w:p w14:paraId="53FD6532">
      <w:pPr>
        <w:jc w:val="center"/>
        <w:outlineLvl w:val="9"/>
        <w:rPr>
          <w:rFonts w:ascii="Times New Roman" w:hAnsi="Times New Roman" w:eastAsia="仿宋" w:cs="Times New Roman"/>
          <w:b/>
          <w:color w:val="000000"/>
          <w:sz w:val="28"/>
          <w:szCs w:val="28"/>
        </w:rPr>
      </w:pPr>
      <w:r>
        <w:rPr>
          <w:rFonts w:hint="eastAsia" w:ascii="Times New Roman" w:hAnsi="Times New Roman" w:eastAsia="仿宋" w:cs="Times New Roman"/>
          <w:b/>
          <w:color w:val="000000"/>
          <w:sz w:val="28"/>
          <w:szCs w:val="28"/>
        </w:rPr>
        <w:t>202</w:t>
      </w:r>
      <w:r>
        <w:rPr>
          <w:rFonts w:hint="eastAsia" w:ascii="Times New Roman" w:hAnsi="Times New Roman" w:eastAsia="仿宋" w:cs="Times New Roman"/>
          <w:b/>
          <w:color w:val="000000"/>
          <w:sz w:val="28"/>
          <w:szCs w:val="28"/>
          <w:lang w:val="en-US" w:eastAsia="zh-CN"/>
        </w:rPr>
        <w:t>6</w:t>
      </w:r>
      <w:r>
        <w:rPr>
          <w:rFonts w:hint="eastAsia" w:ascii="Times New Roman" w:hAnsi="Times New Roman" w:eastAsia="仿宋" w:cs="Times New Roman"/>
          <w:b/>
          <w:color w:val="000000"/>
          <w:sz w:val="28"/>
          <w:szCs w:val="28"/>
        </w:rPr>
        <w:t>年</w:t>
      </w:r>
      <w:r>
        <w:rPr>
          <w:rFonts w:hint="eastAsia" w:ascii="Times New Roman" w:hAnsi="Times New Roman" w:eastAsia="仿宋" w:cs="Times New Roman"/>
          <w:b/>
          <w:color w:val="000000"/>
          <w:sz w:val="28"/>
          <w:szCs w:val="28"/>
          <w:lang w:val="en-US" w:eastAsia="zh-CN"/>
        </w:rPr>
        <w:t>1</w:t>
      </w:r>
      <w:r>
        <w:rPr>
          <w:rFonts w:hint="eastAsia" w:ascii="Times New Roman" w:hAnsi="Times New Roman" w:eastAsia="仿宋" w:cs="Times New Roman"/>
          <w:b/>
          <w:color w:val="000000"/>
          <w:sz w:val="28"/>
          <w:szCs w:val="28"/>
        </w:rPr>
        <w:t>月</w:t>
      </w:r>
    </w:p>
    <w:p w14:paraId="2950CD51">
      <w:pPr>
        <w:outlineLvl w:val="9"/>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BC5E397">
      <w:pPr>
        <w:spacing w:line="360" w:lineRule="auto"/>
        <w:outlineLvl w:val="9"/>
        <w:rPr>
          <w:rFonts w:hint="eastAsia" w:ascii="宋体" w:hAnsi="宋体" w:eastAsia="宋体" w:cs="宋体"/>
          <w:sz w:val="24"/>
          <w:szCs w:val="24"/>
        </w:rPr>
      </w:pPr>
    </w:p>
    <w:p w14:paraId="22F61BE5">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长春名玺报废汽车回收拆解有限公司建设项目</w:t>
      </w:r>
    </w:p>
    <w:p w14:paraId="2DC6E89D">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建设单位：</w:t>
      </w:r>
      <w:r>
        <w:rPr>
          <w:rFonts w:hint="eastAsia" w:ascii="宋体" w:hAnsi="宋体" w:eastAsia="宋体" w:cs="宋体"/>
          <w:sz w:val="24"/>
          <w:szCs w:val="24"/>
          <w:lang w:eastAsia="zh-CN"/>
        </w:rPr>
        <w:t>长春名玺报废汽车回收拆解有限公司</w:t>
      </w:r>
    </w:p>
    <w:p w14:paraId="462A2047">
      <w:pPr>
        <w:spacing w:line="360" w:lineRule="auto"/>
        <w:outlineLvl w:val="9"/>
        <w:rPr>
          <w:rFonts w:hint="eastAsia"/>
          <w:color w:val="000000"/>
          <w:sz w:val="28"/>
          <w:szCs w:val="28"/>
          <w:lang w:eastAsia="zh-CN"/>
        </w:rPr>
      </w:pPr>
      <w:r>
        <w:rPr>
          <w:rFonts w:hint="eastAsia" w:ascii="宋体" w:hAnsi="宋体" w:eastAsia="宋体" w:cs="宋体"/>
          <w:sz w:val="24"/>
          <w:szCs w:val="24"/>
        </w:rPr>
        <w:t>法人代表：</w:t>
      </w:r>
      <w:r>
        <w:rPr>
          <w:rFonts w:hint="eastAsia" w:ascii="宋体" w:hAnsi="宋体" w:eastAsia="宋体" w:cs="宋体"/>
          <w:sz w:val="24"/>
          <w:szCs w:val="24"/>
          <w:lang w:val="en-US" w:eastAsia="zh-CN"/>
        </w:rPr>
        <w:t>陈白鸽</w:t>
      </w:r>
    </w:p>
    <w:p w14:paraId="7340F3D5">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编制单位：</w:t>
      </w:r>
      <w:r>
        <w:rPr>
          <w:rFonts w:hint="eastAsia" w:ascii="宋体" w:hAnsi="宋体" w:eastAsia="宋体" w:cs="宋体"/>
          <w:sz w:val="24"/>
          <w:szCs w:val="24"/>
          <w:lang w:eastAsia="zh-CN"/>
        </w:rPr>
        <w:t>长春名玺报废汽车回收拆解有限公司</w:t>
      </w:r>
    </w:p>
    <w:p w14:paraId="7616C327">
      <w:pPr>
        <w:spacing w:line="360" w:lineRule="auto"/>
        <w:outlineLvl w:val="9"/>
        <w:rPr>
          <w:rFonts w:hint="eastAsia" w:ascii="宋体" w:hAnsi="宋体" w:eastAsia="宋体" w:cs="宋体"/>
          <w:sz w:val="24"/>
          <w:szCs w:val="24"/>
          <w:lang w:eastAsia="zh-CN"/>
        </w:rPr>
      </w:pPr>
      <w:r>
        <w:rPr>
          <w:rFonts w:hint="eastAsia" w:ascii="宋体" w:hAnsi="宋体" w:eastAsia="宋体" w:cs="宋体"/>
          <w:sz w:val="24"/>
          <w:szCs w:val="24"/>
        </w:rPr>
        <w:t>法人代表：</w:t>
      </w:r>
      <w:r>
        <w:rPr>
          <w:rFonts w:hint="eastAsia" w:ascii="宋体" w:hAnsi="宋体" w:eastAsia="宋体" w:cs="宋体"/>
          <w:sz w:val="24"/>
          <w:szCs w:val="24"/>
          <w:lang w:val="en-US" w:eastAsia="zh-CN"/>
        </w:rPr>
        <w:t>陈白鸽</w:t>
      </w:r>
    </w:p>
    <w:p w14:paraId="101C8936">
      <w:pPr>
        <w:spacing w:line="360" w:lineRule="auto"/>
        <w:outlineLvl w:val="9"/>
        <w:rPr>
          <w:rFonts w:hint="default" w:ascii="宋体" w:hAnsi="宋体" w:eastAsia="宋体" w:cs="宋体"/>
          <w:sz w:val="24"/>
          <w:szCs w:val="24"/>
          <w:lang w:val="en-US" w:eastAsia="zh-CN"/>
        </w:rPr>
      </w:pPr>
      <w:r>
        <w:rPr>
          <w:rFonts w:hint="eastAsia" w:ascii="宋体" w:hAnsi="宋体" w:eastAsia="宋体" w:cs="宋体"/>
          <w:sz w:val="24"/>
          <w:szCs w:val="24"/>
        </w:rPr>
        <w:t>项目负责人：</w:t>
      </w:r>
      <w:r>
        <w:rPr>
          <w:rFonts w:hint="eastAsia" w:ascii="宋体" w:hAnsi="宋体" w:eastAsia="宋体" w:cs="宋体"/>
          <w:sz w:val="24"/>
          <w:szCs w:val="24"/>
          <w:lang w:val="en-US" w:eastAsia="zh-CN"/>
        </w:rPr>
        <w:t>陈白鸽</w:t>
      </w:r>
    </w:p>
    <w:p w14:paraId="2AD1BCAA">
      <w:pPr>
        <w:spacing w:line="360" w:lineRule="auto"/>
        <w:outlineLvl w:val="9"/>
        <w:rPr>
          <w:rFonts w:hint="eastAsia" w:ascii="宋体" w:hAnsi="宋体" w:eastAsia="宋体" w:cs="宋体"/>
          <w:color w:val="FF0000"/>
          <w:sz w:val="24"/>
          <w:szCs w:val="24"/>
          <w:lang w:val="en-US" w:eastAsia="zh-CN"/>
        </w:rPr>
      </w:pPr>
      <w:r>
        <w:rPr>
          <w:rFonts w:hint="eastAsia" w:ascii="宋体" w:hAnsi="宋体" w:eastAsia="宋体" w:cs="宋体"/>
          <w:sz w:val="24"/>
          <w:szCs w:val="24"/>
        </w:rPr>
        <w:t>报告编写人：</w:t>
      </w:r>
      <w:r>
        <w:rPr>
          <w:rFonts w:hint="eastAsia" w:ascii="宋体" w:hAnsi="宋体" w:eastAsia="宋体" w:cs="宋体"/>
          <w:sz w:val="24"/>
          <w:szCs w:val="24"/>
          <w:lang w:val="en-US" w:eastAsia="zh-CN"/>
        </w:rPr>
        <w:t>赵楠</w:t>
      </w:r>
    </w:p>
    <w:p w14:paraId="62E13D5A">
      <w:pPr>
        <w:spacing w:line="360" w:lineRule="auto"/>
        <w:outlineLvl w:val="9"/>
        <w:rPr>
          <w:rFonts w:hint="eastAsia" w:ascii="宋体" w:hAnsi="宋体" w:eastAsia="宋体" w:cs="宋体"/>
          <w:sz w:val="24"/>
          <w:szCs w:val="24"/>
          <w:lang w:eastAsia="zh-CN"/>
        </w:rPr>
      </w:pPr>
      <w:r>
        <w:rPr>
          <w:rFonts w:hint="eastAsia" w:ascii="宋体" w:hAnsi="宋体" w:eastAsia="宋体" w:cs="宋体"/>
          <w:color w:val="000000" w:themeColor="text1"/>
          <w:sz w:val="24"/>
          <w:szCs w:val="24"/>
          <w14:textFill>
            <w14:solidFill>
              <w14:schemeClr w14:val="tx1"/>
            </w14:solidFill>
          </w14:textFill>
        </w:rPr>
        <w:t>检测单位：</w:t>
      </w:r>
      <w:r>
        <w:rPr>
          <w:rFonts w:hint="eastAsia" w:ascii="宋体" w:hAnsi="宋体" w:eastAsia="宋体" w:cs="宋体"/>
          <w:color w:val="000000" w:themeColor="text1"/>
          <w:sz w:val="24"/>
          <w:szCs w:val="24"/>
          <w:lang w:val="en-US" w:eastAsia="zh-CN"/>
          <w14:textFill>
            <w14:solidFill>
              <w14:schemeClr w14:val="tx1"/>
            </w14:solidFill>
          </w14:textFill>
        </w:rPr>
        <w:t>吉林省中孚检测技术服务有限公司</w:t>
      </w:r>
    </w:p>
    <w:p w14:paraId="0B879B12">
      <w:pPr>
        <w:spacing w:line="360" w:lineRule="auto"/>
        <w:outlineLvl w:val="9"/>
        <w:rPr>
          <w:rFonts w:asciiTheme="minorEastAsia" w:hAnsiTheme="minorEastAsia" w:eastAsiaTheme="minorEastAsia" w:cstheme="minorEastAsia"/>
          <w:color w:val="000000"/>
          <w:sz w:val="28"/>
        </w:rPr>
      </w:pPr>
    </w:p>
    <w:p w14:paraId="3ADD3512">
      <w:pPr>
        <w:pStyle w:val="9"/>
      </w:pPr>
    </w:p>
    <w:p w14:paraId="130C9F9D">
      <w:pPr>
        <w:spacing w:line="360" w:lineRule="auto"/>
        <w:outlineLvl w:val="9"/>
        <w:rPr>
          <w:rFonts w:asciiTheme="minorEastAsia" w:hAnsiTheme="minorEastAsia" w:eastAsiaTheme="minorEastAsia" w:cstheme="minorEastAsia"/>
          <w:color w:val="000000"/>
          <w:sz w:val="28"/>
        </w:rPr>
      </w:pPr>
    </w:p>
    <w:p w14:paraId="3676AD1F">
      <w:pPr>
        <w:widowControl w:val="0"/>
        <w:autoSpaceDE w:val="0"/>
        <w:autoSpaceDN w:val="0"/>
        <w:spacing w:line="360" w:lineRule="auto"/>
        <w:outlineLvl w:val="9"/>
        <w:rPr>
          <w:rFonts w:ascii="宋体" w:hAnsi="宋体" w:eastAsia="宋体" w:cs="宋体"/>
          <w:bCs/>
          <w:color w:val="000000"/>
          <w:sz w:val="21"/>
          <w:szCs w:val="21"/>
        </w:rPr>
      </w:pPr>
    </w:p>
    <w:p w14:paraId="1C799CC5">
      <w:pPr>
        <w:widowControl w:val="0"/>
        <w:autoSpaceDE w:val="0"/>
        <w:autoSpaceDN w:val="0"/>
        <w:spacing w:line="360" w:lineRule="auto"/>
        <w:outlineLvl w:val="9"/>
        <w:rPr>
          <w:rFonts w:ascii="宋体" w:hAnsi="宋体" w:eastAsia="宋体" w:cs="宋体"/>
          <w:bCs/>
          <w:color w:val="000000"/>
          <w:sz w:val="21"/>
          <w:szCs w:val="21"/>
        </w:rPr>
      </w:pPr>
    </w:p>
    <w:p w14:paraId="1AC9F17D">
      <w:pPr>
        <w:widowControl w:val="0"/>
        <w:autoSpaceDE w:val="0"/>
        <w:autoSpaceDN w:val="0"/>
        <w:snapToGrid/>
        <w:spacing w:after="0" w:line="360" w:lineRule="auto"/>
        <w:outlineLvl w:val="9"/>
        <w:rPr>
          <w:rFonts w:ascii="Times New Roman" w:hAnsi="Times New Roman" w:eastAsia="宋体" w:cs="Times New Roman"/>
          <w:bCs/>
          <w:color w:val="000000"/>
          <w:sz w:val="21"/>
          <w:szCs w:val="21"/>
        </w:rPr>
      </w:pPr>
    </w:p>
    <w:tbl>
      <w:tblPr>
        <w:tblStyle w:val="10"/>
        <w:tblW w:w="9389" w:type="dxa"/>
        <w:tblInd w:w="0" w:type="dxa"/>
        <w:tblLayout w:type="fixed"/>
        <w:tblCellMar>
          <w:top w:w="0" w:type="dxa"/>
          <w:left w:w="108" w:type="dxa"/>
          <w:bottom w:w="0" w:type="dxa"/>
          <w:right w:w="108" w:type="dxa"/>
        </w:tblCellMar>
      </w:tblPr>
      <w:tblGrid>
        <w:gridCol w:w="4499"/>
        <w:gridCol w:w="469"/>
        <w:gridCol w:w="4421"/>
      </w:tblGrid>
      <w:tr w14:paraId="241A861A">
        <w:tblPrEx>
          <w:tblCellMar>
            <w:top w:w="0" w:type="dxa"/>
            <w:left w:w="108" w:type="dxa"/>
            <w:bottom w:w="0" w:type="dxa"/>
            <w:right w:w="108" w:type="dxa"/>
          </w:tblCellMar>
        </w:tblPrEx>
        <w:trPr>
          <w:trHeight w:val="3516" w:hRule="atLeast"/>
        </w:trPr>
        <w:tc>
          <w:tcPr>
            <w:tcW w:w="4499" w:type="dxa"/>
            <w:noWrap w:val="0"/>
            <w:vAlign w:val="top"/>
          </w:tcPr>
          <w:p w14:paraId="65C53915">
            <w:pPr>
              <w:ind w:left="12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w:t>
            </w:r>
            <w:r>
              <w:rPr>
                <w:rFonts w:hint="default" w:ascii="Times New Roman" w:hAnsi="Times New Roman" w:eastAsia="宋体" w:cs="Times New Roman"/>
                <w:sz w:val="24"/>
                <w:szCs w:val="24"/>
                <w:lang w:eastAsia="zh-CN"/>
              </w:rPr>
              <w:t>长春名玺报废汽车回收拆解有限公司</w:t>
            </w:r>
          </w:p>
          <w:p w14:paraId="7631FA5A">
            <w:pPr>
              <w:ind w:firstLine="0" w:firstLineChars="0"/>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color w:val="000000"/>
                <w:sz w:val="24"/>
                <w:szCs w:val="24"/>
              </w:rPr>
              <w:t>电    话：</w:t>
            </w:r>
            <w:r>
              <w:rPr>
                <w:rFonts w:hint="default" w:ascii="Times New Roman" w:hAnsi="Times New Roman" w:cs="Times New Roman"/>
                <w:sz w:val="24"/>
                <w:szCs w:val="24"/>
                <w:lang w:val="en-US" w:eastAsia="zh-CN"/>
              </w:rPr>
              <w:t>13214415678</w:t>
            </w:r>
          </w:p>
          <w:p w14:paraId="2FDDF057">
            <w:pPr>
              <w:ind w:firstLine="0" w:firstLineChars="0"/>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传    真：</w:t>
            </w:r>
            <w:r>
              <w:rPr>
                <w:rFonts w:hint="eastAsia" w:ascii="Times New Roman" w:hAnsi="Times New Roman" w:eastAsia="宋体" w:cs="Times New Roman"/>
                <w:color w:val="000000"/>
                <w:sz w:val="24"/>
                <w:szCs w:val="24"/>
                <w:lang w:val="en-US" w:eastAsia="zh-CN"/>
              </w:rPr>
              <w:t>--</w:t>
            </w:r>
          </w:p>
          <w:p w14:paraId="4E05D612">
            <w:pPr>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邮    编：13</w:t>
            </w:r>
            <w:r>
              <w:rPr>
                <w:rFonts w:hint="default" w:ascii="Times New Roman" w:hAnsi="Times New Roman" w:eastAsia="宋体" w:cs="Times New Roman"/>
                <w:color w:val="000000"/>
                <w:sz w:val="24"/>
                <w:szCs w:val="24"/>
                <w:lang w:val="en-US" w:eastAsia="zh-CN"/>
              </w:rPr>
              <w:t>00</w:t>
            </w:r>
            <w:r>
              <w:rPr>
                <w:rFonts w:hint="default" w:ascii="Times New Roman" w:hAnsi="Times New Roman" w:eastAsia="宋体" w:cs="Times New Roman"/>
                <w:color w:val="000000"/>
                <w:sz w:val="24"/>
                <w:szCs w:val="24"/>
              </w:rPr>
              <w:t>00</w:t>
            </w:r>
          </w:p>
          <w:p w14:paraId="10A6CB6D">
            <w:pPr>
              <w:spacing w:line="240" w:lineRule="auto"/>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地    址：</w:t>
            </w:r>
            <w:r>
              <w:rPr>
                <w:rFonts w:hint="default" w:ascii="Times New Roman" w:hAnsi="Times New Roman" w:eastAsia="宋体" w:cs="Times New Roman"/>
                <w:b w:val="0"/>
                <w:bCs/>
                <w:color w:val="auto"/>
                <w:sz w:val="24"/>
                <w:highlight w:val="none"/>
                <w:u w:val="none"/>
                <w:lang w:val="en-US" w:eastAsia="zh-CN"/>
              </w:rPr>
              <w:t>吉林省长春市绿园区西新工业集中区皓月大路12666号（现长春市佳业汽车零配件有限公司院内）</w:t>
            </w:r>
          </w:p>
        </w:tc>
        <w:tc>
          <w:tcPr>
            <w:tcW w:w="469" w:type="dxa"/>
            <w:noWrap w:val="0"/>
            <w:vAlign w:val="top"/>
          </w:tcPr>
          <w:p w14:paraId="5446D78E">
            <w:pPr>
              <w:outlineLvl w:val="9"/>
              <w:rPr>
                <w:rFonts w:hint="default" w:ascii="Times New Roman" w:hAnsi="Times New Roman" w:eastAsia="宋体" w:cs="Times New Roman"/>
                <w:color w:val="000000"/>
                <w:sz w:val="24"/>
                <w:szCs w:val="24"/>
              </w:rPr>
            </w:pPr>
          </w:p>
        </w:tc>
        <w:tc>
          <w:tcPr>
            <w:tcW w:w="4421" w:type="dxa"/>
            <w:noWrap w:val="0"/>
            <w:vAlign w:val="top"/>
          </w:tcPr>
          <w:p w14:paraId="1D10ACB8">
            <w:pPr>
              <w:ind w:left="1200" w:hanging="1200" w:hangingChars="500"/>
              <w:outlineLvl w:val="9"/>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编制单位:</w:t>
            </w:r>
            <w:r>
              <w:rPr>
                <w:rFonts w:hint="default" w:ascii="Times New Roman" w:hAnsi="Times New Roman" w:eastAsia="宋体" w:cs="Times New Roman"/>
                <w:sz w:val="24"/>
                <w:szCs w:val="24"/>
                <w:lang w:eastAsia="zh-CN"/>
              </w:rPr>
              <w:t>长春名玺报废汽车回收拆解有限公司</w:t>
            </w:r>
          </w:p>
          <w:p w14:paraId="48BF178E">
            <w:pPr>
              <w:ind w:firstLine="0" w:firstLineChars="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电    话：</w:t>
            </w:r>
            <w:r>
              <w:rPr>
                <w:rFonts w:hint="default" w:ascii="Times New Roman" w:hAnsi="Times New Roman" w:cs="Times New Roman"/>
                <w:sz w:val="24"/>
                <w:szCs w:val="24"/>
                <w:lang w:val="en-US" w:eastAsia="zh-CN"/>
              </w:rPr>
              <w:t>13214415678</w:t>
            </w:r>
          </w:p>
          <w:p w14:paraId="16FC22BD">
            <w:pPr>
              <w:ind w:firstLine="0" w:firstLineChars="0"/>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传    真：</w:t>
            </w:r>
            <w:r>
              <w:rPr>
                <w:rFonts w:hint="eastAsia" w:ascii="Times New Roman" w:hAnsi="Times New Roman" w:eastAsia="宋体" w:cs="Times New Roman"/>
                <w:color w:val="000000"/>
                <w:sz w:val="24"/>
                <w:szCs w:val="24"/>
                <w:lang w:val="en-US" w:eastAsia="zh-CN"/>
              </w:rPr>
              <w:t>--</w:t>
            </w:r>
          </w:p>
          <w:p w14:paraId="13A234FA">
            <w:pPr>
              <w:ind w:firstLine="0" w:firstLineChars="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邮    编：13</w:t>
            </w:r>
            <w:r>
              <w:rPr>
                <w:rFonts w:hint="default" w:ascii="Times New Roman" w:hAnsi="Times New Roman" w:eastAsia="宋体" w:cs="Times New Roman"/>
                <w:color w:val="000000"/>
                <w:sz w:val="24"/>
                <w:szCs w:val="24"/>
                <w:lang w:val="en-US" w:eastAsia="zh-CN"/>
              </w:rPr>
              <w:t>00</w:t>
            </w:r>
            <w:r>
              <w:rPr>
                <w:rFonts w:hint="default" w:ascii="Times New Roman" w:hAnsi="Times New Roman" w:eastAsia="宋体" w:cs="Times New Roman"/>
                <w:color w:val="000000"/>
                <w:sz w:val="24"/>
                <w:szCs w:val="24"/>
              </w:rPr>
              <w:t>00</w:t>
            </w:r>
          </w:p>
          <w:p w14:paraId="4170C71E">
            <w:pPr>
              <w:spacing w:line="240" w:lineRule="auto"/>
              <w:ind w:left="1400" w:hanging="1200" w:hangingChars="500"/>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地    址：</w:t>
            </w:r>
            <w:r>
              <w:rPr>
                <w:rFonts w:hint="default" w:ascii="Times New Roman" w:hAnsi="Times New Roman" w:eastAsia="宋体" w:cs="Times New Roman"/>
                <w:b w:val="0"/>
                <w:bCs/>
                <w:color w:val="auto"/>
                <w:sz w:val="24"/>
                <w:highlight w:val="none"/>
                <w:u w:val="none"/>
                <w:lang w:val="en-US" w:eastAsia="zh-CN"/>
              </w:rPr>
              <w:t>吉林省长春市绿园区西新工业集中区皓月大路12666号（现长春市佳业汽车零配件有限公司院内）</w:t>
            </w:r>
          </w:p>
        </w:tc>
      </w:tr>
    </w:tbl>
    <w:p w14:paraId="7177C361">
      <w:pPr>
        <w:pStyle w:val="9"/>
        <w:ind w:left="0" w:leftChars="0" w:firstLine="0" w:firstLineChars="0"/>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5C4DCE52">
      <w:pPr>
        <w:spacing w:after="0" w:line="360" w:lineRule="auto"/>
        <w:outlineLvl w:val="0"/>
        <w:rPr>
          <w:rFonts w:hint="eastAsia" w:ascii="宋体" w:hAnsi="宋体" w:eastAsia="宋体" w:cs="宋体"/>
          <w:b/>
          <w:color w:val="000000"/>
          <w:sz w:val="24"/>
          <w:szCs w:val="24"/>
        </w:rPr>
      </w:pPr>
      <w:r>
        <w:rPr>
          <w:rFonts w:hint="eastAsia" w:ascii="宋体" w:hAnsi="宋体" w:eastAsia="宋体" w:cs="宋体"/>
          <w:b/>
          <w:color w:val="000000"/>
          <w:sz w:val="24"/>
          <w:szCs w:val="24"/>
        </w:rPr>
        <w:t>表一</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kern w:val="0"/>
          <w:sz w:val="24"/>
          <w:szCs w:val="24"/>
        </w:rPr>
        <w:t>项目概况</w:t>
      </w:r>
    </w:p>
    <w:tbl>
      <w:tblPr>
        <w:tblStyle w:val="10"/>
        <w:tblW w:w="4994"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753"/>
        <w:gridCol w:w="1476"/>
        <w:gridCol w:w="1911"/>
        <w:gridCol w:w="1126"/>
        <w:gridCol w:w="857"/>
        <w:gridCol w:w="1389"/>
      </w:tblGrid>
      <w:tr w14:paraId="509D32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128889F5">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建设项目名称</w:t>
            </w:r>
          </w:p>
        </w:tc>
        <w:tc>
          <w:tcPr>
            <w:tcW w:w="3969" w:type="pct"/>
            <w:gridSpan w:val="5"/>
            <w:vAlign w:val="center"/>
          </w:tcPr>
          <w:p w14:paraId="29782A6F">
            <w:pPr>
              <w:spacing w:after="0"/>
              <w:jc w:val="center"/>
              <w:rPr>
                <w:rFonts w:hint="eastAsia" w:asciiTheme="minorEastAsia" w:hAnsiTheme="minorEastAsia" w:eastAsiaTheme="minorEastAsia" w:cstheme="minorEastAsia"/>
                <w:color w:val="000000"/>
                <w:sz w:val="24"/>
                <w:szCs w:val="24"/>
                <w:lang w:eastAsia="zh-CN"/>
              </w:rPr>
            </w:pPr>
            <w:r>
              <w:rPr>
                <w:rFonts w:hint="eastAsia" w:ascii="宋体" w:hAnsi="宋体" w:eastAsia="宋体" w:cs="宋体"/>
                <w:sz w:val="24"/>
                <w:szCs w:val="24"/>
                <w:lang w:eastAsia="zh-CN"/>
              </w:rPr>
              <w:t>长春名玺报废汽车回收拆解有限公司建设项目</w:t>
            </w:r>
          </w:p>
        </w:tc>
      </w:tr>
      <w:tr w14:paraId="6E8E89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7EC30F0D">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建设单位名称</w:t>
            </w:r>
          </w:p>
        </w:tc>
        <w:tc>
          <w:tcPr>
            <w:tcW w:w="3969" w:type="pct"/>
            <w:gridSpan w:val="5"/>
            <w:vAlign w:val="center"/>
          </w:tcPr>
          <w:p w14:paraId="10AD7DDF">
            <w:pPr>
              <w:spacing w:after="0"/>
              <w:jc w:val="center"/>
              <w:rPr>
                <w:rFonts w:hint="eastAsia" w:asciiTheme="minorEastAsia" w:hAnsiTheme="minorEastAsia" w:eastAsiaTheme="minorEastAsia" w:cstheme="minorEastAsia"/>
                <w:color w:val="000000"/>
                <w:sz w:val="24"/>
                <w:szCs w:val="24"/>
                <w:lang w:eastAsia="zh-CN"/>
              </w:rPr>
            </w:pPr>
            <w:r>
              <w:rPr>
                <w:rFonts w:hint="eastAsia" w:ascii="宋体" w:hAnsi="宋体" w:eastAsia="宋体" w:cs="宋体"/>
                <w:sz w:val="24"/>
                <w:szCs w:val="24"/>
                <w:lang w:eastAsia="zh-CN"/>
              </w:rPr>
              <w:t>长春名玺报废汽车回收拆解有限公司</w:t>
            </w:r>
          </w:p>
        </w:tc>
      </w:tr>
      <w:tr w14:paraId="33857B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0C3169EC">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建设项目性质</w:t>
            </w:r>
          </w:p>
        </w:tc>
        <w:tc>
          <w:tcPr>
            <w:tcW w:w="3969" w:type="pct"/>
            <w:gridSpan w:val="5"/>
            <w:vAlign w:val="center"/>
          </w:tcPr>
          <w:p w14:paraId="2FDE3255">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新建</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color w:val="000000"/>
                <w:sz w:val="24"/>
                <w:szCs w:val="24"/>
              </w:rPr>
              <w:t xml:space="preserve">  改扩建   技改 迁建</w:t>
            </w:r>
          </w:p>
        </w:tc>
      </w:tr>
      <w:tr w14:paraId="51F623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0C15DEF1">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建设地点</w:t>
            </w:r>
          </w:p>
        </w:tc>
        <w:tc>
          <w:tcPr>
            <w:tcW w:w="3969" w:type="pct"/>
            <w:gridSpan w:val="5"/>
            <w:vAlign w:val="center"/>
          </w:tcPr>
          <w:p w14:paraId="6C4CD4BE">
            <w:pPr>
              <w:spacing w:after="0"/>
              <w:jc w:val="center"/>
              <w:rPr>
                <w:rFonts w:hint="eastAsia" w:asciiTheme="minorEastAsia" w:hAnsiTheme="minorEastAsia" w:eastAsiaTheme="minorEastAsia" w:cstheme="minorEastAsia"/>
                <w:color w:val="000000"/>
                <w:sz w:val="24"/>
                <w:szCs w:val="24"/>
                <w:lang w:eastAsia="zh-CN"/>
              </w:rPr>
            </w:pPr>
            <w:r>
              <w:rPr>
                <w:rFonts w:hint="eastAsia" w:ascii="Times New Roman" w:hAnsi="Times New Roman" w:eastAsia="宋体" w:cs="Times New Roman"/>
                <w:b w:val="0"/>
                <w:bCs/>
                <w:color w:val="auto"/>
                <w:sz w:val="24"/>
                <w:highlight w:val="none"/>
                <w:u w:val="none"/>
                <w:lang w:val="en-US" w:eastAsia="zh-CN"/>
              </w:rPr>
              <w:t>吉林省长春市绿园区西新工业集中区皓月大路12666号（现长春市佳业汽车零配件有限公司院内）</w:t>
            </w:r>
          </w:p>
        </w:tc>
      </w:tr>
      <w:tr w14:paraId="301C70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0B8A9CBA">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主要产品</w:t>
            </w:r>
          </w:p>
        </w:tc>
        <w:tc>
          <w:tcPr>
            <w:tcW w:w="3969" w:type="pct"/>
            <w:gridSpan w:val="5"/>
            <w:vAlign w:val="center"/>
          </w:tcPr>
          <w:p w14:paraId="66DEE230">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center"/>
              <w:textAlignment w:val="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w:t>
            </w:r>
          </w:p>
        </w:tc>
      </w:tr>
      <w:tr w14:paraId="49CCC9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321D97E9">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设计生产能力</w:t>
            </w:r>
          </w:p>
        </w:tc>
        <w:tc>
          <w:tcPr>
            <w:tcW w:w="3969" w:type="pct"/>
            <w:gridSpan w:val="5"/>
            <w:vAlign w:val="center"/>
          </w:tcPr>
          <w:p w14:paraId="1578D929">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both"/>
              <w:textAlignment w:val="auto"/>
              <w:rPr>
                <w:rFonts w:hint="eastAsia" w:ascii="宋体" w:hAnsi="宋体" w:eastAsia="宋体" w:cs="宋体"/>
                <w:color w:val="000000"/>
                <w:sz w:val="24"/>
                <w:szCs w:val="24"/>
                <w:lang w:val="en-US" w:eastAsia="zh-CN" w:bidi="ar-SA"/>
              </w:rPr>
            </w:pPr>
            <w:r>
              <w:rPr>
                <w:rFonts w:hint="default" w:ascii="Times New Roman" w:hAnsi="Times New Roman" w:cs="Times New Roman" w:eastAsiaTheme="minorEastAsia"/>
                <w:color w:val="000000"/>
                <w:sz w:val="24"/>
                <w:szCs w:val="24"/>
                <w:lang w:eastAsia="zh-CN"/>
              </w:rPr>
              <w:t>年拆解报废汽车</w:t>
            </w:r>
            <w:r>
              <w:rPr>
                <w:rFonts w:hint="eastAsia" w:ascii="Times New Roman" w:hAnsi="Times New Roman" w:cs="Times New Roman" w:eastAsiaTheme="minorEastAsia"/>
                <w:color w:val="000000"/>
                <w:sz w:val="24"/>
                <w:szCs w:val="24"/>
                <w:lang w:val="en-US" w:eastAsia="zh-CN"/>
              </w:rPr>
              <w:t>1.5</w:t>
            </w:r>
            <w:r>
              <w:rPr>
                <w:rFonts w:hint="default" w:ascii="Times New Roman" w:hAnsi="Times New Roman" w:cs="Times New Roman" w:eastAsiaTheme="minorEastAsia"/>
                <w:color w:val="000000"/>
                <w:sz w:val="24"/>
                <w:szCs w:val="24"/>
                <w:lang w:eastAsia="zh-CN"/>
              </w:rPr>
              <w:t>万辆，</w:t>
            </w:r>
            <w:r>
              <w:rPr>
                <w:rFonts w:hint="eastAsia" w:ascii="Times New Roman" w:hAnsi="Times New Roman" w:eastAsia="宋体" w:cs="Times New Roman"/>
                <w:b w:val="0"/>
                <w:bCs/>
                <w:color w:val="auto"/>
                <w:sz w:val="24"/>
                <w:highlight w:val="none"/>
                <w:u w:val="none"/>
                <w:lang w:val="en-US" w:eastAsia="zh-CN"/>
              </w:rPr>
              <w:t>其中：小型车10000辆，大中型车2000辆，新能源车3000辆（包括混动型车1500辆以及纯电动车1500辆）</w:t>
            </w:r>
          </w:p>
        </w:tc>
      </w:tr>
      <w:tr w14:paraId="3282B8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0BBD7B5D">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实际生产能力</w:t>
            </w:r>
          </w:p>
        </w:tc>
        <w:tc>
          <w:tcPr>
            <w:tcW w:w="3969" w:type="pct"/>
            <w:gridSpan w:val="5"/>
            <w:vAlign w:val="center"/>
          </w:tcPr>
          <w:p w14:paraId="46B8A03D">
            <w:pPr>
              <w:keepNext w:val="0"/>
              <w:keepLines w:val="0"/>
              <w:pageBreakBefore w:val="0"/>
              <w:widowControl/>
              <w:suppressLineNumbers w:val="0"/>
              <w:kinsoku/>
              <w:wordWrap/>
              <w:topLinePunct w:val="0"/>
              <w:autoSpaceDE/>
              <w:autoSpaceDN/>
              <w:bidi w:val="0"/>
              <w:adjustRightInd w:val="0"/>
              <w:snapToGrid w:val="0"/>
              <w:spacing w:before="0" w:beforeAutospacing="0" w:after="0" w:afterLines="0" w:afterAutospacing="0"/>
              <w:ind w:left="0" w:leftChars="0" w:right="0" w:rightChars="0"/>
              <w:jc w:val="both"/>
              <w:textAlignment w:val="auto"/>
              <w:rPr>
                <w:rFonts w:hint="eastAsia" w:ascii="宋体" w:hAnsi="宋体" w:eastAsia="宋体" w:cs="宋体"/>
                <w:color w:val="000000"/>
                <w:sz w:val="24"/>
                <w:szCs w:val="24"/>
                <w:lang w:val="en-US" w:eastAsia="zh-CN" w:bidi="ar-SA"/>
              </w:rPr>
            </w:pPr>
            <w:r>
              <w:rPr>
                <w:rFonts w:hint="default" w:ascii="Times New Roman" w:hAnsi="Times New Roman" w:cs="Times New Roman" w:eastAsiaTheme="minorEastAsia"/>
                <w:color w:val="000000"/>
                <w:sz w:val="24"/>
                <w:szCs w:val="24"/>
                <w:lang w:eastAsia="zh-CN"/>
              </w:rPr>
              <w:t>年拆解报废汽车</w:t>
            </w:r>
            <w:r>
              <w:rPr>
                <w:rFonts w:hint="eastAsia" w:ascii="Times New Roman" w:hAnsi="Times New Roman" w:cs="Times New Roman" w:eastAsiaTheme="minorEastAsia"/>
                <w:color w:val="000000"/>
                <w:sz w:val="24"/>
                <w:szCs w:val="24"/>
                <w:lang w:val="en-US" w:eastAsia="zh-CN"/>
              </w:rPr>
              <w:t>1.5</w:t>
            </w:r>
            <w:r>
              <w:rPr>
                <w:rFonts w:hint="default" w:ascii="Times New Roman" w:hAnsi="Times New Roman" w:cs="Times New Roman" w:eastAsiaTheme="minorEastAsia"/>
                <w:color w:val="000000"/>
                <w:sz w:val="24"/>
                <w:szCs w:val="24"/>
                <w:lang w:eastAsia="zh-CN"/>
              </w:rPr>
              <w:t>万辆，</w:t>
            </w:r>
            <w:r>
              <w:rPr>
                <w:rFonts w:hint="eastAsia" w:ascii="Times New Roman" w:hAnsi="Times New Roman" w:eastAsia="宋体" w:cs="Times New Roman"/>
                <w:b w:val="0"/>
                <w:bCs/>
                <w:color w:val="auto"/>
                <w:sz w:val="24"/>
                <w:highlight w:val="none"/>
                <w:u w:val="none"/>
                <w:lang w:val="en-US" w:eastAsia="zh-CN"/>
              </w:rPr>
              <w:t>其中：小型车10000辆，大中型车2000辆，新能源车3000辆（包括混动型车1500辆以及纯电动车1500辆）</w:t>
            </w:r>
          </w:p>
        </w:tc>
      </w:tr>
      <w:tr w14:paraId="2D9E98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728DF3FC">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建设项目环评时间</w:t>
            </w:r>
          </w:p>
        </w:tc>
        <w:tc>
          <w:tcPr>
            <w:tcW w:w="867" w:type="pct"/>
            <w:vAlign w:val="center"/>
          </w:tcPr>
          <w:p w14:paraId="2A8C8B16">
            <w:pPr>
              <w:spacing w:after="0"/>
              <w:jc w:val="center"/>
              <w:rPr>
                <w:rFonts w:hint="default"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2025.</w:t>
            </w:r>
            <w:r>
              <w:rPr>
                <w:rFonts w:hint="eastAsia" w:ascii="Times New Roman" w:hAnsi="Times New Roman" w:cs="Times New Roman" w:eastAsiaTheme="minorEastAsia"/>
                <w:sz w:val="24"/>
                <w:szCs w:val="24"/>
                <w:lang w:val="en-US" w:eastAsia="zh-CN"/>
              </w:rPr>
              <w:t>5</w:t>
            </w:r>
          </w:p>
        </w:tc>
        <w:tc>
          <w:tcPr>
            <w:tcW w:w="1122" w:type="pct"/>
            <w:vAlign w:val="center"/>
          </w:tcPr>
          <w:p w14:paraId="76E6B07F">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开工建设时间</w:t>
            </w:r>
          </w:p>
        </w:tc>
        <w:tc>
          <w:tcPr>
            <w:tcW w:w="1980" w:type="pct"/>
            <w:gridSpan w:val="3"/>
            <w:vAlign w:val="center"/>
          </w:tcPr>
          <w:p w14:paraId="692F5D57">
            <w:pPr>
              <w:spacing w:after="0"/>
              <w:jc w:val="center"/>
              <w:rPr>
                <w:rFonts w:hint="default" w:asciiTheme="minorEastAsia" w:hAnsiTheme="minorEastAsia" w:eastAsiaTheme="minorEastAsia" w:cstheme="minorEastAsia"/>
                <w:sz w:val="24"/>
                <w:szCs w:val="24"/>
                <w:lang w:val="en-US" w:eastAsia="zh-CN"/>
              </w:rPr>
            </w:pPr>
            <w:r>
              <w:rPr>
                <w:rFonts w:hint="default" w:ascii="Times New Roman" w:hAnsi="Times New Roman" w:cs="Times New Roman" w:eastAsiaTheme="minorEastAsia"/>
                <w:sz w:val="24"/>
                <w:szCs w:val="24"/>
                <w:lang w:val="en-US" w:eastAsia="zh-CN"/>
              </w:rPr>
              <w:t>2025.</w:t>
            </w:r>
            <w:r>
              <w:rPr>
                <w:rFonts w:hint="eastAsia" w:ascii="Times New Roman" w:hAnsi="Times New Roman" w:cs="Times New Roman" w:eastAsiaTheme="minorEastAsia"/>
                <w:sz w:val="24"/>
                <w:szCs w:val="24"/>
                <w:lang w:val="en-US" w:eastAsia="zh-CN"/>
              </w:rPr>
              <w:t>7</w:t>
            </w:r>
          </w:p>
        </w:tc>
      </w:tr>
      <w:tr w14:paraId="6E1F34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7809374E">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调试时间</w:t>
            </w:r>
          </w:p>
        </w:tc>
        <w:tc>
          <w:tcPr>
            <w:tcW w:w="867" w:type="pct"/>
            <w:vAlign w:val="center"/>
          </w:tcPr>
          <w:p w14:paraId="74EFC090">
            <w:pPr>
              <w:spacing w:after="0"/>
              <w:jc w:val="center"/>
              <w:rPr>
                <w:rFonts w:hint="default" w:asciiTheme="minorEastAsia" w:hAnsiTheme="minorEastAsia" w:eastAsiaTheme="minorEastAsia" w:cstheme="minorEastAsia"/>
                <w:sz w:val="24"/>
                <w:szCs w:val="24"/>
                <w:lang w:val="en-US" w:eastAsia="zh-CN"/>
              </w:rPr>
            </w:pPr>
            <w:r>
              <w:rPr>
                <w:rFonts w:hint="eastAsia" w:ascii="Times New Roman" w:hAnsi="Times New Roman" w:cs="Times New Roman" w:eastAsiaTheme="minorEastAsia"/>
                <w:sz w:val="24"/>
                <w:szCs w:val="24"/>
                <w:lang w:val="en-US" w:eastAsia="zh-CN"/>
              </w:rPr>
              <w:t>2025.11</w:t>
            </w:r>
          </w:p>
        </w:tc>
        <w:tc>
          <w:tcPr>
            <w:tcW w:w="1122" w:type="pct"/>
            <w:vAlign w:val="center"/>
          </w:tcPr>
          <w:p w14:paraId="3C3F16F4">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验收现场监测时间</w:t>
            </w:r>
          </w:p>
        </w:tc>
        <w:tc>
          <w:tcPr>
            <w:tcW w:w="1980" w:type="pct"/>
            <w:gridSpan w:val="3"/>
            <w:vAlign w:val="center"/>
          </w:tcPr>
          <w:p w14:paraId="5694AD68">
            <w:pPr>
              <w:spacing w:after="0"/>
              <w:jc w:val="center"/>
              <w:rPr>
                <w:rFonts w:asciiTheme="minorEastAsia" w:hAnsiTheme="minorEastAsia" w:eastAsiaTheme="minorEastAsia" w:cstheme="minorEastAsia"/>
                <w:sz w:val="24"/>
                <w:szCs w:val="24"/>
              </w:rPr>
            </w:pPr>
            <w:r>
              <w:rPr>
                <w:rFonts w:hint="eastAsia" w:ascii="Times New Roman" w:hAnsi="Times New Roman" w:cs="Times New Roman" w:eastAsiaTheme="minorEastAsia"/>
                <w:color w:val="000000" w:themeColor="text1"/>
                <w:sz w:val="24"/>
                <w:szCs w:val="24"/>
                <w:lang w:val="en-US" w:eastAsia="zh-CN"/>
                <w14:textFill>
                  <w14:solidFill>
                    <w14:schemeClr w14:val="tx1"/>
                  </w14:solidFill>
                </w14:textFill>
              </w:rPr>
              <w:t>2025年11月7日-11月8日</w:t>
            </w:r>
          </w:p>
        </w:tc>
      </w:tr>
      <w:tr w14:paraId="4156B1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3DC4411B">
            <w:pPr>
              <w:spacing w:after="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环评报告表</w:t>
            </w:r>
          </w:p>
          <w:p w14:paraId="64F343CB">
            <w:pPr>
              <w:spacing w:after="0"/>
              <w:jc w:val="center"/>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审批部门</w:t>
            </w:r>
          </w:p>
        </w:tc>
        <w:tc>
          <w:tcPr>
            <w:tcW w:w="867" w:type="pct"/>
            <w:vAlign w:val="center"/>
          </w:tcPr>
          <w:p w14:paraId="3487621B">
            <w:pPr>
              <w:spacing w:after="0"/>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长春</w:t>
            </w:r>
            <w:r>
              <w:rPr>
                <w:rFonts w:hint="eastAsia" w:asciiTheme="minorEastAsia" w:hAnsiTheme="minorEastAsia" w:eastAsiaTheme="minorEastAsia" w:cstheme="minorEastAsia"/>
                <w:sz w:val="24"/>
                <w:szCs w:val="24"/>
                <w:lang w:eastAsia="zh-CN"/>
              </w:rPr>
              <w:t>市生态环境局</w:t>
            </w:r>
          </w:p>
        </w:tc>
        <w:tc>
          <w:tcPr>
            <w:tcW w:w="1122" w:type="pct"/>
            <w:vAlign w:val="center"/>
          </w:tcPr>
          <w:p w14:paraId="1ED8BC52">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环评报告表</w:t>
            </w:r>
          </w:p>
          <w:p w14:paraId="7ED58BCA">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编制单位</w:t>
            </w:r>
          </w:p>
        </w:tc>
        <w:tc>
          <w:tcPr>
            <w:tcW w:w="1980" w:type="pct"/>
            <w:gridSpan w:val="3"/>
            <w:vAlign w:val="center"/>
          </w:tcPr>
          <w:p w14:paraId="16FEA5B5">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吉林省中环</w:t>
            </w:r>
            <w:r>
              <w:rPr>
                <w:rFonts w:hint="eastAsia" w:asciiTheme="minorEastAsia" w:hAnsiTheme="minorEastAsia" w:eastAsiaTheme="minorEastAsia" w:cstheme="minorEastAsia"/>
                <w:sz w:val="24"/>
                <w:szCs w:val="24"/>
                <w:lang w:val="en-US" w:eastAsia="zh-CN"/>
              </w:rPr>
              <w:t>征帆</w:t>
            </w:r>
            <w:r>
              <w:rPr>
                <w:rFonts w:hint="eastAsia" w:asciiTheme="minorEastAsia" w:hAnsiTheme="minorEastAsia" w:eastAsiaTheme="minorEastAsia" w:cstheme="minorEastAsia"/>
                <w:sz w:val="24"/>
                <w:szCs w:val="24"/>
                <w:lang w:eastAsia="zh-CN"/>
              </w:rPr>
              <w:t>环保科技有限公司</w:t>
            </w:r>
          </w:p>
        </w:tc>
      </w:tr>
      <w:tr w14:paraId="441215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23A4AD47">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环保设施设计单位</w:t>
            </w:r>
          </w:p>
        </w:tc>
        <w:tc>
          <w:tcPr>
            <w:tcW w:w="867" w:type="pct"/>
            <w:vAlign w:val="center"/>
          </w:tcPr>
          <w:p w14:paraId="2756AC13">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w:t>
            </w:r>
          </w:p>
        </w:tc>
        <w:tc>
          <w:tcPr>
            <w:tcW w:w="1122" w:type="pct"/>
            <w:vAlign w:val="center"/>
          </w:tcPr>
          <w:p w14:paraId="29076628">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环保设施施工单位</w:t>
            </w:r>
          </w:p>
        </w:tc>
        <w:tc>
          <w:tcPr>
            <w:tcW w:w="1980" w:type="pct"/>
            <w:gridSpan w:val="3"/>
            <w:vAlign w:val="center"/>
          </w:tcPr>
          <w:p w14:paraId="4A31A64A">
            <w:pPr>
              <w:spacing w:after="0"/>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highlight w:val="none"/>
                <w:lang w:val="en-US" w:eastAsia="zh-CN"/>
              </w:rPr>
              <w:t>/</w:t>
            </w:r>
          </w:p>
        </w:tc>
      </w:tr>
      <w:tr w14:paraId="03135E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5D5D612F">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投资总概算</w:t>
            </w:r>
          </w:p>
        </w:tc>
        <w:tc>
          <w:tcPr>
            <w:tcW w:w="867" w:type="pct"/>
            <w:vAlign w:val="center"/>
          </w:tcPr>
          <w:p w14:paraId="154AF040">
            <w:pPr>
              <w:spacing w:after="0"/>
              <w:jc w:val="center"/>
              <w:rPr>
                <w:rFonts w:hint="default"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200</w:t>
            </w:r>
            <w:r>
              <w:rPr>
                <w:rFonts w:hint="default" w:ascii="Times New Roman" w:hAnsi="Times New Roman" w:cs="Times New Roman" w:eastAsiaTheme="minorEastAsia"/>
                <w:sz w:val="24"/>
                <w:szCs w:val="24"/>
              </w:rPr>
              <w:t>万元</w:t>
            </w:r>
          </w:p>
        </w:tc>
        <w:tc>
          <w:tcPr>
            <w:tcW w:w="1122" w:type="pct"/>
            <w:vAlign w:val="center"/>
          </w:tcPr>
          <w:p w14:paraId="70795508">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环保投资总概算</w:t>
            </w:r>
          </w:p>
        </w:tc>
        <w:tc>
          <w:tcPr>
            <w:tcW w:w="661" w:type="pct"/>
            <w:vAlign w:val="center"/>
          </w:tcPr>
          <w:p w14:paraId="21BAF554">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rPr>
              <w:t>万元</w:t>
            </w:r>
          </w:p>
        </w:tc>
        <w:tc>
          <w:tcPr>
            <w:tcW w:w="503" w:type="pct"/>
            <w:vAlign w:val="center"/>
          </w:tcPr>
          <w:p w14:paraId="268D730A">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比例</w:t>
            </w:r>
          </w:p>
        </w:tc>
        <w:tc>
          <w:tcPr>
            <w:tcW w:w="815" w:type="pct"/>
            <w:vAlign w:val="center"/>
          </w:tcPr>
          <w:p w14:paraId="2DDE2D01">
            <w:pPr>
              <w:spacing w:after="0"/>
              <w:jc w:val="center"/>
              <w:rPr>
                <w:rFonts w:hint="default"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19.5</w:t>
            </w:r>
            <w:r>
              <w:rPr>
                <w:rFonts w:hint="default" w:ascii="Times New Roman" w:hAnsi="Times New Roman" w:cs="Times New Roman" w:eastAsiaTheme="minorEastAsia"/>
                <w:sz w:val="24"/>
                <w:szCs w:val="24"/>
              </w:rPr>
              <w:t>%</w:t>
            </w:r>
          </w:p>
        </w:tc>
      </w:tr>
      <w:tr w14:paraId="122C0E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0" w:type="pct"/>
            <w:vAlign w:val="center"/>
          </w:tcPr>
          <w:p w14:paraId="560CCBE2">
            <w:pPr>
              <w:spacing w:after="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实际总概算</w:t>
            </w:r>
          </w:p>
        </w:tc>
        <w:tc>
          <w:tcPr>
            <w:tcW w:w="867" w:type="pct"/>
            <w:vAlign w:val="center"/>
          </w:tcPr>
          <w:p w14:paraId="128AB4AF">
            <w:pPr>
              <w:spacing w:after="0"/>
              <w:jc w:val="center"/>
              <w:rPr>
                <w:rFonts w:hint="default"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200</w:t>
            </w:r>
            <w:r>
              <w:rPr>
                <w:rFonts w:hint="default" w:ascii="Times New Roman" w:hAnsi="Times New Roman" w:cs="Times New Roman" w:eastAsiaTheme="minorEastAsia"/>
                <w:sz w:val="24"/>
                <w:szCs w:val="24"/>
              </w:rPr>
              <w:t>万元</w:t>
            </w:r>
          </w:p>
        </w:tc>
        <w:tc>
          <w:tcPr>
            <w:tcW w:w="1122" w:type="pct"/>
            <w:vAlign w:val="center"/>
          </w:tcPr>
          <w:p w14:paraId="4AF44896">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环保投资总概算</w:t>
            </w:r>
          </w:p>
        </w:tc>
        <w:tc>
          <w:tcPr>
            <w:tcW w:w="661" w:type="pct"/>
            <w:vAlign w:val="center"/>
          </w:tcPr>
          <w:p w14:paraId="052C185C">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rPr>
              <w:t>万元</w:t>
            </w:r>
          </w:p>
        </w:tc>
        <w:tc>
          <w:tcPr>
            <w:tcW w:w="503" w:type="pct"/>
            <w:vAlign w:val="center"/>
          </w:tcPr>
          <w:p w14:paraId="0BD5B83D">
            <w:pPr>
              <w:spacing w:after="0"/>
              <w:jc w:val="center"/>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比例</w:t>
            </w:r>
          </w:p>
        </w:tc>
        <w:tc>
          <w:tcPr>
            <w:tcW w:w="815" w:type="pct"/>
            <w:vAlign w:val="center"/>
          </w:tcPr>
          <w:p w14:paraId="70B34659">
            <w:pPr>
              <w:spacing w:after="0"/>
              <w:jc w:val="center"/>
              <w:rPr>
                <w:rFonts w:hint="default" w:ascii="Times New Roman" w:hAnsi="Times New Roman" w:cs="Times New Roman" w:eastAsiaTheme="minorEastAsia"/>
                <w:sz w:val="24"/>
                <w:szCs w:val="24"/>
              </w:rPr>
            </w:pPr>
            <w:r>
              <w:rPr>
                <w:rFonts w:hint="eastAsia" w:ascii="Times New Roman" w:hAnsi="Times New Roman" w:cs="Times New Roman" w:eastAsiaTheme="minorEastAsia"/>
                <w:sz w:val="24"/>
                <w:szCs w:val="24"/>
                <w:lang w:val="en-US" w:eastAsia="zh-CN"/>
              </w:rPr>
              <w:t>19.5</w:t>
            </w:r>
            <w:r>
              <w:rPr>
                <w:rFonts w:hint="default" w:ascii="Times New Roman" w:hAnsi="Times New Roman" w:cs="Times New Roman" w:eastAsiaTheme="minorEastAsia"/>
                <w:sz w:val="24"/>
                <w:szCs w:val="24"/>
              </w:rPr>
              <w:t>%</w:t>
            </w:r>
          </w:p>
        </w:tc>
      </w:tr>
      <w:tr w14:paraId="580771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1030" w:type="pct"/>
            <w:vAlign w:val="center"/>
          </w:tcPr>
          <w:p w14:paraId="00005D51">
            <w:pPr>
              <w:spacing w:after="0"/>
              <w:jc w:val="both"/>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验收监测依据</w:t>
            </w:r>
          </w:p>
        </w:tc>
        <w:tc>
          <w:tcPr>
            <w:tcW w:w="3969" w:type="pct"/>
            <w:gridSpan w:val="5"/>
            <w:vAlign w:val="center"/>
          </w:tcPr>
          <w:p w14:paraId="60F490AF">
            <w:pPr>
              <w:spacing w:after="0" w:line="360" w:lineRule="auto"/>
              <w:rPr>
                <w:rFonts w:hint="default" w:ascii="Times New Roman" w:hAnsi="Times New Roman" w:cs="Times New Roman" w:eastAsiaTheme="minorEastAsia"/>
                <w:sz w:val="24"/>
                <w:szCs w:val="24"/>
              </w:rPr>
            </w:pPr>
            <w:bookmarkStart w:id="1" w:name="_Toc496544307"/>
            <w:bookmarkStart w:id="2" w:name="_Toc496547273"/>
            <w:bookmarkStart w:id="3" w:name="_Toc496547705"/>
            <w:bookmarkStart w:id="4" w:name="_Toc496547398"/>
            <w:bookmarkStart w:id="5" w:name="_Toc496544117"/>
            <w:bookmarkStart w:id="6" w:name="_Toc496547066"/>
            <w:bookmarkStart w:id="7" w:name="_Toc496542718"/>
            <w:bookmarkStart w:id="8" w:name="_Toc496547633"/>
            <w:r>
              <w:rPr>
                <w:rFonts w:hint="default" w:ascii="Times New Roman" w:hAnsi="Times New Roman" w:cs="Times New Roman" w:eastAsiaTheme="minorEastAsia"/>
                <w:sz w:val="24"/>
                <w:szCs w:val="24"/>
              </w:rPr>
              <w:t>1、《建设项目竣工环境保护验收暂行办法》（国环规环评〔2017〕4号）；</w:t>
            </w:r>
          </w:p>
          <w:p w14:paraId="6C872FB5">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2、《建设项目环境保护管理条例》（国务院令第682号）；</w:t>
            </w:r>
          </w:p>
          <w:p w14:paraId="7D1849DD">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3、《关于印发《污染影响类建设项目重大变动清单（试行）的通知》（环办环评函〔2020〕688号）；</w:t>
            </w:r>
          </w:p>
          <w:p w14:paraId="7AD24FC4">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4、《关于印发建设项目竣工环境保护验收现场检查及审查要点的通知》（环办〔2015〕113号）；</w:t>
            </w:r>
          </w:p>
          <w:p w14:paraId="54D2D0BA">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5、《吉林省环境保护厅关于做好建设项目竣工环境保护验收有关工作的通知》（吉环国合字〔2018〕1号文）</w:t>
            </w:r>
          </w:p>
          <w:p w14:paraId="7C5CA63A">
            <w:pPr>
              <w:spacing w:after="0" w:line="36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rPr>
              <w:t>6、《建设项目竣工环境保护验收技术指南 污染影响类》（生态环境部公告 2018年第9号）</w:t>
            </w:r>
            <w:r>
              <w:rPr>
                <w:rFonts w:hint="default" w:ascii="Times New Roman" w:hAnsi="Times New Roman" w:cs="Times New Roman" w:eastAsiaTheme="minorEastAsia"/>
                <w:sz w:val="24"/>
                <w:szCs w:val="24"/>
                <w:lang w:eastAsia="zh-CN"/>
              </w:rPr>
              <w:t>；</w:t>
            </w:r>
          </w:p>
          <w:p w14:paraId="630ADE32">
            <w:pPr>
              <w:spacing w:after="0" w:line="360" w:lineRule="auto"/>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7、《</w:t>
            </w:r>
            <w:r>
              <w:rPr>
                <w:rFonts w:hint="eastAsia" w:ascii="宋体" w:hAnsi="宋体" w:eastAsia="宋体" w:cs="宋体"/>
                <w:sz w:val="24"/>
                <w:szCs w:val="24"/>
                <w:lang w:eastAsia="zh-CN"/>
              </w:rPr>
              <w:t>长春名玺报废汽车回收拆解有限公司建设项目</w:t>
            </w:r>
            <w:r>
              <w:rPr>
                <w:rFonts w:hint="default" w:ascii="Times New Roman" w:hAnsi="Times New Roman" w:cs="Times New Roman" w:eastAsiaTheme="minorEastAsia"/>
                <w:sz w:val="24"/>
                <w:szCs w:val="24"/>
              </w:rPr>
              <w:t>环境影响评价报告表》</w:t>
            </w:r>
            <w:r>
              <w:rPr>
                <w:rFonts w:hint="default" w:ascii="Times New Roman" w:hAnsi="Times New Roman" w:cs="Times New Roman" w:eastAsiaTheme="minorEastAsia"/>
                <w:sz w:val="24"/>
                <w:szCs w:val="24"/>
                <w:lang w:val="en-US" w:eastAsia="zh-CN"/>
              </w:rPr>
              <w:t>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lang w:val="en-US" w:eastAsia="zh-CN"/>
              </w:rPr>
              <w:t>月</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吉林省中环</w:t>
            </w:r>
            <w:r>
              <w:rPr>
                <w:rFonts w:hint="eastAsia" w:ascii="Times New Roman" w:hAnsi="Times New Roman" w:cs="Times New Roman" w:eastAsiaTheme="minorEastAsia"/>
                <w:sz w:val="24"/>
                <w:szCs w:val="24"/>
                <w:lang w:val="en-US" w:eastAsia="zh-CN"/>
              </w:rPr>
              <w:t>征帆</w:t>
            </w:r>
            <w:r>
              <w:rPr>
                <w:rFonts w:hint="default" w:ascii="Times New Roman" w:hAnsi="Times New Roman" w:cs="Times New Roman" w:eastAsiaTheme="minorEastAsia"/>
                <w:sz w:val="24"/>
                <w:szCs w:val="24"/>
                <w:lang w:eastAsia="zh-CN"/>
              </w:rPr>
              <w:t>环保科技有限公司</w:t>
            </w:r>
            <w:r>
              <w:rPr>
                <w:rFonts w:hint="default" w:ascii="Times New Roman" w:hAnsi="Times New Roman" w:cs="Times New Roman" w:eastAsiaTheme="minorEastAsia"/>
                <w:sz w:val="24"/>
                <w:szCs w:val="24"/>
              </w:rPr>
              <w:t>）；</w:t>
            </w:r>
          </w:p>
          <w:p w14:paraId="3A3C0044">
            <w:pPr>
              <w:spacing w:after="0" w:line="360" w:lineRule="auto"/>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rPr>
              <w:t>8、</w:t>
            </w:r>
            <w:bookmarkEnd w:id="1"/>
            <w:bookmarkEnd w:id="2"/>
            <w:bookmarkEnd w:id="3"/>
            <w:bookmarkEnd w:id="4"/>
            <w:bookmarkEnd w:id="5"/>
            <w:bookmarkEnd w:id="6"/>
            <w:bookmarkEnd w:id="7"/>
            <w:bookmarkEnd w:id="8"/>
            <w:r>
              <w:rPr>
                <w:rFonts w:hint="default" w:ascii="Times New Roman" w:hAnsi="Times New Roman" w:cs="Times New Roman" w:eastAsiaTheme="minorEastAsia"/>
                <w:sz w:val="24"/>
                <w:szCs w:val="24"/>
              </w:rPr>
              <w:t>《关于</w:t>
            </w:r>
            <w:r>
              <w:rPr>
                <w:rFonts w:hint="eastAsia" w:ascii="宋体" w:hAnsi="宋体" w:eastAsia="宋体" w:cs="宋体"/>
                <w:sz w:val="24"/>
                <w:szCs w:val="24"/>
                <w:lang w:eastAsia="zh-CN"/>
              </w:rPr>
              <w:t>长春名玺报废汽车回收拆解有限公司建设项目</w:t>
            </w:r>
            <w:r>
              <w:rPr>
                <w:rFonts w:hint="default" w:ascii="Times New Roman" w:hAnsi="Times New Roman" w:cs="Times New Roman" w:eastAsiaTheme="minorEastAsia"/>
                <w:sz w:val="24"/>
                <w:szCs w:val="24"/>
              </w:rPr>
              <w:t>环境影响评价报告表的批复》（</w:t>
            </w:r>
            <w:r>
              <w:rPr>
                <w:rFonts w:hint="default" w:ascii="Times New Roman" w:hAnsi="Times New Roman" w:cs="Times New Roman" w:eastAsiaTheme="minorEastAsia"/>
                <w:sz w:val="24"/>
                <w:szCs w:val="24"/>
                <w:lang w:val="en-US" w:eastAsia="zh-CN"/>
              </w:rPr>
              <w:t>长</w:t>
            </w:r>
            <w:r>
              <w:rPr>
                <w:rFonts w:hint="default" w:ascii="Times New Roman" w:hAnsi="Times New Roman" w:cs="Times New Roman" w:eastAsiaTheme="minorEastAsia"/>
                <w:sz w:val="24"/>
                <w:szCs w:val="24"/>
                <w:lang w:eastAsia="zh-CN"/>
              </w:rPr>
              <w:t>环</w:t>
            </w:r>
            <w:r>
              <w:rPr>
                <w:rFonts w:hint="default" w:ascii="Times New Roman" w:hAnsi="Times New Roman" w:cs="Times New Roman" w:eastAsiaTheme="minorEastAsia"/>
                <w:sz w:val="24"/>
                <w:szCs w:val="24"/>
                <w:lang w:val="en-US" w:eastAsia="zh-CN"/>
              </w:rPr>
              <w:t>建</w:t>
            </w:r>
            <w:r>
              <w:rPr>
                <w:rFonts w:hint="default" w:ascii="Times New Roman" w:hAnsi="Times New Roman" w:cs="Times New Roman" w:eastAsiaTheme="minorEastAsia"/>
                <w:sz w:val="24"/>
                <w:szCs w:val="24"/>
                <w:lang w:eastAsia="zh-CN"/>
              </w:rPr>
              <w:t>（表）</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11</w:t>
            </w:r>
            <w:r>
              <w:rPr>
                <w:rFonts w:hint="default" w:ascii="Times New Roman" w:hAnsi="Times New Roman" w:cs="Times New Roman" w:eastAsiaTheme="minorEastAsia"/>
                <w:sz w:val="24"/>
                <w:szCs w:val="24"/>
                <w:lang w:eastAsia="zh-CN"/>
              </w:rPr>
              <w:t>号</w:t>
            </w:r>
            <w:r>
              <w:rPr>
                <w:rFonts w:hint="default" w:ascii="Times New Roman" w:hAnsi="Times New Roman" w:cs="Times New Roman" w:eastAsiaTheme="minorEastAsia"/>
                <w:sz w:val="24"/>
                <w:szCs w:val="24"/>
              </w:rPr>
              <w:t>）</w:t>
            </w:r>
            <w:r>
              <w:rPr>
                <w:rFonts w:hint="default" w:ascii="Times New Roman" w:hAnsi="Times New Roman" w:cs="Times New Roman" w:eastAsiaTheme="minorEastAsia"/>
                <w:sz w:val="24"/>
                <w:szCs w:val="24"/>
                <w:lang w:eastAsia="zh-CN"/>
              </w:rPr>
              <w:t>。</w:t>
            </w:r>
          </w:p>
        </w:tc>
      </w:tr>
      <w:tr w14:paraId="4F8547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72" w:hRule="atLeast"/>
          <w:jc w:val="center"/>
        </w:trPr>
        <w:tc>
          <w:tcPr>
            <w:tcW w:w="1030" w:type="pct"/>
            <w:vAlign w:val="center"/>
          </w:tcPr>
          <w:p w14:paraId="5305D8A6">
            <w:pPr>
              <w:spacing w:after="0"/>
              <w:jc w:val="both"/>
              <w:rPr>
                <w:rFonts w:hint="eastAsia" w:asciiTheme="minorEastAsia" w:hAnsiTheme="minorEastAsia" w:eastAsiaTheme="minorEastAsia" w:cstheme="minorEastAsia"/>
                <w:color w:val="000000"/>
                <w:sz w:val="24"/>
                <w:szCs w:val="24"/>
              </w:rPr>
            </w:pPr>
            <w:r>
              <w:rPr>
                <w:rFonts w:hint="eastAsia" w:ascii="宋体" w:hAnsi="宋体" w:eastAsia="宋体" w:cs="宋体"/>
                <w:sz w:val="24"/>
                <w:szCs w:val="24"/>
              </w:rPr>
              <w:t>验收监测评价标准、标号、级别、限值</w:t>
            </w:r>
          </w:p>
        </w:tc>
        <w:tc>
          <w:tcPr>
            <w:tcW w:w="3969" w:type="pct"/>
            <w:gridSpan w:val="5"/>
            <w:vAlign w:val="center"/>
          </w:tcPr>
          <w:p w14:paraId="181BD449">
            <w:pPr>
              <w:widowControl w:val="0"/>
              <w:adjustRightInd/>
              <w:snapToGrid/>
              <w:spacing w:after="0" w:line="360" w:lineRule="auto"/>
              <w:ind w:firstLine="482" w:firstLineChars="200"/>
              <w:jc w:val="both"/>
              <w:rPr>
                <w:rFonts w:hint="eastAsia" w:ascii="宋体" w:hAnsi="宋体" w:eastAsia="宋体" w:cs="宋体"/>
                <w:b/>
                <w:bCs/>
                <w:color w:val="000000"/>
                <w:kern w:val="2"/>
                <w:sz w:val="24"/>
                <w:szCs w:val="24"/>
              </w:rPr>
            </w:pPr>
            <w:r>
              <w:rPr>
                <w:rFonts w:hint="default" w:ascii="Times New Roman" w:hAnsi="Times New Roman" w:eastAsia="宋体" w:cs="Times New Roman"/>
                <w:b/>
                <w:bCs/>
                <w:color w:val="000000"/>
                <w:kern w:val="2"/>
                <w:sz w:val="24"/>
                <w:szCs w:val="24"/>
                <w:lang w:val="en-US" w:eastAsia="zh-CN"/>
              </w:rPr>
              <w:t>1</w:t>
            </w:r>
            <w:r>
              <w:rPr>
                <w:rFonts w:hint="eastAsia" w:ascii="宋体" w:hAnsi="宋体" w:eastAsia="宋体" w:cs="宋体"/>
                <w:b/>
                <w:bCs/>
                <w:color w:val="000000"/>
                <w:kern w:val="2"/>
                <w:sz w:val="24"/>
                <w:szCs w:val="24"/>
              </w:rPr>
              <w:t>、废水</w:t>
            </w:r>
          </w:p>
          <w:p w14:paraId="1E005A45">
            <w:pPr>
              <w:spacing w:after="0" w:line="360" w:lineRule="auto"/>
              <w:ind w:firstLine="480" w:firstLineChars="200"/>
              <w:jc w:val="both"/>
              <w:rPr>
                <w:rFonts w:hint="eastAsia" w:ascii="Times New Roman" w:hAnsi="Times New Roman" w:cs="Times New Roman" w:eastAsiaTheme="minorEastAsia"/>
                <w:sz w:val="24"/>
                <w:szCs w:val="24"/>
              </w:rPr>
            </w:pPr>
            <w:r>
              <w:rPr>
                <w:rFonts w:hint="eastAsia" w:ascii="Times New Roman" w:hAnsi="Times New Roman" w:cs="Times New Roman" w:eastAsiaTheme="minorEastAsia"/>
                <w:sz w:val="24"/>
                <w:szCs w:val="24"/>
              </w:rPr>
              <w:t>本项目废水经城市污水管网排入</w:t>
            </w:r>
            <w:r>
              <w:rPr>
                <w:rFonts w:hint="eastAsia" w:ascii="Times New Roman" w:hAnsi="Times New Roman" w:eastAsia="宋体" w:cs="Times New Roman"/>
                <w:bCs/>
                <w:color w:val="000000"/>
                <w:sz w:val="24"/>
                <w:lang w:val="en-US" w:eastAsia="zh-CN"/>
              </w:rPr>
              <w:t>长春绿园西新工业集中区污水处理厂</w:t>
            </w:r>
            <w:r>
              <w:rPr>
                <w:rFonts w:hint="eastAsia" w:ascii="Times New Roman" w:hAnsi="Times New Roman" w:cs="Times New Roman" w:eastAsiaTheme="minorEastAsia"/>
                <w:sz w:val="24"/>
                <w:szCs w:val="24"/>
              </w:rPr>
              <w:t>。</w:t>
            </w:r>
            <w:r>
              <w:rPr>
                <w:rFonts w:hint="eastAsia" w:ascii="Times New Roman" w:hAnsi="Times New Roman" w:cs="Times New Roman" w:eastAsiaTheme="minorEastAsia"/>
                <w:sz w:val="24"/>
                <w:szCs w:val="24"/>
                <w:lang w:val="en-US" w:eastAsia="zh-CN"/>
              </w:rPr>
              <w:t>厂区内废水</w:t>
            </w:r>
            <w:r>
              <w:rPr>
                <w:rFonts w:hint="eastAsia" w:ascii="Times New Roman" w:hAnsi="Times New Roman" w:cs="Times New Roman" w:eastAsiaTheme="minorEastAsia"/>
                <w:sz w:val="24"/>
                <w:szCs w:val="24"/>
              </w:rPr>
              <w:t>执行《污水综合排放标准》</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GB8978-1996</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中三级排放标准。</w:t>
            </w:r>
            <w:r>
              <w:rPr>
                <w:rFonts w:hint="eastAsia" w:ascii="Times New Roman" w:hAnsi="Times New Roman" w:eastAsia="宋体" w:cs="Times New Roman"/>
                <w:bCs/>
                <w:color w:val="000000"/>
                <w:sz w:val="24"/>
                <w:lang w:val="en-US" w:eastAsia="zh-CN"/>
              </w:rPr>
              <w:t>长春绿园西新工业集中区污水处理厂出水水质执行《城镇污水处理厂污染物排放标准》（GB18918-2002）表1中一级A标准标准限值</w:t>
            </w:r>
            <w:r>
              <w:rPr>
                <w:rFonts w:hint="eastAsia"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rPr>
              <w:t>详见表</w:t>
            </w:r>
            <w:r>
              <w:rPr>
                <w:rFonts w:hint="eastAsia" w:ascii="Times New Roman" w:hAnsi="Times New Roman" w:cs="Times New Roman" w:eastAsiaTheme="minorEastAsia"/>
                <w:sz w:val="24"/>
                <w:szCs w:val="24"/>
                <w:lang w:val="en-US" w:eastAsia="zh-CN"/>
              </w:rPr>
              <w:t>1-1、</w:t>
            </w:r>
            <w:r>
              <w:rPr>
                <w:rFonts w:hint="eastAsia" w:ascii="Times New Roman" w:hAnsi="Times New Roman" w:cs="Times New Roman" w:eastAsiaTheme="minorEastAsia"/>
                <w:sz w:val="24"/>
                <w:szCs w:val="24"/>
              </w:rPr>
              <w:t>表</w:t>
            </w:r>
            <w:r>
              <w:rPr>
                <w:rFonts w:hint="eastAsia" w:ascii="Times New Roman" w:hAnsi="Times New Roman" w:cs="Times New Roman" w:eastAsiaTheme="minorEastAsia"/>
                <w:sz w:val="24"/>
                <w:szCs w:val="24"/>
                <w:lang w:val="en-US" w:eastAsia="zh-CN"/>
              </w:rPr>
              <w:t>1-2</w:t>
            </w:r>
            <w:r>
              <w:rPr>
                <w:rFonts w:hint="eastAsia" w:ascii="Times New Roman" w:hAnsi="Times New Roman" w:cs="Times New Roman" w:eastAsiaTheme="minorEastAsia"/>
                <w:sz w:val="24"/>
                <w:szCs w:val="24"/>
              </w:rPr>
              <w:t>。</w:t>
            </w:r>
          </w:p>
          <w:p w14:paraId="198B10AF">
            <w:pPr>
              <w:widowControl w:val="0"/>
              <w:adjustRightInd w:val="0"/>
              <w:snapToGrid w:val="0"/>
              <w:spacing w:after="0"/>
              <w:jc w:val="center"/>
              <w:rPr>
                <w:rFonts w:hint="eastAsia" w:ascii="宋体" w:hAnsi="宋体" w:eastAsia="宋体" w:cs="宋体"/>
                <w:bCs/>
                <w:color w:val="auto"/>
                <w:kern w:val="2"/>
                <w:sz w:val="21"/>
                <w:szCs w:val="21"/>
                <w:u w:val="singl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1-1</w:t>
            </w:r>
            <w:r>
              <w:rPr>
                <w:rFonts w:hint="default" w:ascii="Times New Roman" w:hAnsi="Times New Roman" w:eastAsia="宋体" w:cs="Times New Roman"/>
                <w:b/>
                <w:color w:val="auto"/>
                <w:kern w:val="2"/>
                <w:sz w:val="21"/>
                <w:szCs w:val="21"/>
                <w:u w:val="none"/>
              </w:rPr>
              <w:t xml:space="preserve">   企业污水排放执行标准   单位：mg/L（pH无量纲</w:t>
            </w:r>
            <w:r>
              <w:rPr>
                <w:rFonts w:hint="default" w:ascii="Times New Roman" w:hAnsi="Times New Roman" w:eastAsia="宋体" w:cs="Times New Roman"/>
                <w:bCs/>
                <w:color w:val="auto"/>
                <w:kern w:val="2"/>
                <w:sz w:val="21"/>
                <w:szCs w:val="21"/>
                <w:u w:val="none"/>
              </w:rPr>
              <w:t>）</w:t>
            </w:r>
          </w:p>
          <w:tbl>
            <w:tblPr>
              <w:tblStyle w:val="1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1814"/>
              <w:gridCol w:w="1550"/>
              <w:gridCol w:w="2361"/>
            </w:tblGrid>
            <w:tr w14:paraId="1A5A6A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2E2E6122">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序号</w:t>
                  </w:r>
                </w:p>
              </w:tc>
              <w:tc>
                <w:tcPr>
                  <w:tcW w:w="2381" w:type="dxa"/>
                  <w:tcBorders>
                    <w:tl2br w:val="nil"/>
                    <w:tr2bl w:val="nil"/>
                  </w:tcBorders>
                  <w:noWrap w:val="0"/>
                  <w:vAlign w:val="center"/>
                </w:tcPr>
                <w:p w14:paraId="1030F2C6">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污染物</w:t>
                  </w:r>
                </w:p>
              </w:tc>
              <w:tc>
                <w:tcPr>
                  <w:tcW w:w="2081" w:type="dxa"/>
                  <w:tcBorders>
                    <w:tl2br w:val="nil"/>
                    <w:tr2bl w:val="nil"/>
                  </w:tcBorders>
                  <w:noWrap w:val="0"/>
                  <w:vAlign w:val="center"/>
                </w:tcPr>
                <w:p w14:paraId="1A1A3E53">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bCs/>
                      <w:color w:val="auto"/>
                      <w:kern w:val="2"/>
                      <w:sz w:val="21"/>
                      <w:szCs w:val="21"/>
                    </w:rPr>
                    <w:t>标准值</w:t>
                  </w:r>
                </w:p>
              </w:tc>
              <w:tc>
                <w:tcPr>
                  <w:tcW w:w="2853" w:type="dxa"/>
                  <w:tcBorders>
                    <w:tl2br w:val="nil"/>
                    <w:tr2bl w:val="nil"/>
                  </w:tcBorders>
                  <w:noWrap w:val="0"/>
                  <w:vAlign w:val="center"/>
                </w:tcPr>
                <w:p w14:paraId="5A1411A0">
                  <w:pPr>
                    <w:widowControl w:val="0"/>
                    <w:adjustRightInd w:val="0"/>
                    <w:snapToGrid w:val="0"/>
                    <w:spacing w:after="0"/>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标准来源</w:t>
                  </w:r>
                </w:p>
              </w:tc>
            </w:tr>
            <w:tr w14:paraId="62ECA9D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tcBorders>
                    <w:tl2br w:val="nil"/>
                    <w:tr2bl w:val="nil"/>
                  </w:tcBorders>
                  <w:noWrap w:val="0"/>
                  <w:vAlign w:val="center"/>
                </w:tcPr>
                <w:p w14:paraId="1C215C9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w:t>
                  </w:r>
                </w:p>
              </w:tc>
              <w:tc>
                <w:tcPr>
                  <w:tcW w:w="2381" w:type="dxa"/>
                  <w:tcBorders>
                    <w:tl2br w:val="nil"/>
                    <w:tr2bl w:val="nil"/>
                  </w:tcBorders>
                  <w:noWrap w:val="0"/>
                  <w:vAlign w:val="center"/>
                </w:tcPr>
                <w:p w14:paraId="3301720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pH</w:t>
                  </w:r>
                </w:p>
              </w:tc>
              <w:tc>
                <w:tcPr>
                  <w:tcW w:w="2081" w:type="dxa"/>
                  <w:tcBorders>
                    <w:tl2br w:val="nil"/>
                    <w:tr2bl w:val="nil"/>
                  </w:tcBorders>
                  <w:noWrap w:val="0"/>
                  <w:vAlign w:val="center"/>
                </w:tcPr>
                <w:p w14:paraId="1211524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6-9</w:t>
                  </w:r>
                </w:p>
              </w:tc>
              <w:tc>
                <w:tcPr>
                  <w:tcW w:w="2853" w:type="dxa"/>
                  <w:vMerge w:val="restart"/>
                  <w:tcBorders>
                    <w:tl2br w:val="nil"/>
                    <w:tr2bl w:val="nil"/>
                  </w:tcBorders>
                  <w:noWrap w:val="0"/>
                  <w:vAlign w:val="center"/>
                </w:tcPr>
                <w:p w14:paraId="12768C36">
                  <w:pPr>
                    <w:widowControl w:val="0"/>
                    <w:adjustRightInd w:val="0"/>
                    <w:snapToGrid w:val="0"/>
                    <w:spacing w:after="0"/>
                    <w:jc w:val="center"/>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rPr>
                    <w:t>GB8978-1996</w:t>
                  </w:r>
                </w:p>
              </w:tc>
            </w:tr>
            <w:tr w14:paraId="1AB53A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29B4E71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w:t>
                  </w:r>
                </w:p>
              </w:tc>
              <w:tc>
                <w:tcPr>
                  <w:tcW w:w="2381" w:type="dxa"/>
                  <w:tcBorders>
                    <w:tl2br w:val="nil"/>
                    <w:tr2bl w:val="nil"/>
                  </w:tcBorders>
                  <w:noWrap w:val="0"/>
                  <w:vAlign w:val="center"/>
                </w:tcPr>
                <w:p w14:paraId="4A21CE5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COD</w:t>
                  </w:r>
                </w:p>
              </w:tc>
              <w:tc>
                <w:tcPr>
                  <w:tcW w:w="2081" w:type="dxa"/>
                  <w:tcBorders>
                    <w:tl2br w:val="nil"/>
                    <w:tr2bl w:val="nil"/>
                  </w:tcBorders>
                  <w:noWrap w:val="0"/>
                  <w:vAlign w:val="center"/>
                </w:tcPr>
                <w:p w14:paraId="2C252A43">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500</w:t>
                  </w:r>
                </w:p>
              </w:tc>
              <w:tc>
                <w:tcPr>
                  <w:tcW w:w="2853" w:type="dxa"/>
                  <w:vMerge w:val="continue"/>
                  <w:tcBorders>
                    <w:tl2br w:val="nil"/>
                    <w:tr2bl w:val="nil"/>
                  </w:tcBorders>
                  <w:noWrap w:val="0"/>
                  <w:vAlign w:val="center"/>
                </w:tcPr>
                <w:p w14:paraId="41D7D952">
                  <w:pPr>
                    <w:widowControl w:val="0"/>
                    <w:adjustRightInd w:val="0"/>
                    <w:snapToGrid w:val="0"/>
                    <w:spacing w:after="0"/>
                    <w:jc w:val="center"/>
                    <w:rPr>
                      <w:rFonts w:hint="eastAsia" w:ascii="宋体" w:hAnsi="宋体" w:eastAsia="宋体" w:cs="宋体"/>
                      <w:color w:val="auto"/>
                      <w:kern w:val="2"/>
                      <w:sz w:val="21"/>
                      <w:szCs w:val="21"/>
                    </w:rPr>
                  </w:pPr>
                </w:p>
              </w:tc>
            </w:tr>
            <w:tr w14:paraId="7202F6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62" w:hRule="atLeast"/>
                <w:jc w:val="center"/>
              </w:trPr>
              <w:tc>
                <w:tcPr>
                  <w:tcW w:w="1022" w:type="dxa"/>
                  <w:tcBorders>
                    <w:tl2br w:val="nil"/>
                    <w:tr2bl w:val="nil"/>
                  </w:tcBorders>
                  <w:noWrap w:val="0"/>
                  <w:vAlign w:val="center"/>
                </w:tcPr>
                <w:p w14:paraId="5DD5E33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3</w:t>
                  </w:r>
                </w:p>
              </w:tc>
              <w:tc>
                <w:tcPr>
                  <w:tcW w:w="2381" w:type="dxa"/>
                  <w:tcBorders>
                    <w:tl2br w:val="nil"/>
                    <w:tr2bl w:val="nil"/>
                  </w:tcBorders>
                  <w:noWrap w:val="0"/>
                  <w:vAlign w:val="center"/>
                </w:tcPr>
                <w:p w14:paraId="04243596">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BOD</w:t>
                  </w:r>
                  <w:r>
                    <w:rPr>
                      <w:rFonts w:hint="default" w:ascii="Times New Roman" w:hAnsi="Times New Roman" w:eastAsia="宋体" w:cs="Times New Roman"/>
                      <w:color w:val="auto"/>
                      <w:kern w:val="2"/>
                      <w:sz w:val="21"/>
                      <w:szCs w:val="21"/>
                      <w:vertAlign w:val="subscript"/>
                    </w:rPr>
                    <w:t>5</w:t>
                  </w:r>
                </w:p>
              </w:tc>
              <w:tc>
                <w:tcPr>
                  <w:tcW w:w="2081" w:type="dxa"/>
                  <w:tcBorders>
                    <w:tl2br w:val="nil"/>
                    <w:tr2bl w:val="nil"/>
                  </w:tcBorders>
                  <w:noWrap w:val="0"/>
                  <w:vAlign w:val="center"/>
                </w:tcPr>
                <w:p w14:paraId="7274C4C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rPr>
                    <w:t>3</w:t>
                  </w:r>
                  <w:r>
                    <w:rPr>
                      <w:rFonts w:hint="default" w:ascii="Times New Roman" w:hAnsi="Times New Roman" w:eastAsia="宋体" w:cs="Times New Roman"/>
                      <w:color w:val="auto"/>
                      <w:kern w:val="2"/>
                      <w:sz w:val="21"/>
                      <w:szCs w:val="21"/>
                    </w:rPr>
                    <w:t>00</w:t>
                  </w:r>
                </w:p>
              </w:tc>
              <w:tc>
                <w:tcPr>
                  <w:tcW w:w="2853" w:type="dxa"/>
                  <w:vMerge w:val="continue"/>
                  <w:tcBorders>
                    <w:tl2br w:val="nil"/>
                    <w:tr2bl w:val="nil"/>
                  </w:tcBorders>
                  <w:noWrap w:val="0"/>
                  <w:vAlign w:val="center"/>
                </w:tcPr>
                <w:p w14:paraId="14B7FC90">
                  <w:pPr>
                    <w:widowControl w:val="0"/>
                    <w:adjustRightInd w:val="0"/>
                    <w:snapToGrid w:val="0"/>
                    <w:spacing w:after="0"/>
                    <w:jc w:val="center"/>
                    <w:rPr>
                      <w:rFonts w:hint="eastAsia" w:ascii="宋体" w:hAnsi="宋体" w:eastAsia="宋体" w:cs="宋体"/>
                      <w:color w:val="auto"/>
                      <w:kern w:val="2"/>
                      <w:sz w:val="21"/>
                      <w:szCs w:val="21"/>
                    </w:rPr>
                  </w:pPr>
                </w:p>
              </w:tc>
            </w:tr>
            <w:tr w14:paraId="51C7F9C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042E472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4</w:t>
                  </w:r>
                </w:p>
              </w:tc>
              <w:tc>
                <w:tcPr>
                  <w:tcW w:w="2381" w:type="dxa"/>
                  <w:tcBorders>
                    <w:tl2br w:val="nil"/>
                    <w:tr2bl w:val="nil"/>
                  </w:tcBorders>
                  <w:noWrap w:val="0"/>
                  <w:vAlign w:val="center"/>
                </w:tcPr>
                <w:p w14:paraId="266485F1">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SS</w:t>
                  </w:r>
                </w:p>
              </w:tc>
              <w:tc>
                <w:tcPr>
                  <w:tcW w:w="2081" w:type="dxa"/>
                  <w:tcBorders>
                    <w:tl2br w:val="nil"/>
                    <w:tr2bl w:val="nil"/>
                  </w:tcBorders>
                  <w:noWrap w:val="0"/>
                  <w:vAlign w:val="center"/>
                </w:tcPr>
                <w:p w14:paraId="1CBB661E">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lang w:val="en-US" w:eastAsia="zh-CN"/>
                    </w:rPr>
                    <w:t>40</w:t>
                  </w:r>
                  <w:r>
                    <w:rPr>
                      <w:rFonts w:hint="default" w:ascii="Times New Roman" w:hAnsi="Times New Roman" w:eastAsia="宋体" w:cs="Times New Roman"/>
                      <w:color w:val="auto"/>
                      <w:kern w:val="2"/>
                      <w:sz w:val="21"/>
                      <w:szCs w:val="21"/>
                    </w:rPr>
                    <w:t>0</w:t>
                  </w:r>
                </w:p>
              </w:tc>
              <w:tc>
                <w:tcPr>
                  <w:tcW w:w="2853" w:type="dxa"/>
                  <w:vMerge w:val="continue"/>
                  <w:tcBorders>
                    <w:tl2br w:val="nil"/>
                    <w:tr2bl w:val="nil"/>
                  </w:tcBorders>
                  <w:noWrap w:val="0"/>
                  <w:vAlign w:val="center"/>
                </w:tcPr>
                <w:p w14:paraId="01CA3B72">
                  <w:pPr>
                    <w:widowControl w:val="0"/>
                    <w:adjustRightInd w:val="0"/>
                    <w:snapToGrid w:val="0"/>
                    <w:spacing w:after="0"/>
                    <w:jc w:val="center"/>
                    <w:rPr>
                      <w:rFonts w:hint="eastAsia" w:ascii="宋体" w:hAnsi="宋体" w:eastAsia="宋体" w:cs="宋体"/>
                      <w:color w:val="auto"/>
                      <w:kern w:val="2"/>
                      <w:sz w:val="21"/>
                      <w:szCs w:val="21"/>
                    </w:rPr>
                  </w:pPr>
                </w:p>
              </w:tc>
            </w:tr>
            <w:tr w14:paraId="32AEBCD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4C3FFA9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5</w:t>
                  </w:r>
                </w:p>
              </w:tc>
              <w:tc>
                <w:tcPr>
                  <w:tcW w:w="2381" w:type="dxa"/>
                  <w:tcBorders>
                    <w:tl2br w:val="nil"/>
                    <w:tr2bl w:val="nil"/>
                  </w:tcBorders>
                  <w:noWrap w:val="0"/>
                  <w:vAlign w:val="center"/>
                </w:tcPr>
                <w:p w14:paraId="0D6522C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氨氮</w:t>
                  </w:r>
                </w:p>
              </w:tc>
              <w:tc>
                <w:tcPr>
                  <w:tcW w:w="2081" w:type="dxa"/>
                  <w:tcBorders>
                    <w:tl2br w:val="nil"/>
                    <w:tr2bl w:val="nil"/>
                  </w:tcBorders>
                  <w:noWrap w:val="0"/>
                  <w:vAlign w:val="top"/>
                </w:tcPr>
                <w:p w14:paraId="196F7A5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w:t>
                  </w:r>
                </w:p>
              </w:tc>
              <w:tc>
                <w:tcPr>
                  <w:tcW w:w="2853" w:type="dxa"/>
                  <w:vMerge w:val="continue"/>
                  <w:tcBorders>
                    <w:tl2br w:val="nil"/>
                    <w:tr2bl w:val="nil"/>
                  </w:tcBorders>
                  <w:noWrap w:val="0"/>
                  <w:vAlign w:val="center"/>
                </w:tcPr>
                <w:p w14:paraId="42C82C7A">
                  <w:pPr>
                    <w:widowControl w:val="0"/>
                    <w:adjustRightInd w:val="0"/>
                    <w:snapToGrid w:val="0"/>
                    <w:spacing w:after="0"/>
                    <w:jc w:val="center"/>
                    <w:rPr>
                      <w:rFonts w:hint="eastAsia" w:ascii="宋体" w:hAnsi="宋体" w:eastAsia="宋体" w:cs="宋体"/>
                      <w:color w:val="auto"/>
                      <w:kern w:val="2"/>
                      <w:sz w:val="21"/>
                      <w:szCs w:val="21"/>
                    </w:rPr>
                  </w:pPr>
                </w:p>
              </w:tc>
            </w:tr>
            <w:tr w14:paraId="2D01593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tcBorders>
                    <w:tl2br w:val="nil"/>
                    <w:tr2bl w:val="nil"/>
                  </w:tcBorders>
                  <w:noWrap w:val="0"/>
                  <w:vAlign w:val="center"/>
                </w:tcPr>
                <w:p w14:paraId="15B346B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6</w:t>
                  </w:r>
                </w:p>
              </w:tc>
              <w:tc>
                <w:tcPr>
                  <w:tcW w:w="2381" w:type="dxa"/>
                  <w:tcBorders>
                    <w:tl2br w:val="nil"/>
                    <w:tr2bl w:val="nil"/>
                  </w:tcBorders>
                  <w:noWrap w:val="0"/>
                  <w:vAlign w:val="center"/>
                </w:tcPr>
                <w:p w14:paraId="5344C307">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Cs/>
                      <w:kern w:val="2"/>
                      <w:sz w:val="21"/>
                      <w:szCs w:val="21"/>
                      <w:lang w:val="en-US" w:eastAsia="zh-CN"/>
                    </w:rPr>
                    <w:t>石油类</w:t>
                  </w:r>
                </w:p>
              </w:tc>
              <w:tc>
                <w:tcPr>
                  <w:tcW w:w="2081" w:type="dxa"/>
                  <w:tcBorders>
                    <w:tl2br w:val="nil"/>
                    <w:tr2bl w:val="nil"/>
                  </w:tcBorders>
                  <w:noWrap w:val="0"/>
                  <w:vAlign w:val="top"/>
                </w:tcPr>
                <w:p w14:paraId="23C70C01">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rPr>
                    <w:t>30</w:t>
                  </w:r>
                </w:p>
              </w:tc>
              <w:tc>
                <w:tcPr>
                  <w:tcW w:w="2853" w:type="dxa"/>
                  <w:vMerge w:val="continue"/>
                  <w:tcBorders>
                    <w:tl2br w:val="nil"/>
                    <w:tr2bl w:val="nil"/>
                  </w:tcBorders>
                  <w:noWrap w:val="0"/>
                  <w:vAlign w:val="center"/>
                </w:tcPr>
                <w:p w14:paraId="18A27CFD">
                  <w:pPr>
                    <w:widowControl w:val="0"/>
                    <w:adjustRightInd w:val="0"/>
                    <w:snapToGrid w:val="0"/>
                    <w:spacing w:after="0"/>
                    <w:jc w:val="center"/>
                    <w:rPr>
                      <w:rFonts w:hint="eastAsia" w:ascii="宋体" w:hAnsi="宋体" w:eastAsia="宋体" w:cs="宋体"/>
                      <w:color w:val="auto"/>
                      <w:kern w:val="2"/>
                      <w:sz w:val="21"/>
                      <w:szCs w:val="21"/>
                    </w:rPr>
                  </w:pPr>
                </w:p>
              </w:tc>
            </w:tr>
          </w:tbl>
          <w:p w14:paraId="1BED010F">
            <w:pPr>
              <w:widowControl w:val="0"/>
              <w:adjustRightInd w:val="0"/>
              <w:snapToGrid w:val="0"/>
              <w:spacing w:after="0"/>
              <w:jc w:val="center"/>
              <w:rPr>
                <w:rFonts w:hint="eastAsia" w:ascii="宋体" w:hAnsi="宋体" w:eastAsia="宋体" w:cs="宋体"/>
                <w:b/>
                <w:color w:val="auto"/>
                <w:kern w:val="2"/>
                <w:sz w:val="21"/>
                <w:szCs w:val="21"/>
                <w:u w:val="single"/>
              </w:rPr>
            </w:pPr>
          </w:p>
          <w:p w14:paraId="702B9DD6">
            <w:pPr>
              <w:widowControl w:val="0"/>
              <w:adjustRightInd w:val="0"/>
              <w:snapToGrid w:val="0"/>
              <w:spacing w:after="0"/>
              <w:jc w:val="center"/>
              <w:rPr>
                <w:rFonts w:hint="eastAsia" w:ascii="Times New Roman" w:hAnsi="Times New Roman" w:eastAsia="宋体" w:cs="Times New Roman"/>
                <w:b/>
                <w:color w:val="auto"/>
                <w:kern w:val="2"/>
                <w:sz w:val="21"/>
                <w:szCs w:val="21"/>
                <w:u w:val="none"/>
              </w:rPr>
            </w:pPr>
            <w:r>
              <w:rPr>
                <w:rFonts w:hint="eastAsia" w:ascii="Times New Roman" w:hAnsi="Times New Roman" w:eastAsia="宋体" w:cs="Times New Roman"/>
                <w:b/>
                <w:color w:val="auto"/>
                <w:kern w:val="2"/>
                <w:sz w:val="21"/>
                <w:szCs w:val="21"/>
                <w:u w:val="none"/>
              </w:rPr>
              <w:t>表</w:t>
            </w:r>
            <w:r>
              <w:rPr>
                <w:rFonts w:hint="eastAsia" w:ascii="Times New Roman" w:hAnsi="Times New Roman" w:eastAsia="宋体" w:cs="Times New Roman"/>
                <w:b/>
                <w:color w:val="auto"/>
                <w:kern w:val="2"/>
                <w:sz w:val="21"/>
                <w:szCs w:val="21"/>
                <w:u w:val="none"/>
                <w:lang w:val="en-US" w:eastAsia="zh-CN"/>
              </w:rPr>
              <w:t>1-2</w:t>
            </w:r>
            <w:r>
              <w:rPr>
                <w:rFonts w:hint="eastAsia" w:ascii="Times New Roman" w:hAnsi="Times New Roman" w:eastAsia="宋体" w:cs="Times New Roman"/>
                <w:b/>
                <w:color w:val="auto"/>
                <w:kern w:val="2"/>
                <w:sz w:val="21"/>
                <w:szCs w:val="21"/>
                <w:u w:val="none"/>
              </w:rPr>
              <w:t xml:space="preserve">   城镇污水处理厂废水排放标准   单位：mg/L，pH（无量纲）</w:t>
            </w:r>
          </w:p>
          <w:tbl>
            <w:tblPr>
              <w:tblStyle w:val="10"/>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787"/>
              <w:gridCol w:w="1602"/>
              <w:gridCol w:w="2346"/>
            </w:tblGrid>
            <w:tr w14:paraId="3B94B4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1D9DA9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序号</w:t>
                  </w:r>
                </w:p>
              </w:tc>
              <w:tc>
                <w:tcPr>
                  <w:tcW w:w="2379" w:type="dxa"/>
                  <w:noWrap w:val="0"/>
                  <w:vAlign w:val="center"/>
                </w:tcPr>
                <w:p w14:paraId="45D54A3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污染物</w:t>
                  </w:r>
                </w:p>
              </w:tc>
              <w:tc>
                <w:tcPr>
                  <w:tcW w:w="2083" w:type="dxa"/>
                  <w:noWrap w:val="0"/>
                  <w:vAlign w:val="center"/>
                </w:tcPr>
                <w:p w14:paraId="174A037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标准值</w:t>
                  </w:r>
                </w:p>
              </w:tc>
              <w:tc>
                <w:tcPr>
                  <w:tcW w:w="2853" w:type="dxa"/>
                  <w:noWrap w:val="0"/>
                  <w:vAlign w:val="center"/>
                </w:tcPr>
                <w:p w14:paraId="4646B2CF">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标准来源</w:t>
                  </w:r>
                </w:p>
              </w:tc>
            </w:tr>
            <w:tr w14:paraId="0827EF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noWrap w:val="0"/>
                  <w:vAlign w:val="center"/>
                </w:tcPr>
                <w:p w14:paraId="7811B5A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w:t>
                  </w:r>
                </w:p>
              </w:tc>
              <w:tc>
                <w:tcPr>
                  <w:tcW w:w="2379" w:type="dxa"/>
                  <w:noWrap w:val="0"/>
                  <w:vAlign w:val="center"/>
                </w:tcPr>
                <w:p w14:paraId="41EE8CFF">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pH</w:t>
                  </w:r>
                </w:p>
              </w:tc>
              <w:tc>
                <w:tcPr>
                  <w:tcW w:w="2083" w:type="dxa"/>
                  <w:noWrap w:val="0"/>
                  <w:vAlign w:val="center"/>
                </w:tcPr>
                <w:p w14:paraId="46B8946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6-9</w:t>
                  </w:r>
                </w:p>
              </w:tc>
              <w:tc>
                <w:tcPr>
                  <w:tcW w:w="2853" w:type="dxa"/>
                  <w:vMerge w:val="restart"/>
                  <w:noWrap w:val="0"/>
                  <w:vAlign w:val="center"/>
                </w:tcPr>
                <w:p w14:paraId="4F252058">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eastAsia" w:ascii="Times New Roman" w:hAnsi="Times New Roman" w:eastAsia="宋体" w:cs="Times New Roman"/>
                      <w:b w:val="0"/>
                      <w:bCs/>
                      <w:color w:val="000000"/>
                      <w:sz w:val="21"/>
                      <w:szCs w:val="21"/>
                      <w:lang w:val="zh-CN" w:eastAsia="zh-CN"/>
                    </w:rPr>
                    <w:t>《城镇污水处理厂污染物排放标准》（GB</w:t>
                  </w:r>
                  <w:r>
                    <w:rPr>
                      <w:rFonts w:hint="eastAsia" w:ascii="Times New Roman" w:hAnsi="Times New Roman" w:eastAsia="宋体" w:cs="Times New Roman"/>
                      <w:b w:val="0"/>
                      <w:bCs/>
                      <w:color w:val="000000"/>
                      <w:sz w:val="21"/>
                      <w:szCs w:val="21"/>
                      <w:lang w:val="en-US" w:eastAsia="zh-CN"/>
                    </w:rPr>
                    <w:t xml:space="preserve"> </w:t>
                  </w:r>
                  <w:r>
                    <w:rPr>
                      <w:rFonts w:hint="eastAsia" w:ascii="Times New Roman" w:hAnsi="Times New Roman" w:eastAsia="宋体" w:cs="Times New Roman"/>
                      <w:b w:val="0"/>
                      <w:bCs/>
                      <w:color w:val="000000"/>
                      <w:sz w:val="21"/>
                      <w:szCs w:val="21"/>
                      <w:lang w:val="zh-CN" w:eastAsia="zh-CN"/>
                    </w:rPr>
                    <w:t>18918-2002）表1中一级A</w:t>
                  </w:r>
                  <w:r>
                    <w:rPr>
                      <w:rFonts w:hint="eastAsia" w:ascii="Times New Roman" w:hAnsi="Times New Roman" w:eastAsia="宋体" w:cs="Times New Roman"/>
                      <w:b w:val="0"/>
                      <w:bCs/>
                      <w:color w:val="000000"/>
                      <w:sz w:val="21"/>
                      <w:szCs w:val="21"/>
                      <w:lang w:val="en-US" w:eastAsia="zh-CN"/>
                    </w:rPr>
                    <w:t>标准</w:t>
                  </w:r>
                </w:p>
              </w:tc>
            </w:tr>
            <w:tr w14:paraId="3820C3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E37AFFD">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2</w:t>
                  </w:r>
                </w:p>
              </w:tc>
              <w:tc>
                <w:tcPr>
                  <w:tcW w:w="2379" w:type="dxa"/>
                  <w:noWrap w:val="0"/>
                  <w:vAlign w:val="center"/>
                </w:tcPr>
                <w:p w14:paraId="7A64CD2A">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COD</w:t>
                  </w:r>
                </w:p>
              </w:tc>
              <w:tc>
                <w:tcPr>
                  <w:tcW w:w="2083" w:type="dxa"/>
                  <w:noWrap w:val="0"/>
                  <w:vAlign w:val="center"/>
                </w:tcPr>
                <w:p w14:paraId="076BB3C0">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50</w:t>
                  </w:r>
                </w:p>
              </w:tc>
              <w:tc>
                <w:tcPr>
                  <w:tcW w:w="2853" w:type="dxa"/>
                  <w:vMerge w:val="continue"/>
                  <w:noWrap w:val="0"/>
                  <w:vAlign w:val="center"/>
                </w:tcPr>
                <w:p w14:paraId="6AFFACBA">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45C669E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51" w:hRule="atLeast"/>
                <w:jc w:val="center"/>
              </w:trPr>
              <w:tc>
                <w:tcPr>
                  <w:tcW w:w="1022" w:type="dxa"/>
                  <w:noWrap w:val="0"/>
                  <w:vAlign w:val="center"/>
                </w:tcPr>
                <w:p w14:paraId="2099052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3</w:t>
                  </w:r>
                </w:p>
              </w:tc>
              <w:tc>
                <w:tcPr>
                  <w:tcW w:w="2379" w:type="dxa"/>
                  <w:noWrap w:val="0"/>
                  <w:vAlign w:val="center"/>
                </w:tcPr>
                <w:p w14:paraId="57A9EA33">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BOD</w:t>
                  </w:r>
                  <w:r>
                    <w:rPr>
                      <w:rFonts w:hint="default" w:ascii="Times New Roman" w:hAnsi="Times New Roman" w:eastAsia="宋体" w:cs="Times New Roman"/>
                      <w:color w:val="auto"/>
                      <w:kern w:val="2"/>
                      <w:sz w:val="21"/>
                      <w:szCs w:val="21"/>
                      <w:vertAlign w:val="subscript"/>
                    </w:rPr>
                    <w:t>5</w:t>
                  </w:r>
                </w:p>
              </w:tc>
              <w:tc>
                <w:tcPr>
                  <w:tcW w:w="2083" w:type="dxa"/>
                  <w:noWrap w:val="0"/>
                  <w:vAlign w:val="center"/>
                </w:tcPr>
                <w:p w14:paraId="26120922">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10</w:t>
                  </w:r>
                </w:p>
              </w:tc>
              <w:tc>
                <w:tcPr>
                  <w:tcW w:w="2853" w:type="dxa"/>
                  <w:vMerge w:val="continue"/>
                  <w:noWrap w:val="0"/>
                  <w:vAlign w:val="center"/>
                </w:tcPr>
                <w:p w14:paraId="0E6B271D">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50B4ED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7DEAADCC">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4</w:t>
                  </w:r>
                </w:p>
              </w:tc>
              <w:tc>
                <w:tcPr>
                  <w:tcW w:w="2379" w:type="dxa"/>
                  <w:noWrap w:val="0"/>
                  <w:vAlign w:val="center"/>
                </w:tcPr>
                <w:p w14:paraId="728ADF69">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SS</w:t>
                  </w:r>
                </w:p>
              </w:tc>
              <w:tc>
                <w:tcPr>
                  <w:tcW w:w="2083" w:type="dxa"/>
                  <w:noWrap w:val="0"/>
                  <w:vAlign w:val="center"/>
                </w:tcPr>
                <w:p w14:paraId="5E1D5256">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10</w:t>
                  </w:r>
                </w:p>
              </w:tc>
              <w:tc>
                <w:tcPr>
                  <w:tcW w:w="2853" w:type="dxa"/>
                  <w:vMerge w:val="continue"/>
                  <w:noWrap w:val="0"/>
                  <w:vAlign w:val="center"/>
                </w:tcPr>
                <w:p w14:paraId="44A27B86">
                  <w:pPr>
                    <w:widowControl w:val="0"/>
                    <w:adjustRightInd w:val="0"/>
                    <w:snapToGrid w:val="0"/>
                    <w:spacing w:after="0"/>
                    <w:jc w:val="center"/>
                    <w:rPr>
                      <w:rFonts w:hint="default" w:ascii="Times New Roman" w:hAnsi="Times New Roman" w:eastAsia="宋体" w:cs="Times New Roman"/>
                      <w:color w:val="auto"/>
                      <w:kern w:val="2"/>
                      <w:sz w:val="21"/>
                      <w:szCs w:val="21"/>
                    </w:rPr>
                  </w:pPr>
                </w:p>
              </w:tc>
            </w:tr>
            <w:tr w14:paraId="7BD35F6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41" w:hRule="atLeast"/>
                <w:jc w:val="center"/>
              </w:trPr>
              <w:tc>
                <w:tcPr>
                  <w:tcW w:w="1022" w:type="dxa"/>
                  <w:noWrap w:val="0"/>
                  <w:vAlign w:val="center"/>
                </w:tcPr>
                <w:p w14:paraId="0B6A20D4">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w:t>
                  </w:r>
                </w:p>
              </w:tc>
              <w:tc>
                <w:tcPr>
                  <w:tcW w:w="2379" w:type="dxa"/>
                  <w:noWrap w:val="0"/>
                  <w:vAlign w:val="center"/>
                </w:tcPr>
                <w:p w14:paraId="61CC447B">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氨氮</w:t>
                  </w:r>
                </w:p>
              </w:tc>
              <w:tc>
                <w:tcPr>
                  <w:tcW w:w="2083" w:type="dxa"/>
                  <w:noWrap w:val="0"/>
                  <w:vAlign w:val="center"/>
                </w:tcPr>
                <w:p w14:paraId="6F61A2C7">
                  <w:pPr>
                    <w:widowControl w:val="0"/>
                    <w:adjustRightInd w:val="0"/>
                    <w:snapToGrid w:val="0"/>
                    <w:spacing w:after="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5（8）</w:t>
                  </w:r>
                </w:p>
              </w:tc>
              <w:tc>
                <w:tcPr>
                  <w:tcW w:w="2853" w:type="dxa"/>
                  <w:vMerge w:val="continue"/>
                  <w:noWrap w:val="0"/>
                  <w:vAlign w:val="center"/>
                </w:tcPr>
                <w:p w14:paraId="177AF897">
                  <w:pPr>
                    <w:widowControl w:val="0"/>
                    <w:adjustRightInd w:val="0"/>
                    <w:snapToGrid w:val="0"/>
                    <w:spacing w:after="0"/>
                    <w:jc w:val="center"/>
                    <w:rPr>
                      <w:rFonts w:hint="default" w:ascii="Times New Roman" w:hAnsi="Times New Roman" w:eastAsia="宋体" w:cs="Times New Roman"/>
                      <w:color w:val="auto"/>
                      <w:kern w:val="2"/>
                      <w:sz w:val="21"/>
                      <w:szCs w:val="21"/>
                    </w:rPr>
                  </w:pPr>
                </w:p>
              </w:tc>
            </w:tr>
          </w:tbl>
          <w:p w14:paraId="66EC89A7">
            <w:pPr>
              <w:widowControl w:val="0"/>
              <w:adjustRightInd/>
              <w:snapToGrid/>
              <w:spacing w:after="0" w:line="360" w:lineRule="auto"/>
              <w:ind w:firstLine="482" w:firstLineChars="200"/>
              <w:jc w:val="both"/>
              <w:rPr>
                <w:rFonts w:hint="eastAsia" w:ascii="宋体" w:hAnsi="宋体" w:eastAsia="宋体" w:cs="Times New Roman"/>
                <w:b/>
                <w:color w:val="000000"/>
                <w:kern w:val="2"/>
                <w:sz w:val="24"/>
                <w:szCs w:val="24"/>
              </w:rPr>
            </w:pPr>
            <w:r>
              <w:rPr>
                <w:rFonts w:hint="default" w:ascii="Times New Roman" w:hAnsi="Times New Roman" w:eastAsia="宋体" w:cs="Times New Roman"/>
                <w:b/>
                <w:color w:val="000000"/>
                <w:kern w:val="2"/>
                <w:sz w:val="24"/>
                <w:szCs w:val="24"/>
                <w:lang w:val="en-US" w:eastAsia="zh-CN"/>
              </w:rPr>
              <w:t>2</w:t>
            </w:r>
            <w:r>
              <w:rPr>
                <w:rFonts w:hint="eastAsia" w:ascii="宋体" w:hAnsi="宋体" w:eastAsia="宋体" w:cs="Times New Roman"/>
                <w:b/>
                <w:color w:val="000000"/>
                <w:kern w:val="2"/>
                <w:sz w:val="24"/>
                <w:szCs w:val="24"/>
              </w:rPr>
              <w:t>、废气</w:t>
            </w:r>
          </w:p>
          <w:p w14:paraId="5B345A2D">
            <w:pPr>
              <w:widowControl w:val="0"/>
              <w:adjustRightInd w:val="0"/>
              <w:snapToGrid w:val="0"/>
              <w:spacing w:after="0" w:line="360" w:lineRule="auto"/>
              <w:ind w:firstLine="472" w:firstLineChars="200"/>
              <w:jc w:val="both"/>
              <w:rPr>
                <w:rFonts w:ascii="宋体" w:hAnsi="宋体" w:eastAsia="宋体" w:cs="Times New Roman"/>
                <w:kern w:val="2"/>
                <w:sz w:val="24"/>
                <w:szCs w:val="21"/>
              </w:rPr>
            </w:pPr>
            <w:r>
              <w:rPr>
                <w:rFonts w:hint="eastAsia" w:ascii="Times New Roman" w:hAnsi="Times New Roman" w:eastAsia="宋体" w:cs="Times New Roman"/>
                <w:color w:val="000000"/>
                <w:spacing w:val="-2"/>
                <w:kern w:val="2"/>
                <w:sz w:val="24"/>
                <w:szCs w:val="24"/>
              </w:rPr>
              <w:t>本项目运营期汽车拆解过程中排放</w:t>
            </w:r>
            <w:r>
              <w:rPr>
                <w:rFonts w:ascii="Times New Roman" w:hAnsi="Times New Roman" w:eastAsia="宋体" w:cs="Times New Roman"/>
                <w:color w:val="000000"/>
                <w:spacing w:val="-2"/>
                <w:kern w:val="2"/>
                <w:sz w:val="24"/>
                <w:szCs w:val="24"/>
              </w:rPr>
              <w:t>的</w:t>
            </w:r>
            <w:r>
              <w:rPr>
                <w:rFonts w:ascii="Times New Roman" w:hAnsi="Times New Roman" w:eastAsia="宋体" w:cs="Times New Roman"/>
                <w:bCs/>
                <w:kern w:val="2"/>
                <w:sz w:val="24"/>
                <w:szCs w:val="24"/>
              </w:rPr>
              <w:t>颗粒物</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非甲烷总烃</w:t>
            </w:r>
            <w:r>
              <w:rPr>
                <w:rFonts w:hint="eastAsia" w:ascii="Times New Roman" w:hAnsi="Times New Roman" w:eastAsia="宋体" w:cs="Times New Roman"/>
                <w:bCs/>
                <w:kern w:val="2"/>
                <w:sz w:val="24"/>
                <w:szCs w:val="24"/>
                <w:lang w:eastAsia="zh-CN"/>
              </w:rPr>
              <w:t>、</w:t>
            </w:r>
            <w:r>
              <w:rPr>
                <w:rFonts w:hint="eastAsia" w:ascii="Times New Roman" w:hAnsi="Times New Roman" w:eastAsia="宋体" w:cs="Times New Roman"/>
                <w:bCs/>
                <w:kern w:val="2"/>
                <w:sz w:val="24"/>
                <w:szCs w:val="24"/>
                <w:lang w:val="en-US" w:eastAsia="zh-CN"/>
              </w:rPr>
              <w:t>硫酸雾、铅及其化合物</w:t>
            </w:r>
            <w:r>
              <w:rPr>
                <w:rFonts w:ascii="Times New Roman" w:hAnsi="Times New Roman" w:eastAsia="宋体" w:cs="Times New Roman"/>
                <w:bCs/>
                <w:kern w:val="2"/>
                <w:sz w:val="24"/>
                <w:szCs w:val="24"/>
              </w:rPr>
              <w:t>执行《大气污染物综合排放标准》</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GB16297-1996</w:t>
            </w:r>
            <w:r>
              <w:rPr>
                <w:rFonts w:hint="eastAsia" w:ascii="Times New Roman" w:hAnsi="Times New Roman" w:eastAsia="宋体" w:cs="Times New Roman"/>
                <w:bCs/>
                <w:kern w:val="2"/>
                <w:sz w:val="24"/>
                <w:szCs w:val="24"/>
                <w:lang w:eastAsia="zh-CN"/>
              </w:rPr>
              <w:t>）</w:t>
            </w:r>
            <w:r>
              <w:rPr>
                <w:rFonts w:ascii="Times New Roman" w:hAnsi="Times New Roman" w:eastAsia="宋体" w:cs="Times New Roman"/>
                <w:bCs/>
                <w:kern w:val="2"/>
                <w:sz w:val="24"/>
                <w:szCs w:val="24"/>
              </w:rPr>
              <w:t>中表2排放</w:t>
            </w:r>
            <w:r>
              <w:rPr>
                <w:rFonts w:hint="eastAsia" w:ascii="Times New Roman" w:hAnsi="Times New Roman" w:eastAsia="宋体" w:cs="Times New Roman"/>
                <w:bCs/>
                <w:kern w:val="2"/>
                <w:sz w:val="24"/>
                <w:szCs w:val="24"/>
                <w:lang w:val="en-US" w:eastAsia="zh-CN"/>
              </w:rPr>
              <w:t>标准要求</w:t>
            </w:r>
            <w:r>
              <w:rPr>
                <w:rFonts w:ascii="Times New Roman" w:hAnsi="Times New Roman" w:eastAsia="宋体" w:cs="Times New Roman"/>
                <w:bCs/>
                <w:kern w:val="2"/>
                <w:sz w:val="24"/>
                <w:szCs w:val="24"/>
              </w:rPr>
              <w:t>，</w:t>
            </w:r>
            <w:r>
              <w:rPr>
                <w:rFonts w:hint="eastAsia" w:ascii="Times New Roman" w:hAnsi="Times New Roman" w:eastAsia="宋体" w:cs="Times New Roman"/>
                <w:bCs/>
                <w:kern w:val="2"/>
                <w:sz w:val="24"/>
                <w:szCs w:val="24"/>
                <w:lang w:val="en-US" w:eastAsia="zh-CN"/>
              </w:rPr>
              <w:t>厂区内</w:t>
            </w:r>
            <w:r>
              <w:rPr>
                <w:rFonts w:ascii="Times New Roman" w:hAnsi="Times New Roman" w:eastAsia="宋体" w:cs="Times New Roman"/>
                <w:bCs/>
                <w:kern w:val="2"/>
                <w:sz w:val="24"/>
                <w:szCs w:val="24"/>
              </w:rPr>
              <w:t>非甲烷总烃</w:t>
            </w:r>
            <w:r>
              <w:rPr>
                <w:rFonts w:hint="eastAsia" w:ascii="Times New Roman" w:hAnsi="Times New Roman" w:eastAsia="宋体" w:cs="Times New Roman"/>
                <w:bCs/>
                <w:kern w:val="2"/>
                <w:sz w:val="24"/>
                <w:szCs w:val="24"/>
                <w:lang w:val="en-US" w:eastAsia="zh-CN"/>
              </w:rPr>
              <w:t>执行</w:t>
            </w:r>
            <w:r>
              <w:rPr>
                <w:rFonts w:ascii="Times New Roman" w:hAnsi="Times New Roman" w:eastAsia="宋体" w:cs="Times New Roman"/>
                <w:bCs/>
                <w:kern w:val="2"/>
                <w:sz w:val="24"/>
                <w:szCs w:val="24"/>
              </w:rPr>
              <w:t>《挥发性有机物无组织排放控制标准》（GB37822-2019）中</w:t>
            </w:r>
            <w:r>
              <w:rPr>
                <w:rFonts w:hint="eastAsia" w:ascii="Times New Roman" w:hAnsi="Times New Roman" w:eastAsia="宋体" w:cs="Times New Roman"/>
                <w:bCs/>
                <w:kern w:val="2"/>
                <w:sz w:val="24"/>
                <w:szCs w:val="24"/>
                <w:lang w:val="en-US" w:eastAsia="zh-CN"/>
              </w:rPr>
              <w:t>表 A.1 中特别排放限值要求</w:t>
            </w:r>
            <w:r>
              <w:rPr>
                <w:rFonts w:ascii="Times New Roman" w:hAnsi="Times New Roman" w:eastAsia="宋体" w:cs="Times New Roman"/>
                <w:bCs/>
                <w:kern w:val="2"/>
                <w:sz w:val="24"/>
                <w:szCs w:val="24"/>
              </w:rPr>
              <w:t>，本项目废气排放标准见下表。</w:t>
            </w:r>
          </w:p>
          <w:p w14:paraId="4D39B356">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1-3</w:t>
            </w:r>
            <w:r>
              <w:rPr>
                <w:rFonts w:hint="default" w:ascii="Times New Roman" w:hAnsi="Times New Roman" w:eastAsia="宋体" w:cs="Times New Roman"/>
                <w:b/>
                <w:color w:val="auto"/>
                <w:kern w:val="2"/>
                <w:sz w:val="21"/>
                <w:szCs w:val="21"/>
                <w:u w:val="none"/>
              </w:rPr>
              <w:t xml:space="preserve">   《大气污染物综合排放标准》（GB16297-1996）</w:t>
            </w:r>
          </w:p>
          <w:tbl>
            <w:tblPr>
              <w:tblStyle w:val="1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1196"/>
              <w:gridCol w:w="1085"/>
              <w:gridCol w:w="750"/>
              <w:gridCol w:w="1154"/>
              <w:gridCol w:w="1297"/>
            </w:tblGrid>
            <w:tr w14:paraId="686429D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vMerge w:val="restart"/>
                  <w:noWrap w:val="0"/>
                  <w:vAlign w:val="center"/>
                </w:tcPr>
                <w:p w14:paraId="4728E328">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污染物</w:t>
                  </w:r>
                </w:p>
              </w:tc>
              <w:tc>
                <w:tcPr>
                  <w:tcW w:w="914" w:type="pct"/>
                  <w:vMerge w:val="restart"/>
                  <w:noWrap w:val="0"/>
                  <w:vAlign w:val="center"/>
                </w:tcPr>
                <w:p w14:paraId="61369CA2">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最高允许排放浓度（mg/m</w:t>
                  </w:r>
                  <w:r>
                    <w:rPr>
                      <w:rFonts w:hint="default" w:ascii="Times New Roman" w:hAnsi="Times New Roman" w:eastAsia="宋体" w:cs="Times New Roman"/>
                      <w:color w:val="auto"/>
                      <w:kern w:val="2"/>
                      <w:sz w:val="21"/>
                      <w:szCs w:val="21"/>
                      <w:vertAlign w:val="superscript"/>
                      <w:lang w:val="zh-CN"/>
                    </w:rPr>
                    <w:t>3</w:t>
                  </w:r>
                  <w:r>
                    <w:rPr>
                      <w:rFonts w:hint="default" w:ascii="Times New Roman" w:hAnsi="Times New Roman" w:eastAsia="宋体" w:cs="Times New Roman"/>
                      <w:color w:val="auto"/>
                      <w:kern w:val="2"/>
                      <w:sz w:val="21"/>
                      <w:szCs w:val="21"/>
                      <w:lang w:val="zh-CN"/>
                    </w:rPr>
                    <w:t>）</w:t>
                  </w:r>
                </w:p>
              </w:tc>
              <w:tc>
                <w:tcPr>
                  <w:tcW w:w="1402" w:type="pct"/>
                  <w:gridSpan w:val="2"/>
                  <w:noWrap w:val="0"/>
                  <w:vAlign w:val="center"/>
                </w:tcPr>
                <w:p w14:paraId="3DAF2A19">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最高允许排放速(kg/h)</w:t>
                  </w:r>
                </w:p>
              </w:tc>
              <w:tc>
                <w:tcPr>
                  <w:tcW w:w="1873" w:type="pct"/>
                  <w:gridSpan w:val="2"/>
                  <w:noWrap w:val="0"/>
                  <w:vAlign w:val="center"/>
                </w:tcPr>
                <w:p w14:paraId="26F90BC4">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无组织排放浓度监控限值</w:t>
                  </w:r>
                </w:p>
              </w:tc>
            </w:tr>
            <w:tr w14:paraId="3BEE659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vMerge w:val="continue"/>
                  <w:noWrap w:val="0"/>
                  <w:vAlign w:val="center"/>
                </w:tcPr>
                <w:p w14:paraId="0CF5AEC0">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14" w:type="pct"/>
                  <w:vMerge w:val="continue"/>
                  <w:noWrap w:val="0"/>
                  <w:vAlign w:val="center"/>
                </w:tcPr>
                <w:p w14:paraId="2A344792">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829" w:type="pct"/>
                  <w:noWrap w:val="0"/>
                  <w:vAlign w:val="center"/>
                </w:tcPr>
                <w:p w14:paraId="17B3610F">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排气筒（m）</w:t>
                  </w:r>
                </w:p>
              </w:tc>
              <w:tc>
                <w:tcPr>
                  <w:tcW w:w="572" w:type="pct"/>
                  <w:noWrap w:val="0"/>
                  <w:vAlign w:val="center"/>
                </w:tcPr>
                <w:p w14:paraId="25466F25">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二级</w:t>
                  </w:r>
                </w:p>
              </w:tc>
              <w:tc>
                <w:tcPr>
                  <w:tcW w:w="882" w:type="pct"/>
                  <w:noWrap w:val="0"/>
                  <w:vAlign w:val="center"/>
                </w:tcPr>
                <w:p w14:paraId="2E422833">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监控点</w:t>
                  </w:r>
                </w:p>
              </w:tc>
              <w:tc>
                <w:tcPr>
                  <w:tcW w:w="991" w:type="pct"/>
                  <w:noWrap w:val="0"/>
                  <w:vAlign w:val="center"/>
                </w:tcPr>
                <w:p w14:paraId="7F674E5D">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浓度（mg/m</w:t>
                  </w:r>
                  <w:r>
                    <w:rPr>
                      <w:rFonts w:hint="default" w:ascii="Times New Roman" w:hAnsi="Times New Roman" w:eastAsia="宋体" w:cs="Times New Roman"/>
                      <w:color w:val="auto"/>
                      <w:kern w:val="2"/>
                      <w:sz w:val="21"/>
                      <w:szCs w:val="21"/>
                      <w:vertAlign w:val="superscript"/>
                      <w:lang w:val="zh-CN"/>
                    </w:rPr>
                    <w:t>3</w:t>
                  </w:r>
                  <w:r>
                    <w:rPr>
                      <w:rFonts w:hint="default" w:ascii="Times New Roman" w:hAnsi="Times New Roman" w:eastAsia="宋体" w:cs="Times New Roman"/>
                      <w:color w:val="auto"/>
                      <w:kern w:val="2"/>
                      <w:sz w:val="21"/>
                      <w:szCs w:val="21"/>
                      <w:lang w:val="zh-CN"/>
                    </w:rPr>
                    <w:t>）</w:t>
                  </w:r>
                </w:p>
              </w:tc>
            </w:tr>
            <w:tr w14:paraId="4F6FE6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554549C6">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颗粒物</w:t>
                  </w:r>
                </w:p>
              </w:tc>
              <w:tc>
                <w:tcPr>
                  <w:tcW w:w="914" w:type="pct"/>
                  <w:noWrap w:val="0"/>
                  <w:vAlign w:val="center"/>
                </w:tcPr>
                <w:p w14:paraId="7EF7529E">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120（其它）</w:t>
                  </w:r>
                </w:p>
              </w:tc>
              <w:tc>
                <w:tcPr>
                  <w:tcW w:w="829" w:type="pct"/>
                  <w:vMerge w:val="restart"/>
                  <w:noWrap w:val="0"/>
                  <w:vAlign w:val="center"/>
                </w:tcPr>
                <w:p w14:paraId="15443C3D">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15</w:t>
                  </w:r>
                </w:p>
              </w:tc>
              <w:tc>
                <w:tcPr>
                  <w:tcW w:w="572" w:type="pct"/>
                  <w:noWrap w:val="0"/>
                  <w:vAlign w:val="center"/>
                </w:tcPr>
                <w:p w14:paraId="3FAE9516">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3.5</w:t>
                  </w:r>
                </w:p>
              </w:tc>
              <w:tc>
                <w:tcPr>
                  <w:tcW w:w="882" w:type="pct"/>
                  <w:vMerge w:val="restart"/>
                  <w:noWrap w:val="0"/>
                  <w:vAlign w:val="center"/>
                </w:tcPr>
                <w:p w14:paraId="05E8441A">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周界外浓度最高点</w:t>
                  </w:r>
                </w:p>
              </w:tc>
              <w:tc>
                <w:tcPr>
                  <w:tcW w:w="991" w:type="pct"/>
                  <w:noWrap w:val="0"/>
                  <w:vAlign w:val="center"/>
                </w:tcPr>
                <w:p w14:paraId="662604F0">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1.0</w:t>
                  </w:r>
                </w:p>
              </w:tc>
            </w:tr>
            <w:tr w14:paraId="020AC2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3C18C93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非甲烷总烃</w:t>
                  </w:r>
                </w:p>
              </w:tc>
              <w:tc>
                <w:tcPr>
                  <w:tcW w:w="914" w:type="pct"/>
                  <w:noWrap w:val="0"/>
                  <w:vAlign w:val="center"/>
                </w:tcPr>
                <w:p w14:paraId="0F0B651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120</w:t>
                  </w:r>
                </w:p>
              </w:tc>
              <w:tc>
                <w:tcPr>
                  <w:tcW w:w="829" w:type="pct"/>
                  <w:vMerge w:val="continue"/>
                  <w:noWrap w:val="0"/>
                  <w:vAlign w:val="center"/>
                </w:tcPr>
                <w:p w14:paraId="3A3CE5C8">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572" w:type="pct"/>
                  <w:noWrap w:val="0"/>
                  <w:vAlign w:val="center"/>
                </w:tcPr>
                <w:p w14:paraId="1C1B4FF5">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10</w:t>
                  </w:r>
                </w:p>
              </w:tc>
              <w:tc>
                <w:tcPr>
                  <w:tcW w:w="882" w:type="pct"/>
                  <w:vMerge w:val="continue"/>
                  <w:noWrap w:val="0"/>
                  <w:vAlign w:val="center"/>
                </w:tcPr>
                <w:p w14:paraId="1ADAEA74">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35CF6333">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r>
                    <w:rPr>
                      <w:rFonts w:hint="default" w:ascii="Times New Roman" w:hAnsi="Times New Roman" w:eastAsia="宋体" w:cs="Times New Roman"/>
                      <w:color w:val="auto"/>
                      <w:kern w:val="2"/>
                      <w:sz w:val="21"/>
                      <w:szCs w:val="21"/>
                      <w:lang w:val="zh-CN"/>
                    </w:rPr>
                    <w:t>4.0</w:t>
                  </w:r>
                </w:p>
              </w:tc>
            </w:tr>
            <w:tr w14:paraId="7B29E7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54FE3AC0">
                  <w:pPr>
                    <w:widowControl w:val="0"/>
                    <w:adjustRightInd w:val="0"/>
                    <w:snapToGrid w:val="0"/>
                    <w:spacing w:after="0"/>
                    <w:jc w:val="center"/>
                    <w:rPr>
                      <w:rFonts w:hint="eastAsia"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硫酸雾</w:t>
                  </w:r>
                </w:p>
              </w:tc>
              <w:tc>
                <w:tcPr>
                  <w:tcW w:w="914" w:type="pct"/>
                  <w:noWrap w:val="0"/>
                  <w:vAlign w:val="center"/>
                </w:tcPr>
                <w:p w14:paraId="2158BB2F">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45</w:t>
                  </w:r>
                </w:p>
              </w:tc>
              <w:tc>
                <w:tcPr>
                  <w:tcW w:w="829" w:type="pct"/>
                  <w:vMerge w:val="restart"/>
                  <w:noWrap w:val="0"/>
                  <w:vAlign w:val="center"/>
                </w:tcPr>
                <w:p w14:paraId="745499E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15</w:t>
                  </w:r>
                </w:p>
              </w:tc>
              <w:tc>
                <w:tcPr>
                  <w:tcW w:w="572" w:type="pct"/>
                  <w:noWrap w:val="0"/>
                  <w:vAlign w:val="center"/>
                </w:tcPr>
                <w:p w14:paraId="31B568E0">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1.5</w:t>
                  </w:r>
                </w:p>
              </w:tc>
              <w:tc>
                <w:tcPr>
                  <w:tcW w:w="882" w:type="pct"/>
                  <w:vMerge w:val="continue"/>
                  <w:noWrap w:val="0"/>
                  <w:vAlign w:val="center"/>
                </w:tcPr>
                <w:p w14:paraId="6F6C17E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6ACE2A24">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1.2</w:t>
                  </w:r>
                </w:p>
              </w:tc>
            </w:tr>
            <w:tr w14:paraId="46DEAB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809" w:type="pct"/>
                  <w:noWrap w:val="0"/>
                  <w:vAlign w:val="center"/>
                </w:tcPr>
                <w:p w14:paraId="68D71F2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铅及其化合物</w:t>
                  </w:r>
                </w:p>
              </w:tc>
              <w:tc>
                <w:tcPr>
                  <w:tcW w:w="914" w:type="pct"/>
                  <w:noWrap w:val="0"/>
                  <w:vAlign w:val="center"/>
                </w:tcPr>
                <w:p w14:paraId="7A138448">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0.7</w:t>
                  </w:r>
                </w:p>
              </w:tc>
              <w:tc>
                <w:tcPr>
                  <w:tcW w:w="829" w:type="pct"/>
                  <w:vMerge w:val="continue"/>
                  <w:noWrap w:val="0"/>
                  <w:vAlign w:val="center"/>
                </w:tcPr>
                <w:p w14:paraId="1C16D9DB">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572" w:type="pct"/>
                  <w:noWrap w:val="0"/>
                  <w:vAlign w:val="center"/>
                </w:tcPr>
                <w:p w14:paraId="0867A1B9">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0.004</w:t>
                  </w:r>
                </w:p>
              </w:tc>
              <w:tc>
                <w:tcPr>
                  <w:tcW w:w="882" w:type="pct"/>
                  <w:vMerge w:val="continue"/>
                  <w:noWrap w:val="0"/>
                  <w:vAlign w:val="center"/>
                </w:tcPr>
                <w:p w14:paraId="4AAB854C">
                  <w:pPr>
                    <w:widowControl w:val="0"/>
                    <w:adjustRightInd w:val="0"/>
                    <w:snapToGrid w:val="0"/>
                    <w:spacing w:after="0"/>
                    <w:jc w:val="center"/>
                    <w:rPr>
                      <w:rFonts w:hint="default" w:ascii="Times New Roman" w:hAnsi="Times New Roman" w:eastAsia="宋体" w:cs="Times New Roman"/>
                      <w:color w:val="auto"/>
                      <w:kern w:val="2"/>
                      <w:sz w:val="21"/>
                      <w:szCs w:val="21"/>
                      <w:lang w:val="zh-CN"/>
                    </w:rPr>
                  </w:pPr>
                </w:p>
              </w:tc>
              <w:tc>
                <w:tcPr>
                  <w:tcW w:w="991" w:type="pct"/>
                  <w:noWrap w:val="0"/>
                  <w:vAlign w:val="center"/>
                </w:tcPr>
                <w:p w14:paraId="6871D21E">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0.006</w:t>
                  </w:r>
                </w:p>
              </w:tc>
            </w:tr>
          </w:tbl>
          <w:p w14:paraId="106818CA">
            <w:pPr>
              <w:widowControl w:val="0"/>
              <w:adjustRightInd w:val="0"/>
              <w:snapToGrid w:val="0"/>
              <w:spacing w:after="0"/>
              <w:jc w:val="center"/>
              <w:rPr>
                <w:rFonts w:hint="eastAsia" w:ascii="宋体" w:hAnsi="宋体" w:eastAsia="宋体" w:cs="宋体"/>
                <w:b/>
                <w:color w:val="auto"/>
                <w:kern w:val="2"/>
                <w:sz w:val="21"/>
                <w:szCs w:val="21"/>
                <w:u w:val="single"/>
                <w:lang w:val="en-US" w:eastAsia="zh-CN"/>
              </w:rPr>
            </w:pPr>
          </w:p>
          <w:p w14:paraId="58B08F30">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default" w:ascii="Times New Roman" w:hAnsi="Times New Roman" w:eastAsia="宋体" w:cs="Times New Roman"/>
                <w:b/>
                <w:color w:val="auto"/>
                <w:kern w:val="2"/>
                <w:sz w:val="21"/>
                <w:szCs w:val="21"/>
                <w:u w:val="none"/>
              </w:rPr>
              <w:t>表</w:t>
            </w:r>
            <w:r>
              <w:rPr>
                <w:rFonts w:hint="default" w:ascii="Times New Roman" w:hAnsi="Times New Roman" w:eastAsia="宋体" w:cs="Times New Roman"/>
                <w:b/>
                <w:color w:val="auto"/>
                <w:kern w:val="2"/>
                <w:sz w:val="21"/>
                <w:szCs w:val="21"/>
                <w:u w:val="none"/>
                <w:lang w:val="en-US" w:eastAsia="zh-CN"/>
              </w:rPr>
              <w:t>1-4</w:t>
            </w:r>
            <w:r>
              <w:rPr>
                <w:rFonts w:hint="default" w:ascii="Times New Roman" w:hAnsi="Times New Roman" w:eastAsia="宋体" w:cs="Times New Roman"/>
                <w:b/>
                <w:color w:val="auto"/>
                <w:kern w:val="2"/>
                <w:sz w:val="21"/>
                <w:szCs w:val="21"/>
                <w:u w:val="none"/>
              </w:rPr>
              <w:t xml:space="preserve"> 《挥发性有机物无组织排放控制标准》（GB37822-2019）</w:t>
            </w:r>
          </w:p>
          <w:tbl>
            <w:tblPr>
              <w:tblStyle w:val="10"/>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13"/>
              <w:gridCol w:w="1531"/>
              <w:gridCol w:w="2132"/>
              <w:gridCol w:w="1767"/>
            </w:tblGrid>
            <w:tr w14:paraId="23414D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c>
                <w:tcPr>
                  <w:tcW w:w="1396" w:type="dxa"/>
                  <w:noWrap w:val="0"/>
                  <w:vAlign w:val="center"/>
                </w:tcPr>
                <w:p w14:paraId="5EB07A0F">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污染物项目</w:t>
                  </w:r>
                </w:p>
              </w:tc>
              <w:tc>
                <w:tcPr>
                  <w:tcW w:w="1843" w:type="dxa"/>
                  <w:noWrap w:val="0"/>
                  <w:vAlign w:val="center"/>
                </w:tcPr>
                <w:p w14:paraId="401E70C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特别</w:t>
                  </w:r>
                  <w:r>
                    <w:rPr>
                      <w:rFonts w:hint="default" w:ascii="Times New Roman" w:hAnsi="Times New Roman" w:eastAsia="宋体" w:cs="Times New Roman"/>
                      <w:color w:val="auto"/>
                      <w:kern w:val="2"/>
                      <w:sz w:val="21"/>
                      <w:szCs w:val="21"/>
                      <w:lang w:val="en-US" w:eastAsia="zh-CN"/>
                    </w:rPr>
                    <w:t>排放限值</w:t>
                  </w:r>
                </w:p>
                <w:p w14:paraId="050E90C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单位：mg/m</w:t>
                  </w:r>
                  <w:r>
                    <w:rPr>
                      <w:rFonts w:hint="default" w:ascii="Times New Roman" w:hAnsi="Times New Roman" w:eastAsia="宋体" w:cs="Times New Roman"/>
                      <w:color w:val="auto"/>
                      <w:kern w:val="2"/>
                      <w:sz w:val="21"/>
                      <w:szCs w:val="21"/>
                      <w:vertAlign w:val="superscript"/>
                      <w:lang w:val="en-US" w:eastAsia="zh-CN"/>
                    </w:rPr>
                    <w:t>3</w:t>
                  </w:r>
                </w:p>
              </w:tc>
              <w:tc>
                <w:tcPr>
                  <w:tcW w:w="2835" w:type="dxa"/>
                  <w:noWrap w:val="0"/>
                  <w:vAlign w:val="center"/>
                </w:tcPr>
                <w:p w14:paraId="55F7F9C0">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限值含义</w:t>
                  </w:r>
                </w:p>
              </w:tc>
              <w:tc>
                <w:tcPr>
                  <w:tcW w:w="2320" w:type="dxa"/>
                  <w:noWrap w:val="0"/>
                  <w:vAlign w:val="center"/>
                </w:tcPr>
                <w:p w14:paraId="6A81E72C">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无组织排放监控位置</w:t>
                  </w:r>
                </w:p>
              </w:tc>
            </w:tr>
            <w:tr w14:paraId="2934C4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6" w:type="dxa"/>
                  <w:vMerge w:val="restart"/>
                  <w:noWrap w:val="0"/>
                  <w:vAlign w:val="center"/>
                </w:tcPr>
                <w:p w14:paraId="7B08794E">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非甲烷总烃</w:t>
                  </w:r>
                </w:p>
              </w:tc>
              <w:tc>
                <w:tcPr>
                  <w:tcW w:w="1843" w:type="dxa"/>
                  <w:noWrap w:val="0"/>
                  <w:vAlign w:val="center"/>
                </w:tcPr>
                <w:p w14:paraId="23839CB4">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6</w:t>
                  </w:r>
                </w:p>
              </w:tc>
              <w:tc>
                <w:tcPr>
                  <w:tcW w:w="2835" w:type="dxa"/>
                  <w:noWrap w:val="0"/>
                  <w:vAlign w:val="center"/>
                </w:tcPr>
                <w:p w14:paraId="1012EBAB">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监控点处1h平均浓度值</w:t>
                  </w:r>
                </w:p>
              </w:tc>
              <w:tc>
                <w:tcPr>
                  <w:tcW w:w="2320" w:type="dxa"/>
                  <w:vMerge w:val="restart"/>
                  <w:noWrap w:val="0"/>
                  <w:vAlign w:val="center"/>
                </w:tcPr>
                <w:p w14:paraId="4678CBFA">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在厂房外设置监控点</w:t>
                  </w:r>
                </w:p>
              </w:tc>
            </w:tr>
            <w:tr w14:paraId="6C32FE4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396" w:type="dxa"/>
                  <w:vMerge w:val="continue"/>
                  <w:noWrap w:val="0"/>
                  <w:vAlign w:val="center"/>
                </w:tcPr>
                <w:p w14:paraId="1A25C8BD">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p>
              </w:tc>
              <w:tc>
                <w:tcPr>
                  <w:tcW w:w="1843" w:type="dxa"/>
                  <w:noWrap w:val="0"/>
                  <w:vAlign w:val="center"/>
                </w:tcPr>
                <w:p w14:paraId="557A1D81">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20</w:t>
                  </w:r>
                </w:p>
              </w:tc>
              <w:tc>
                <w:tcPr>
                  <w:tcW w:w="2835" w:type="dxa"/>
                  <w:noWrap w:val="0"/>
                  <w:vAlign w:val="center"/>
                </w:tcPr>
                <w:p w14:paraId="1B6EF7CA">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eastAsia="宋体" w:cs="Times New Roman"/>
                      <w:color w:val="auto"/>
                      <w:kern w:val="2"/>
                      <w:sz w:val="21"/>
                      <w:szCs w:val="21"/>
                      <w:lang w:val="en-US" w:eastAsia="zh-CN"/>
                    </w:rPr>
                    <w:t>监控点处任意一次浓度值</w:t>
                  </w:r>
                </w:p>
              </w:tc>
              <w:tc>
                <w:tcPr>
                  <w:tcW w:w="2320" w:type="dxa"/>
                  <w:vMerge w:val="continue"/>
                  <w:noWrap w:val="0"/>
                  <w:vAlign w:val="center"/>
                </w:tcPr>
                <w:p w14:paraId="27DCE836">
                  <w:pPr>
                    <w:widowControl w:val="0"/>
                    <w:adjustRightInd w:val="0"/>
                    <w:snapToGrid w:val="0"/>
                    <w:spacing w:after="0"/>
                    <w:jc w:val="center"/>
                    <w:rPr>
                      <w:rFonts w:hint="default" w:ascii="Times New Roman" w:hAnsi="Times New Roman" w:eastAsia="宋体" w:cs="Times New Roman"/>
                      <w:color w:val="auto"/>
                      <w:kern w:val="2"/>
                      <w:sz w:val="21"/>
                      <w:szCs w:val="21"/>
                      <w:lang w:val="en-US" w:eastAsia="zh-CN"/>
                    </w:rPr>
                  </w:pPr>
                </w:p>
              </w:tc>
            </w:tr>
          </w:tbl>
          <w:p w14:paraId="7994B998">
            <w:pPr>
              <w:widowControl w:val="0"/>
              <w:adjustRightInd w:val="0"/>
              <w:snapToGrid w:val="0"/>
              <w:spacing w:after="0" w:line="360" w:lineRule="auto"/>
              <w:ind w:firstLine="482" w:firstLineChars="200"/>
              <w:jc w:val="both"/>
              <w:rPr>
                <w:rFonts w:hint="eastAsia" w:ascii="Times New Roman" w:hAnsi="Times New Roman" w:eastAsia="宋体" w:cs="Times New Roman"/>
                <w:b/>
                <w:bCs w:val="0"/>
                <w:kern w:val="2"/>
                <w:sz w:val="24"/>
                <w:szCs w:val="24"/>
              </w:rPr>
            </w:pPr>
            <w:r>
              <w:rPr>
                <w:rFonts w:hint="eastAsia" w:ascii="Times New Roman" w:hAnsi="Times New Roman" w:eastAsia="宋体" w:cs="Times New Roman"/>
                <w:b/>
                <w:bCs w:val="0"/>
                <w:kern w:val="2"/>
                <w:sz w:val="24"/>
                <w:szCs w:val="24"/>
                <w:lang w:val="en-US" w:eastAsia="zh-CN"/>
              </w:rPr>
              <w:t>3</w:t>
            </w:r>
            <w:r>
              <w:rPr>
                <w:rFonts w:hint="eastAsia" w:ascii="Times New Roman" w:hAnsi="Times New Roman" w:eastAsia="宋体" w:cs="Times New Roman"/>
                <w:b/>
                <w:bCs w:val="0"/>
                <w:kern w:val="2"/>
                <w:sz w:val="24"/>
                <w:szCs w:val="24"/>
              </w:rPr>
              <w:t>、噪声</w:t>
            </w:r>
          </w:p>
          <w:p w14:paraId="45F19375">
            <w:pPr>
              <w:widowControl w:val="0"/>
              <w:adjustRightInd w:val="0"/>
              <w:snapToGrid w:val="0"/>
              <w:spacing w:after="0" w:line="360" w:lineRule="auto"/>
              <w:ind w:firstLine="480" w:firstLineChars="200"/>
              <w:jc w:val="both"/>
              <w:rPr>
                <w:rFonts w:hint="eastAsia" w:ascii="宋体" w:hAnsi="宋体" w:eastAsia="宋体" w:cs="Times New Roman"/>
                <w:color w:val="000000"/>
                <w:kern w:val="2"/>
                <w:sz w:val="24"/>
                <w:szCs w:val="24"/>
                <w:lang w:val="en-US" w:eastAsia="zh-CN" w:bidi="ar-SA"/>
              </w:rPr>
            </w:pPr>
            <w:r>
              <w:rPr>
                <w:rFonts w:hint="eastAsia" w:ascii="Times New Roman" w:hAnsi="Times New Roman" w:eastAsia="宋体" w:cs="Times New Roman"/>
                <w:bCs/>
                <w:kern w:val="2"/>
                <w:sz w:val="24"/>
                <w:szCs w:val="24"/>
              </w:rPr>
              <w:t>根据长春市声环境功能区划以及根据《报废机动车回收拆解企业技术规范》（GB22128-2019）中4.7.3，应满足GB12348中所规定的2类声环境功能区工业企业厂界环境噪声排放限值要求，因此本项目营运期执行《工业企业厂界环境噪声排放标准》（GB12348-2008）中2类标准，</w:t>
            </w:r>
            <w:r>
              <w:rPr>
                <w:rFonts w:hint="eastAsia" w:ascii="宋体" w:hAnsi="宋体" w:eastAsia="宋体" w:cs="Times New Roman"/>
                <w:color w:val="000000"/>
                <w:kern w:val="2"/>
                <w:sz w:val="24"/>
                <w:szCs w:val="24"/>
                <w:lang w:val="en-US" w:eastAsia="zh-CN" w:bidi="ar-SA"/>
              </w:rPr>
              <w:t>详见表</w:t>
            </w:r>
            <w:r>
              <w:rPr>
                <w:rFonts w:hint="default" w:ascii="Times New Roman" w:hAnsi="Times New Roman" w:eastAsia="宋体" w:cs="Times New Roman"/>
                <w:color w:val="000000"/>
                <w:kern w:val="2"/>
                <w:sz w:val="24"/>
                <w:szCs w:val="24"/>
                <w:lang w:val="en-US" w:eastAsia="zh-CN" w:bidi="ar-SA"/>
              </w:rPr>
              <w:t>1-5</w:t>
            </w:r>
            <w:r>
              <w:rPr>
                <w:rFonts w:hint="eastAsia" w:ascii="宋体" w:hAnsi="宋体" w:eastAsia="宋体" w:cs="Times New Roman"/>
                <w:color w:val="000000"/>
                <w:kern w:val="2"/>
                <w:sz w:val="24"/>
                <w:szCs w:val="24"/>
                <w:lang w:val="en-US" w:eastAsia="zh-CN" w:bidi="ar-SA"/>
              </w:rPr>
              <w:t>。</w:t>
            </w:r>
          </w:p>
          <w:p w14:paraId="68E9CA66">
            <w:pPr>
              <w:widowControl w:val="0"/>
              <w:adjustRightInd w:val="0"/>
              <w:snapToGrid w:val="0"/>
              <w:spacing w:after="0"/>
              <w:jc w:val="center"/>
              <w:rPr>
                <w:rFonts w:hint="default" w:ascii="Times New Roman" w:hAnsi="Times New Roman" w:eastAsia="宋体" w:cs="Times New Roman"/>
                <w:b/>
                <w:color w:val="auto"/>
                <w:kern w:val="2"/>
                <w:sz w:val="21"/>
                <w:szCs w:val="21"/>
                <w:u w:val="none"/>
              </w:rPr>
            </w:pPr>
            <w:r>
              <w:rPr>
                <w:rFonts w:hint="eastAsia" w:ascii="Times New Roman" w:hAnsi="Times New Roman" w:eastAsia="宋体" w:cs="Times New Roman"/>
                <w:b/>
                <w:color w:val="auto"/>
                <w:kern w:val="2"/>
                <w:sz w:val="21"/>
                <w:szCs w:val="21"/>
                <w:u w:val="none"/>
              </w:rPr>
              <w:t>表</w:t>
            </w:r>
            <w:r>
              <w:rPr>
                <w:rFonts w:hint="eastAsia" w:ascii="Times New Roman" w:hAnsi="Times New Roman" w:eastAsia="宋体" w:cs="Times New Roman"/>
                <w:b/>
                <w:color w:val="auto"/>
                <w:kern w:val="2"/>
                <w:sz w:val="21"/>
                <w:szCs w:val="21"/>
                <w:u w:val="none"/>
                <w:lang w:val="en-US" w:eastAsia="zh-CN"/>
              </w:rPr>
              <w:t>1-5</w:t>
            </w:r>
            <w:r>
              <w:rPr>
                <w:rFonts w:hint="eastAsia" w:ascii="Times New Roman" w:hAnsi="Times New Roman" w:eastAsia="宋体" w:cs="Times New Roman"/>
                <w:b/>
                <w:color w:val="auto"/>
                <w:kern w:val="2"/>
                <w:sz w:val="21"/>
                <w:szCs w:val="21"/>
                <w:u w:val="none"/>
              </w:rPr>
              <w:t xml:space="preserve">  工业企业厂界环境噪声排放标准   单位：dB(A)</w:t>
            </w:r>
          </w:p>
          <w:tbl>
            <w:tblPr>
              <w:tblStyle w:val="10"/>
              <w:tblW w:w="498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709"/>
              <w:gridCol w:w="1573"/>
              <w:gridCol w:w="1576"/>
              <w:gridCol w:w="1671"/>
            </w:tblGrid>
            <w:tr w14:paraId="4B52D1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09" w:type="pct"/>
                  <w:vMerge w:val="restart"/>
                  <w:tcBorders>
                    <w:tl2br w:val="nil"/>
                    <w:tr2bl w:val="nil"/>
                  </w:tcBorders>
                  <w:noWrap w:val="0"/>
                  <w:vAlign w:val="center"/>
                </w:tcPr>
                <w:p w14:paraId="3702845B">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类  别</w:t>
                  </w:r>
                </w:p>
              </w:tc>
              <w:tc>
                <w:tcPr>
                  <w:tcW w:w="2410" w:type="pct"/>
                  <w:gridSpan w:val="2"/>
                  <w:tcBorders>
                    <w:tl2br w:val="nil"/>
                    <w:tr2bl w:val="nil"/>
                  </w:tcBorders>
                  <w:noWrap w:val="0"/>
                  <w:vAlign w:val="center"/>
                </w:tcPr>
                <w:p w14:paraId="2C8D6C5C">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标准值</w:t>
                  </w:r>
                </w:p>
              </w:tc>
              <w:tc>
                <w:tcPr>
                  <w:tcW w:w="1279" w:type="pct"/>
                  <w:vMerge w:val="restart"/>
                  <w:tcBorders>
                    <w:tl2br w:val="nil"/>
                    <w:tr2bl w:val="nil"/>
                  </w:tcBorders>
                  <w:noWrap w:val="0"/>
                  <w:vAlign w:val="center"/>
                </w:tcPr>
                <w:p w14:paraId="6B903926">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标准来源</w:t>
                  </w:r>
                </w:p>
              </w:tc>
            </w:tr>
            <w:tr w14:paraId="6D17A80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309" w:type="pct"/>
                  <w:vMerge w:val="continue"/>
                  <w:tcBorders>
                    <w:tl2br w:val="nil"/>
                    <w:tr2bl w:val="nil"/>
                  </w:tcBorders>
                  <w:noWrap w:val="0"/>
                  <w:vAlign w:val="center"/>
                </w:tcPr>
                <w:p w14:paraId="5EA4A3F5">
                  <w:pPr>
                    <w:widowControl w:val="0"/>
                    <w:adjustRightInd/>
                    <w:snapToGrid/>
                    <w:spacing w:after="0"/>
                    <w:jc w:val="center"/>
                    <w:rPr>
                      <w:rFonts w:hint="default" w:ascii="Times New Roman" w:hAnsi="Times New Roman" w:eastAsia="宋体" w:cs="Times New Roman"/>
                      <w:color w:val="000000"/>
                      <w:kern w:val="2"/>
                      <w:sz w:val="21"/>
                      <w:szCs w:val="24"/>
                    </w:rPr>
                  </w:pPr>
                </w:p>
              </w:tc>
              <w:tc>
                <w:tcPr>
                  <w:tcW w:w="1204" w:type="pct"/>
                  <w:tcBorders>
                    <w:tl2br w:val="nil"/>
                    <w:tr2bl w:val="nil"/>
                  </w:tcBorders>
                  <w:noWrap w:val="0"/>
                  <w:vAlign w:val="center"/>
                </w:tcPr>
                <w:p w14:paraId="69CE5B53">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昼间</w:t>
                  </w:r>
                </w:p>
              </w:tc>
              <w:tc>
                <w:tcPr>
                  <w:tcW w:w="1206" w:type="pct"/>
                  <w:tcBorders>
                    <w:tl2br w:val="nil"/>
                    <w:tr2bl w:val="nil"/>
                  </w:tcBorders>
                  <w:noWrap w:val="0"/>
                  <w:vAlign w:val="center"/>
                </w:tcPr>
                <w:p w14:paraId="30BAB05F">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夜间</w:t>
                  </w:r>
                </w:p>
              </w:tc>
              <w:tc>
                <w:tcPr>
                  <w:tcW w:w="1279" w:type="pct"/>
                  <w:vMerge w:val="continue"/>
                  <w:tcBorders>
                    <w:tl2br w:val="nil"/>
                    <w:tr2bl w:val="nil"/>
                  </w:tcBorders>
                  <w:noWrap w:val="0"/>
                  <w:vAlign w:val="center"/>
                </w:tcPr>
                <w:p w14:paraId="7071B16B">
                  <w:pPr>
                    <w:widowControl w:val="0"/>
                    <w:adjustRightInd/>
                    <w:snapToGrid/>
                    <w:spacing w:after="0"/>
                    <w:jc w:val="center"/>
                    <w:rPr>
                      <w:rFonts w:hint="default" w:ascii="Times New Roman" w:hAnsi="Times New Roman" w:eastAsia="宋体" w:cs="Times New Roman"/>
                      <w:color w:val="000000"/>
                      <w:kern w:val="2"/>
                      <w:sz w:val="21"/>
                      <w:szCs w:val="24"/>
                    </w:rPr>
                  </w:pPr>
                </w:p>
              </w:tc>
            </w:tr>
            <w:tr w14:paraId="4D56851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1309" w:type="pct"/>
                  <w:tcBorders>
                    <w:tl2br w:val="nil"/>
                    <w:tr2bl w:val="nil"/>
                  </w:tcBorders>
                  <w:noWrap w:val="0"/>
                  <w:vAlign w:val="center"/>
                </w:tcPr>
                <w:p w14:paraId="79EC082E">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eastAsia" w:ascii="Times New Roman" w:hAnsi="Times New Roman" w:eastAsia="宋体" w:cs="Times New Roman"/>
                      <w:b w:val="0"/>
                      <w:bCs w:val="0"/>
                      <w:i w:val="0"/>
                      <w:iCs w:val="0"/>
                      <w:snapToGrid w:val="0"/>
                      <w:color w:val="auto"/>
                      <w:kern w:val="2"/>
                      <w:sz w:val="21"/>
                      <w:szCs w:val="21"/>
                      <w:u w:val="none"/>
                      <w:lang w:val="en-US" w:eastAsia="zh-CN"/>
                    </w:rPr>
                    <w:t>2</w:t>
                  </w:r>
                  <w:r>
                    <w:rPr>
                      <w:rFonts w:hint="default" w:ascii="Times New Roman" w:hAnsi="Times New Roman" w:eastAsia="宋体" w:cs="Times New Roman"/>
                      <w:b w:val="0"/>
                      <w:bCs w:val="0"/>
                      <w:i w:val="0"/>
                      <w:iCs w:val="0"/>
                      <w:snapToGrid w:val="0"/>
                      <w:color w:val="auto"/>
                      <w:kern w:val="2"/>
                      <w:sz w:val="21"/>
                      <w:szCs w:val="21"/>
                      <w:u w:val="none"/>
                      <w:lang w:val="en-US" w:eastAsia="zh-CN"/>
                    </w:rPr>
                    <w:t>类</w:t>
                  </w:r>
                </w:p>
              </w:tc>
              <w:tc>
                <w:tcPr>
                  <w:tcW w:w="1204" w:type="pct"/>
                  <w:tcBorders>
                    <w:tl2br w:val="nil"/>
                    <w:tr2bl w:val="nil"/>
                  </w:tcBorders>
                  <w:noWrap w:val="0"/>
                  <w:vAlign w:val="center"/>
                </w:tcPr>
                <w:p w14:paraId="17801684">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default" w:ascii="Times New Roman" w:hAnsi="Times New Roman" w:eastAsia="宋体" w:cs="Times New Roman"/>
                      <w:b w:val="0"/>
                      <w:bCs w:val="0"/>
                      <w:i w:val="0"/>
                      <w:iCs w:val="0"/>
                      <w:snapToGrid w:val="0"/>
                      <w:color w:val="auto"/>
                      <w:kern w:val="2"/>
                      <w:sz w:val="21"/>
                      <w:szCs w:val="21"/>
                      <w:u w:val="none"/>
                      <w:lang w:val="en-US" w:eastAsia="zh-CN"/>
                    </w:rPr>
                    <w:t>6</w:t>
                  </w:r>
                  <w:r>
                    <w:rPr>
                      <w:rFonts w:hint="eastAsia" w:ascii="Times New Roman" w:hAnsi="Times New Roman" w:eastAsia="宋体" w:cs="Times New Roman"/>
                      <w:b w:val="0"/>
                      <w:bCs w:val="0"/>
                      <w:i w:val="0"/>
                      <w:iCs w:val="0"/>
                      <w:snapToGrid w:val="0"/>
                      <w:color w:val="auto"/>
                      <w:kern w:val="2"/>
                      <w:sz w:val="21"/>
                      <w:szCs w:val="21"/>
                      <w:u w:val="none"/>
                      <w:lang w:val="en-US" w:eastAsia="zh-CN"/>
                    </w:rPr>
                    <w:t>0</w:t>
                  </w:r>
                </w:p>
              </w:tc>
              <w:tc>
                <w:tcPr>
                  <w:tcW w:w="1206" w:type="pct"/>
                  <w:tcBorders>
                    <w:tl2br w:val="nil"/>
                    <w:tr2bl w:val="nil"/>
                  </w:tcBorders>
                  <w:noWrap w:val="0"/>
                  <w:vAlign w:val="center"/>
                </w:tcPr>
                <w:p w14:paraId="24A52B91">
                  <w:pPr>
                    <w:widowControl w:val="0"/>
                    <w:tabs>
                      <w:tab w:val="left" w:pos="2703"/>
                    </w:tabs>
                    <w:adjustRightInd w:val="0"/>
                    <w:snapToGrid w:val="0"/>
                    <w:spacing w:after="0"/>
                    <w:jc w:val="center"/>
                    <w:rPr>
                      <w:rFonts w:hint="default" w:ascii="Times New Roman" w:hAnsi="Times New Roman" w:eastAsia="宋体" w:cs="Times New Roman"/>
                      <w:b w:val="0"/>
                      <w:bCs w:val="0"/>
                      <w:i w:val="0"/>
                      <w:iCs w:val="0"/>
                      <w:snapToGrid w:val="0"/>
                      <w:color w:val="auto"/>
                      <w:kern w:val="2"/>
                      <w:sz w:val="21"/>
                      <w:szCs w:val="21"/>
                      <w:u w:val="none"/>
                      <w:lang w:val="en-US" w:eastAsia="zh-CN"/>
                    </w:rPr>
                  </w:pPr>
                  <w:r>
                    <w:rPr>
                      <w:rFonts w:hint="default" w:ascii="Times New Roman" w:hAnsi="Times New Roman" w:eastAsia="宋体" w:cs="Times New Roman"/>
                      <w:b w:val="0"/>
                      <w:bCs w:val="0"/>
                      <w:i w:val="0"/>
                      <w:iCs w:val="0"/>
                      <w:snapToGrid w:val="0"/>
                      <w:color w:val="auto"/>
                      <w:kern w:val="2"/>
                      <w:sz w:val="21"/>
                      <w:szCs w:val="21"/>
                      <w:u w:val="none"/>
                      <w:lang w:val="en-US" w:eastAsia="zh-CN"/>
                    </w:rPr>
                    <w:t>5</w:t>
                  </w:r>
                  <w:r>
                    <w:rPr>
                      <w:rFonts w:hint="eastAsia" w:ascii="Times New Roman" w:hAnsi="Times New Roman" w:eastAsia="宋体" w:cs="Times New Roman"/>
                      <w:b w:val="0"/>
                      <w:bCs w:val="0"/>
                      <w:i w:val="0"/>
                      <w:iCs w:val="0"/>
                      <w:snapToGrid w:val="0"/>
                      <w:color w:val="auto"/>
                      <w:kern w:val="2"/>
                      <w:sz w:val="21"/>
                      <w:szCs w:val="21"/>
                      <w:u w:val="none"/>
                      <w:lang w:val="en-US" w:eastAsia="zh-CN"/>
                    </w:rPr>
                    <w:t>0</w:t>
                  </w:r>
                </w:p>
              </w:tc>
              <w:tc>
                <w:tcPr>
                  <w:tcW w:w="1279" w:type="pct"/>
                  <w:tcBorders>
                    <w:tl2br w:val="nil"/>
                    <w:tr2bl w:val="nil"/>
                  </w:tcBorders>
                  <w:noWrap w:val="0"/>
                  <w:vAlign w:val="center"/>
                </w:tcPr>
                <w:p w14:paraId="13F3F587">
                  <w:pPr>
                    <w:widowControl w:val="0"/>
                    <w:adjustRightInd/>
                    <w:snapToGrid/>
                    <w:spacing w:after="0"/>
                    <w:jc w:val="center"/>
                    <w:rPr>
                      <w:rFonts w:hint="default" w:ascii="Times New Roman" w:hAnsi="Times New Roman" w:eastAsia="宋体" w:cs="Times New Roman"/>
                      <w:color w:val="000000"/>
                      <w:kern w:val="2"/>
                      <w:sz w:val="21"/>
                      <w:szCs w:val="24"/>
                    </w:rPr>
                  </w:pPr>
                  <w:r>
                    <w:rPr>
                      <w:rFonts w:hint="default" w:ascii="Times New Roman" w:hAnsi="Times New Roman" w:eastAsia="宋体" w:cs="Times New Roman"/>
                      <w:color w:val="000000"/>
                      <w:kern w:val="2"/>
                      <w:sz w:val="21"/>
                      <w:szCs w:val="24"/>
                    </w:rPr>
                    <w:t>GB12348-2008</w:t>
                  </w:r>
                </w:p>
              </w:tc>
            </w:tr>
          </w:tbl>
          <w:p w14:paraId="7B084258">
            <w:pPr>
              <w:pStyle w:val="9"/>
              <w:ind w:left="0" w:leftChars="0" w:firstLine="0" w:firstLineChars="0"/>
              <w:rPr>
                <w:rFonts w:hint="default"/>
                <w:lang w:val="en-US" w:eastAsia="zh-CN"/>
              </w:rPr>
            </w:pPr>
          </w:p>
          <w:p w14:paraId="536D2008">
            <w:pPr>
              <w:rPr>
                <w:rFonts w:hint="default"/>
                <w:lang w:val="en-US" w:eastAsia="zh-CN"/>
              </w:rPr>
            </w:pPr>
          </w:p>
        </w:tc>
      </w:tr>
    </w:tbl>
    <w:p w14:paraId="3D23F541">
      <w:p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1D0C4F40">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表二</w:t>
      </w:r>
      <w:r>
        <w:rPr>
          <w:rFonts w:hint="eastAsia" w:asciiTheme="minorEastAsia" w:hAnsiTheme="minorEastAsia" w:eastAsiaTheme="minorEastAsia" w:cstheme="minorEastAsia"/>
          <w:b/>
          <w:color w:val="000000"/>
          <w:sz w:val="24"/>
          <w:szCs w:val="24"/>
          <w:lang w:val="en-US" w:eastAsia="zh-CN"/>
        </w:rPr>
        <w:t xml:space="preserve">  工程建设情况</w:t>
      </w:r>
    </w:p>
    <w:tbl>
      <w:tblPr>
        <w:tblStyle w:val="10"/>
        <w:tblpPr w:leftFromText="180" w:rightFromText="180" w:vertAnchor="text" w:tblpXSpec="center" w:tblpY="1"/>
        <w:tblOverlap w:val="never"/>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033D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37" w:hRule="atLeast"/>
        </w:trPr>
        <w:tc>
          <w:tcPr>
            <w:tcW w:w="5000" w:type="pct"/>
          </w:tcPr>
          <w:p w14:paraId="6744CDE0">
            <w:pPr>
              <w:spacing w:after="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工程建设内容：</w:t>
            </w:r>
          </w:p>
          <w:p w14:paraId="12B3823B">
            <w:pPr>
              <w:spacing w:after="0" w:line="360" w:lineRule="auto"/>
              <w:ind w:firstLine="482" w:firstLineChars="200"/>
              <w:rPr>
                <w:rFonts w:asciiTheme="minorEastAsia" w:hAnsiTheme="minorEastAsia" w:eastAsiaTheme="minorEastAsia" w:cstheme="minorEastAsia"/>
                <w:b/>
                <w:bCs/>
                <w:sz w:val="24"/>
                <w:szCs w:val="24"/>
              </w:rPr>
            </w:pPr>
            <w:r>
              <w:rPr>
                <w:rFonts w:hint="default" w:ascii="Times New Roman" w:hAnsi="Times New Roman" w:cs="Times New Roman" w:eastAsiaTheme="minorEastAsia"/>
                <w:b/>
                <w:bCs/>
                <w:sz w:val="24"/>
                <w:szCs w:val="24"/>
              </w:rPr>
              <w:t>1</w:t>
            </w:r>
            <w:r>
              <w:rPr>
                <w:rFonts w:hint="eastAsia" w:asciiTheme="minorEastAsia" w:hAnsiTheme="minorEastAsia" w:eastAsiaTheme="minorEastAsia" w:cstheme="minorEastAsia"/>
                <w:b/>
                <w:bCs/>
                <w:sz w:val="24"/>
                <w:szCs w:val="24"/>
              </w:rPr>
              <w:t>、项目名称、性质、建设地点</w:t>
            </w:r>
          </w:p>
          <w:p w14:paraId="5E954303">
            <w:pPr>
              <w:spacing w:after="0"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名称：</w:t>
            </w:r>
            <w:r>
              <w:rPr>
                <w:rFonts w:hint="eastAsia" w:ascii="宋体" w:hAnsi="宋体" w:eastAsia="宋体" w:cs="宋体"/>
                <w:sz w:val="24"/>
                <w:szCs w:val="24"/>
                <w:lang w:eastAsia="zh-CN"/>
              </w:rPr>
              <w:t>长春名玺报废汽车回收拆解有限公司建设项目</w:t>
            </w:r>
          </w:p>
          <w:p w14:paraId="198F8DEA">
            <w:pPr>
              <w:spacing w:after="0"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性质：</w:t>
            </w:r>
            <w:r>
              <w:rPr>
                <w:rFonts w:hint="eastAsia" w:asciiTheme="minorEastAsia" w:hAnsiTheme="minorEastAsia" w:eastAsiaTheme="minorEastAsia" w:cstheme="minorEastAsia"/>
                <w:sz w:val="24"/>
                <w:szCs w:val="24"/>
                <w:lang w:val="en-US" w:eastAsia="zh-CN"/>
              </w:rPr>
              <w:t>新建</w:t>
            </w:r>
          </w:p>
          <w:p w14:paraId="5295B0C0">
            <w:pPr>
              <w:spacing w:after="0" w:line="360" w:lineRule="auto"/>
              <w:ind w:firstLine="480" w:firstLineChars="200"/>
              <w:jc w:val="both"/>
              <w:rPr>
                <w:rFonts w:hint="default" w:ascii="Times New Roman" w:hAnsi="Times New Roman" w:cs="Times New Roman" w:eastAsiaTheme="minorEastAsia"/>
                <w:sz w:val="24"/>
                <w:szCs w:val="24"/>
                <w:highlight w:val="none"/>
              </w:rPr>
            </w:pPr>
            <w:r>
              <w:rPr>
                <w:rFonts w:hint="default" w:ascii="Times New Roman" w:hAnsi="Times New Roman" w:cs="Times New Roman" w:eastAsiaTheme="minorEastAsia"/>
                <w:sz w:val="24"/>
                <w:szCs w:val="24"/>
                <w:u w:val="none"/>
                <w:lang w:eastAsia="zh-CN"/>
              </w:rPr>
              <w:t>建设地点：</w:t>
            </w:r>
            <w:r>
              <w:rPr>
                <w:rFonts w:hint="eastAsia" w:ascii="宋体" w:hAnsi="宋体" w:eastAsia="宋体" w:cs="宋体"/>
                <w:b w:val="0"/>
                <w:bCs/>
                <w:color w:val="000000"/>
                <w:sz w:val="24"/>
                <w:szCs w:val="24"/>
                <w:highlight w:val="none"/>
                <w:u w:val="none"/>
                <w:lang w:val="en-US" w:eastAsia="zh-CN"/>
              </w:rPr>
              <w:t>本项目位于吉林省长春市绿园区西新工业集中区皓月大路</w:t>
            </w:r>
            <w:r>
              <w:rPr>
                <w:rFonts w:hint="default" w:ascii="Times New Roman" w:hAnsi="Times New Roman" w:eastAsia="宋体" w:cs="Times New Roman"/>
                <w:b w:val="0"/>
                <w:bCs/>
                <w:color w:val="000000"/>
                <w:sz w:val="24"/>
                <w:szCs w:val="24"/>
                <w:highlight w:val="none"/>
                <w:u w:val="none"/>
                <w:lang w:val="en-US" w:eastAsia="zh-CN"/>
              </w:rPr>
              <w:t>12666</w:t>
            </w:r>
            <w:r>
              <w:rPr>
                <w:rFonts w:hint="eastAsia" w:ascii="宋体" w:hAnsi="宋体" w:eastAsia="宋体" w:cs="宋体"/>
                <w:b w:val="0"/>
                <w:bCs/>
                <w:color w:val="000000"/>
                <w:sz w:val="24"/>
                <w:szCs w:val="24"/>
                <w:highlight w:val="none"/>
                <w:u w:val="none"/>
                <w:lang w:val="en-US" w:eastAsia="zh-CN"/>
              </w:rPr>
              <w:t>号，租赁场地为原</w:t>
            </w:r>
            <w:r>
              <w:rPr>
                <w:rFonts w:hint="eastAsia" w:ascii="Times New Roman" w:hAnsi="Times New Roman" w:eastAsia="宋体" w:cs="Times New Roman"/>
                <w:b w:val="0"/>
                <w:bCs/>
                <w:color w:val="000000"/>
                <w:sz w:val="24"/>
                <w:highlight w:val="none"/>
                <w:u w:val="none"/>
                <w:lang w:val="en-US" w:eastAsia="zh-CN"/>
              </w:rPr>
              <w:t>长春市佳业汽车零配件有限公司（已停产）现有2号厂房（面积6631.2m</w:t>
            </w:r>
            <w:r>
              <w:rPr>
                <w:rFonts w:hint="eastAsia" w:ascii="Times New Roman" w:hAnsi="Times New Roman" w:eastAsia="宋体" w:cs="Times New Roman"/>
                <w:b w:val="0"/>
                <w:bCs/>
                <w:color w:val="000000"/>
                <w:sz w:val="24"/>
                <w:highlight w:val="none"/>
                <w:u w:val="none"/>
                <w:vertAlign w:val="superscript"/>
                <w:lang w:val="en-US" w:eastAsia="zh-CN"/>
              </w:rPr>
              <w:t>2</w:t>
            </w:r>
            <w:r>
              <w:rPr>
                <w:rFonts w:hint="eastAsia" w:ascii="Times New Roman" w:hAnsi="Times New Roman" w:eastAsia="宋体" w:cs="Times New Roman"/>
                <w:b w:val="0"/>
                <w:bCs/>
                <w:color w:val="000000"/>
                <w:sz w:val="24"/>
                <w:highlight w:val="none"/>
                <w:u w:val="none"/>
                <w:lang w:val="en-US" w:eastAsia="zh-CN"/>
              </w:rPr>
              <w:t>）及场地（面积10842.5m</w:t>
            </w:r>
            <w:r>
              <w:rPr>
                <w:rFonts w:hint="eastAsia" w:ascii="Times New Roman" w:hAnsi="Times New Roman" w:eastAsia="宋体" w:cs="Times New Roman"/>
                <w:b w:val="0"/>
                <w:bCs/>
                <w:color w:val="000000"/>
                <w:sz w:val="24"/>
                <w:highlight w:val="none"/>
                <w:u w:val="none"/>
                <w:vertAlign w:val="superscript"/>
                <w:lang w:val="en-US" w:eastAsia="zh-CN"/>
              </w:rPr>
              <w:t>2</w:t>
            </w:r>
            <w:r>
              <w:rPr>
                <w:rFonts w:hint="eastAsia" w:ascii="Times New Roman" w:hAnsi="Times New Roman" w:eastAsia="宋体" w:cs="Times New Roman"/>
                <w:b w:val="0"/>
                <w:bCs/>
                <w:color w:val="000000"/>
                <w:sz w:val="24"/>
                <w:highlight w:val="none"/>
                <w:u w:val="none"/>
                <w:lang w:val="en-US" w:eastAsia="zh-CN"/>
              </w:rPr>
              <w:t>）进行建设，总租赁面积为17473.7m</w:t>
            </w:r>
            <w:r>
              <w:rPr>
                <w:rFonts w:hint="eastAsia" w:ascii="Times New Roman" w:hAnsi="Times New Roman" w:eastAsia="宋体" w:cs="Times New Roman"/>
                <w:b w:val="0"/>
                <w:bCs/>
                <w:color w:val="000000"/>
                <w:sz w:val="24"/>
                <w:highlight w:val="none"/>
                <w:u w:val="none"/>
                <w:vertAlign w:val="superscript"/>
                <w:lang w:val="en-US" w:eastAsia="zh-CN"/>
              </w:rPr>
              <w:t>2</w:t>
            </w:r>
            <w:r>
              <w:rPr>
                <w:rFonts w:hint="eastAsia" w:ascii="Times New Roman" w:hAnsi="Times New Roman" w:eastAsia="宋体" w:cs="Times New Roman"/>
                <w:b w:val="0"/>
                <w:bCs/>
                <w:color w:val="000000"/>
                <w:sz w:val="24"/>
                <w:highlight w:val="none"/>
                <w:u w:val="none"/>
                <w:lang w:val="en-US" w:eastAsia="zh-CN"/>
              </w:rPr>
              <w:t>，总建筑面积为6642.12m</w:t>
            </w:r>
            <w:r>
              <w:rPr>
                <w:rFonts w:hint="eastAsia" w:ascii="Times New Roman" w:hAnsi="Times New Roman" w:eastAsia="宋体" w:cs="Times New Roman"/>
                <w:b w:val="0"/>
                <w:bCs/>
                <w:color w:val="000000"/>
                <w:sz w:val="24"/>
                <w:highlight w:val="none"/>
                <w:u w:val="none"/>
                <w:vertAlign w:val="superscript"/>
                <w:lang w:val="en-US" w:eastAsia="zh-CN"/>
              </w:rPr>
              <w:t>2</w:t>
            </w:r>
            <w:r>
              <w:rPr>
                <w:rFonts w:hint="eastAsia" w:ascii="Times New Roman" w:hAnsi="Times New Roman" w:eastAsia="宋体" w:cs="Times New Roman"/>
                <w:b w:val="0"/>
                <w:bCs/>
                <w:color w:val="000000"/>
                <w:sz w:val="24"/>
                <w:highlight w:val="none"/>
                <w:u w:val="none"/>
                <w:lang w:val="en-US" w:eastAsia="zh-CN"/>
              </w:rPr>
              <w:t>，土地性质为工业用地，</w:t>
            </w:r>
            <w:r>
              <w:rPr>
                <w:rFonts w:hint="default" w:ascii="Times New Roman" w:hAnsi="Times New Roman" w:eastAsia="宋体" w:cs="Times New Roman"/>
                <w:b w:val="0"/>
                <w:bCs/>
                <w:color w:val="000000"/>
                <w:sz w:val="24"/>
                <w:highlight w:val="none"/>
                <w:u w:val="none"/>
                <w:lang w:val="en-US" w:eastAsia="zh-CN"/>
              </w:rPr>
              <w:t>项目中心坐标为：东经12</w:t>
            </w:r>
            <w:r>
              <w:rPr>
                <w:rFonts w:hint="eastAsia" w:ascii="Times New Roman" w:hAnsi="Times New Roman" w:eastAsia="宋体" w:cs="Times New Roman"/>
                <w:b w:val="0"/>
                <w:bCs/>
                <w:color w:val="000000"/>
                <w:sz w:val="24"/>
                <w:highlight w:val="none"/>
                <w:u w:val="none"/>
                <w:lang w:val="en-US" w:eastAsia="zh-CN"/>
              </w:rPr>
              <w:t>5</w:t>
            </w:r>
            <w:r>
              <w:rPr>
                <w:rFonts w:hint="default" w:ascii="Times New Roman" w:hAnsi="Times New Roman" w:eastAsia="宋体" w:cs="Times New Roman"/>
                <w:b w:val="0"/>
                <w:bCs/>
                <w:color w:val="000000"/>
                <w:sz w:val="24"/>
                <w:highlight w:val="none"/>
                <w:u w:val="none"/>
                <w:lang w:val="en-US" w:eastAsia="zh-CN"/>
              </w:rPr>
              <w:t>°</w:t>
            </w:r>
            <w:r>
              <w:rPr>
                <w:rFonts w:hint="eastAsia" w:ascii="Times New Roman" w:hAnsi="Times New Roman" w:eastAsia="宋体" w:cs="Times New Roman"/>
                <w:b w:val="0"/>
                <w:bCs/>
                <w:color w:val="000000"/>
                <w:sz w:val="24"/>
                <w:highlight w:val="none"/>
                <w:u w:val="none"/>
                <w:lang w:val="en-US" w:eastAsia="zh-CN"/>
              </w:rPr>
              <w:t>07</w:t>
            </w:r>
            <w:r>
              <w:rPr>
                <w:rFonts w:hint="default" w:ascii="Times New Roman" w:hAnsi="Times New Roman" w:eastAsia="宋体" w:cs="Times New Roman"/>
                <w:b w:val="0"/>
                <w:bCs/>
                <w:color w:val="000000"/>
                <w:sz w:val="24"/>
                <w:highlight w:val="none"/>
                <w:u w:val="none"/>
                <w:lang w:val="en-US" w:eastAsia="zh-CN"/>
              </w:rPr>
              <w:t>'</w:t>
            </w:r>
            <w:r>
              <w:rPr>
                <w:rFonts w:hint="eastAsia" w:ascii="Times New Roman" w:hAnsi="Times New Roman" w:eastAsia="宋体" w:cs="Times New Roman"/>
                <w:b w:val="0"/>
                <w:bCs/>
                <w:color w:val="000000"/>
                <w:sz w:val="24"/>
                <w:highlight w:val="none"/>
                <w:u w:val="none"/>
                <w:lang w:val="en-US" w:eastAsia="zh-CN"/>
              </w:rPr>
              <w:t>54.782</w:t>
            </w:r>
            <w:r>
              <w:rPr>
                <w:rFonts w:hint="default" w:ascii="Times New Roman" w:hAnsi="Times New Roman" w:eastAsia="宋体" w:cs="Times New Roman"/>
                <w:b w:val="0"/>
                <w:bCs/>
                <w:color w:val="000000"/>
                <w:sz w:val="24"/>
                <w:highlight w:val="none"/>
                <w:u w:val="none"/>
                <w:lang w:val="en-US" w:eastAsia="zh-CN"/>
              </w:rPr>
              <w:t>"、北纬43°43'16.680"</w:t>
            </w:r>
            <w:r>
              <w:rPr>
                <w:rFonts w:hint="eastAsia" w:ascii="Times New Roman" w:hAnsi="Times New Roman" w:eastAsia="宋体" w:cs="Times New Roman"/>
                <w:b w:val="0"/>
                <w:bCs/>
                <w:color w:val="000000"/>
                <w:sz w:val="24"/>
                <w:highlight w:val="none"/>
                <w:u w:val="none"/>
                <w:lang w:val="en-US" w:eastAsia="zh-CN"/>
              </w:rPr>
              <w:t>，项目拐点坐标详见下表。</w:t>
            </w:r>
            <w:r>
              <w:rPr>
                <w:rFonts w:hint="default" w:ascii="Times New Roman" w:hAnsi="Times New Roman" w:eastAsia="宋体" w:cs="Times New Roman"/>
                <w:b w:val="0"/>
                <w:bCs/>
                <w:color w:val="000000"/>
                <w:sz w:val="24"/>
                <w:highlight w:val="none"/>
                <w:u w:val="none"/>
                <w:lang w:val="en-US" w:eastAsia="zh-CN"/>
              </w:rPr>
              <w:t>厂区</w:t>
            </w:r>
            <w:r>
              <w:rPr>
                <w:rFonts w:hint="eastAsia" w:ascii="Times New Roman" w:hAnsi="Times New Roman" w:eastAsia="宋体" w:cs="Times New Roman"/>
                <w:b w:val="0"/>
                <w:bCs/>
                <w:color w:val="000000"/>
                <w:sz w:val="24"/>
                <w:highlight w:val="none"/>
                <w:u w:val="none"/>
                <w:lang w:val="en-US" w:eastAsia="zh-CN"/>
              </w:rPr>
              <w:t>东侧为果园、西侧为建发钢铁（长春）废钢基地、南侧为农田、北侧为长春市佳兴汽车零配件有限公司空闲厂房。</w:t>
            </w:r>
            <w:r>
              <w:rPr>
                <w:rFonts w:hint="default" w:ascii="Times New Roman" w:hAnsi="Times New Roman" w:cs="Times New Roman" w:eastAsiaTheme="minorEastAsia"/>
                <w:sz w:val="24"/>
                <w:szCs w:val="24"/>
                <w:highlight w:val="none"/>
              </w:rPr>
              <w:t>地理位置见附图1。</w:t>
            </w:r>
          </w:p>
          <w:p w14:paraId="4FEF8CFB">
            <w:pPr>
              <w:spacing w:after="0" w:line="360" w:lineRule="auto"/>
              <w:ind w:firstLine="482" w:firstLineChars="20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2、项目投资</w:t>
            </w:r>
          </w:p>
          <w:p w14:paraId="37DCD823">
            <w:pPr>
              <w:spacing w:after="0" w:line="360" w:lineRule="auto"/>
              <w:ind w:firstLine="480" w:firstLineChars="200"/>
              <w:rPr>
                <w:rFonts w:hint="default" w:ascii="Times New Roman" w:hAnsi="Times New Roman" w:cs="Times New Roman" w:eastAsiaTheme="minorEastAsia"/>
                <w:sz w:val="24"/>
                <w:szCs w:val="24"/>
              </w:rPr>
            </w:pPr>
            <w:r>
              <w:rPr>
                <w:rFonts w:hint="default" w:ascii="Times New Roman" w:hAnsi="Times New Roman" w:cs="Times New Roman" w:eastAsiaTheme="minorEastAsia"/>
                <w:sz w:val="24"/>
                <w:szCs w:val="24"/>
              </w:rPr>
              <w:t>项目总投资</w:t>
            </w:r>
            <w:r>
              <w:rPr>
                <w:rFonts w:hint="eastAsia" w:ascii="Times New Roman" w:hAnsi="Times New Roman" w:cs="Times New Roman" w:eastAsiaTheme="minorEastAsia"/>
                <w:sz w:val="24"/>
                <w:szCs w:val="24"/>
                <w:lang w:val="en-US" w:eastAsia="zh-CN"/>
              </w:rPr>
              <w:t>2</w:t>
            </w:r>
            <w:r>
              <w:rPr>
                <w:rFonts w:hint="default" w:ascii="Times New Roman" w:hAnsi="Times New Roman" w:cs="Times New Roman" w:eastAsiaTheme="minorEastAsia"/>
                <w:sz w:val="24"/>
                <w:szCs w:val="24"/>
                <w:lang w:val="en-US" w:eastAsia="zh-CN"/>
              </w:rPr>
              <w:t>00</w:t>
            </w:r>
            <w:r>
              <w:rPr>
                <w:rFonts w:hint="default" w:ascii="Times New Roman" w:hAnsi="Times New Roman" w:cs="Times New Roman" w:eastAsiaTheme="minorEastAsia"/>
                <w:sz w:val="24"/>
                <w:szCs w:val="24"/>
                <w:lang w:eastAsia="zh-CN"/>
              </w:rPr>
              <w:t>万元</w:t>
            </w:r>
            <w:r>
              <w:rPr>
                <w:rFonts w:hint="default" w:ascii="Times New Roman" w:hAnsi="Times New Roman" w:cs="Times New Roman" w:eastAsiaTheme="minorEastAsia"/>
                <w:sz w:val="24"/>
                <w:szCs w:val="24"/>
              </w:rPr>
              <w:t>，其中环保投资</w:t>
            </w:r>
            <w:r>
              <w:rPr>
                <w:rFonts w:hint="default"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rPr>
              <w:t>9</w:t>
            </w:r>
            <w:r>
              <w:rPr>
                <w:rFonts w:hint="default" w:ascii="Times New Roman" w:hAnsi="Times New Roman" w:cs="Times New Roman" w:eastAsiaTheme="minorEastAsia"/>
                <w:sz w:val="24"/>
                <w:szCs w:val="24"/>
                <w:lang w:eastAsia="zh-CN"/>
              </w:rPr>
              <w:t>万元</w:t>
            </w:r>
            <w:r>
              <w:rPr>
                <w:rFonts w:hint="default" w:ascii="Times New Roman" w:hAnsi="Times New Roman" w:cs="Times New Roman" w:eastAsiaTheme="minorEastAsia"/>
                <w:sz w:val="24"/>
                <w:szCs w:val="24"/>
              </w:rPr>
              <w:t>。</w:t>
            </w:r>
          </w:p>
          <w:p w14:paraId="3D4C27F3">
            <w:pPr>
              <w:spacing w:after="0" w:line="360" w:lineRule="auto"/>
              <w:ind w:firstLine="482" w:firstLineChars="200"/>
              <w:rPr>
                <w:rFonts w:hint="default" w:ascii="Times New Roman" w:hAnsi="Times New Roman" w:cs="Times New Roman" w:eastAsiaTheme="minorEastAsia"/>
                <w:b/>
                <w:bCs/>
                <w:sz w:val="24"/>
                <w:szCs w:val="24"/>
              </w:rPr>
            </w:pPr>
            <w:r>
              <w:rPr>
                <w:rFonts w:hint="default" w:ascii="Times New Roman" w:hAnsi="Times New Roman" w:cs="Times New Roman" w:eastAsiaTheme="minorEastAsia"/>
                <w:b/>
                <w:bCs/>
                <w:sz w:val="24"/>
                <w:szCs w:val="24"/>
              </w:rPr>
              <w:t>3、项目建设内容及规模</w:t>
            </w:r>
          </w:p>
          <w:p w14:paraId="1B458C50">
            <w:pPr>
              <w:spacing w:after="0" w:line="360" w:lineRule="auto"/>
              <w:ind w:firstLine="480" w:firstLineChars="200"/>
              <w:rPr>
                <w:rFonts w:asciiTheme="minorEastAsia" w:hAnsiTheme="minorEastAsia" w:eastAsiaTheme="minorEastAsia" w:cstheme="minorEastAsia"/>
                <w:sz w:val="24"/>
                <w:szCs w:val="24"/>
              </w:rPr>
            </w:pPr>
            <w:r>
              <w:rPr>
                <w:rFonts w:hint="default" w:ascii="Times New Roman" w:hAnsi="Times New Roman" w:cs="Times New Roman" w:eastAsiaTheme="minorEastAsia"/>
                <w:sz w:val="24"/>
                <w:szCs w:val="24"/>
              </w:rPr>
              <w:t>（1）</w:t>
            </w:r>
            <w:r>
              <w:rPr>
                <w:rFonts w:hint="default" w:ascii="Times New Roman" w:hAnsi="Times New Roman" w:cs="Times New Roman" w:eastAsiaTheme="minorEastAsia"/>
                <w:sz w:val="24"/>
                <w:szCs w:val="24"/>
                <w:lang w:val="en-US" w:eastAsia="zh-CN"/>
              </w:rPr>
              <w:t>项目工程组成情况</w:t>
            </w:r>
            <w:r>
              <w:rPr>
                <w:rFonts w:hint="default" w:ascii="Times New Roman" w:hAnsi="Times New Roman" w:cs="Times New Roman" w:eastAsiaTheme="minorEastAsia"/>
                <w:sz w:val="24"/>
                <w:szCs w:val="24"/>
              </w:rPr>
              <w:t>详见表</w:t>
            </w:r>
            <w:r>
              <w:rPr>
                <w:rFonts w:hint="default" w:ascii="Times New Roman" w:hAnsi="Times New Roman" w:cs="Times New Roman" w:eastAsiaTheme="minorEastAsia"/>
                <w:sz w:val="24"/>
                <w:szCs w:val="24"/>
                <w:lang w:val="en-US" w:eastAsia="zh-CN"/>
              </w:rPr>
              <w:t>2-1</w:t>
            </w:r>
            <w:r>
              <w:rPr>
                <w:rFonts w:hint="default" w:ascii="Times New Roman" w:hAnsi="Times New Roman" w:cs="Times New Roman" w:eastAsiaTheme="minorEastAsia"/>
                <w:sz w:val="24"/>
                <w:szCs w:val="24"/>
              </w:rPr>
              <w:t>。</w:t>
            </w:r>
          </w:p>
          <w:p w14:paraId="405F11D6">
            <w:pPr>
              <w:pStyle w:val="13"/>
              <w:spacing w:line="240" w:lineRule="auto"/>
              <w:jc w:val="center"/>
              <w:rPr>
                <w:rFonts w:hint="default" w:ascii="Times New Roman" w:hAnsi="Times New Roman" w:eastAsia="宋体" w:cs="Times New Roman"/>
                <w:b/>
                <w:bCs/>
                <w:sz w:val="21"/>
                <w:szCs w:val="21"/>
                <w:u w:val="none"/>
              </w:rPr>
            </w:pPr>
            <w:r>
              <w:rPr>
                <w:rFonts w:hint="default" w:ascii="Times New Roman" w:hAnsi="Times New Roman" w:eastAsia="宋体" w:cs="Times New Roman"/>
                <w:b/>
                <w:bCs/>
                <w:sz w:val="21"/>
                <w:szCs w:val="21"/>
                <w:u w:val="none"/>
              </w:rPr>
              <w:t>表</w:t>
            </w:r>
            <w:r>
              <w:rPr>
                <w:rFonts w:hint="default" w:ascii="Times New Roman" w:hAnsi="Times New Roman" w:eastAsia="宋体" w:cs="Times New Roman"/>
                <w:b/>
                <w:bCs/>
                <w:sz w:val="21"/>
                <w:szCs w:val="21"/>
                <w:u w:val="none"/>
                <w:lang w:val="en-US" w:eastAsia="zh-CN"/>
              </w:rPr>
              <w:t>2-1</w:t>
            </w:r>
            <w:r>
              <w:rPr>
                <w:rFonts w:hint="default" w:ascii="Times New Roman" w:hAnsi="Times New Roman" w:eastAsia="宋体" w:cs="Times New Roman"/>
                <w:b/>
                <w:bCs/>
                <w:sz w:val="21"/>
                <w:szCs w:val="21"/>
                <w:u w:val="none"/>
              </w:rPr>
              <w:t xml:space="preserve"> </w:t>
            </w:r>
            <w:r>
              <w:rPr>
                <w:rFonts w:hint="eastAsia" w:ascii="Times New Roman" w:hAnsi="Times New Roman" w:eastAsia="宋体" w:cs="Times New Roman"/>
                <w:b/>
                <w:bCs/>
                <w:sz w:val="21"/>
                <w:szCs w:val="21"/>
                <w:u w:val="none"/>
                <w:lang w:val="en-US" w:eastAsia="zh-CN"/>
              </w:rPr>
              <w:t xml:space="preserve">  </w:t>
            </w:r>
            <w:r>
              <w:rPr>
                <w:rFonts w:hint="default" w:ascii="Times New Roman" w:hAnsi="Times New Roman" w:eastAsia="宋体" w:cs="Times New Roman"/>
                <w:b/>
                <w:bCs/>
                <w:sz w:val="21"/>
                <w:szCs w:val="21"/>
                <w:u w:val="none"/>
                <w:lang w:val="en-US" w:eastAsia="zh-CN"/>
              </w:rPr>
              <w:t>本项目工程组成</w:t>
            </w:r>
            <w:r>
              <w:rPr>
                <w:rFonts w:hint="default" w:ascii="Times New Roman" w:hAnsi="Times New Roman" w:eastAsia="宋体" w:cs="Times New Roman"/>
                <w:b/>
                <w:bCs/>
                <w:sz w:val="21"/>
                <w:szCs w:val="21"/>
                <w:u w:val="none"/>
              </w:rPr>
              <w:t>与环评时期对比表</w:t>
            </w:r>
          </w:p>
          <w:tbl>
            <w:tblPr>
              <w:tblStyle w:val="10"/>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426"/>
              <w:gridCol w:w="925"/>
              <w:gridCol w:w="4140"/>
              <w:gridCol w:w="1052"/>
              <w:gridCol w:w="1334"/>
            </w:tblGrid>
            <w:tr w14:paraId="05CB7B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068" w:type="pct"/>
                  <w:gridSpan w:val="3"/>
                  <w:noWrap w:val="0"/>
                  <w:vAlign w:val="center"/>
                </w:tcPr>
                <w:p w14:paraId="10A617B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bookmarkStart w:id="9" w:name="OLE_LINK29"/>
                  <w:r>
                    <w:rPr>
                      <w:rFonts w:hint="default" w:ascii="Times New Roman" w:hAnsi="Times New Roman" w:eastAsia="宋体" w:cs="Times New Roman"/>
                      <w:color w:val="000000"/>
                      <w:kern w:val="0"/>
                      <w:sz w:val="21"/>
                      <w:szCs w:val="21"/>
                      <w:u w:val="none"/>
                    </w:rPr>
                    <w:t>工程类别</w:t>
                  </w:r>
                </w:p>
              </w:tc>
              <w:tc>
                <w:tcPr>
                  <w:tcW w:w="2493" w:type="pct"/>
                  <w:noWrap w:val="0"/>
                  <w:vAlign w:val="center"/>
                </w:tcPr>
                <w:p w14:paraId="11A5DE8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工程建设内容</w:t>
                  </w:r>
                </w:p>
              </w:tc>
              <w:tc>
                <w:tcPr>
                  <w:tcW w:w="634" w:type="pct"/>
                  <w:noWrap w:val="0"/>
                  <w:vAlign w:val="center"/>
                </w:tcPr>
                <w:p w14:paraId="1290D0F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备注</w:t>
                  </w:r>
                </w:p>
              </w:tc>
              <w:tc>
                <w:tcPr>
                  <w:tcW w:w="804" w:type="pct"/>
                  <w:noWrap w:val="0"/>
                  <w:vAlign w:val="center"/>
                </w:tcPr>
                <w:p w14:paraId="5BEB2AE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eastAsia" w:ascii="宋体" w:hAnsi="宋体" w:eastAsia="宋体" w:cs="宋体"/>
                      <w:color w:val="000000"/>
                      <w:kern w:val="0"/>
                      <w:sz w:val="21"/>
                      <w:szCs w:val="21"/>
                      <w:u w:val="none"/>
                      <w:lang w:val="en-US" w:eastAsia="zh-CN"/>
                    </w:rPr>
                    <w:t>验收时期实际建设情况</w:t>
                  </w:r>
                </w:p>
              </w:tc>
            </w:tr>
            <w:tr w14:paraId="18CD200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restart"/>
                  <w:noWrap w:val="0"/>
                  <w:vAlign w:val="center"/>
                </w:tcPr>
                <w:p w14:paraId="53385D8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主体工程</w:t>
                  </w:r>
                </w:p>
              </w:tc>
              <w:tc>
                <w:tcPr>
                  <w:tcW w:w="255" w:type="pct"/>
                  <w:vMerge w:val="restart"/>
                  <w:noWrap w:val="0"/>
                  <w:vAlign w:val="center"/>
                </w:tcPr>
                <w:p w14:paraId="440B51A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拆解区</w:t>
                  </w:r>
                </w:p>
              </w:tc>
              <w:tc>
                <w:tcPr>
                  <w:tcW w:w="556" w:type="pct"/>
                  <w:noWrap w:val="0"/>
                  <w:vAlign w:val="center"/>
                </w:tcPr>
                <w:p w14:paraId="6DC4FC2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预处理区</w:t>
                  </w:r>
                </w:p>
              </w:tc>
              <w:tc>
                <w:tcPr>
                  <w:tcW w:w="2493" w:type="pct"/>
                  <w:noWrap w:val="0"/>
                  <w:vAlign w:val="center"/>
                </w:tcPr>
                <w:p w14:paraId="60407308">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位于现有厂房（封闭车间）内，占地面积为300m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，分为传统燃油汽车预处理区（150m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）和电动汽车预处理区（150m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主要进行拆解预处理工作，使用专用工具排空存留在车内的废液，并使用专用容器分类回收；按照要求对铅酸蓄电池、动力蓄电池、空调制冷剂、油箱和燃料罐、机油滤清器、催化系统进行拆除。电动汽车预处理区地面应做绝缘处理，应设有高压警示、区域隔离及危险识别标志，并设有防腐防渗专用容器，用于收集动力蓄电池等破损时泄漏出的电解液、冷却液等有毒有害液体。传统燃油汽车预处理区地面应做防酸、防腐、防渗及硬化处理，同时还应满足HJ 519中其他相关要求。</w:t>
                  </w:r>
                </w:p>
              </w:tc>
              <w:tc>
                <w:tcPr>
                  <w:tcW w:w="634" w:type="pct"/>
                  <w:noWrap w:val="0"/>
                  <w:vAlign w:val="center"/>
                </w:tcPr>
                <w:p w14:paraId="2CDEEC1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7847CE0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17D6052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A140EC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255" w:type="pct"/>
                  <w:vMerge w:val="continue"/>
                  <w:noWrap w:val="0"/>
                  <w:vAlign w:val="center"/>
                </w:tcPr>
                <w:p w14:paraId="4F84817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56" w:type="pct"/>
                  <w:noWrap w:val="0"/>
                  <w:vAlign w:val="center"/>
                </w:tcPr>
                <w:p w14:paraId="3ED2CD6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汽车拆解区</w:t>
                  </w:r>
                </w:p>
              </w:tc>
              <w:tc>
                <w:tcPr>
                  <w:tcW w:w="2493" w:type="pct"/>
                  <w:noWrap w:val="0"/>
                  <w:vAlign w:val="center"/>
                </w:tcPr>
                <w:p w14:paraId="1158ED77">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位于现有厂房内，占地面积为2100m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，主要进行大车、小车、新能源汽车拆解作业。作业区防渗地面应符合GB 50037中防油渗面层应采用防油混凝土铺设或采用防油渗涂料涂刷等要求。</w:t>
                  </w:r>
                </w:p>
              </w:tc>
              <w:tc>
                <w:tcPr>
                  <w:tcW w:w="634" w:type="pct"/>
                  <w:noWrap w:val="0"/>
                  <w:vAlign w:val="center"/>
                </w:tcPr>
                <w:p w14:paraId="0653F69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0845D35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6A6B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6757134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255" w:type="pct"/>
                  <w:vMerge w:val="continue"/>
                  <w:noWrap w:val="0"/>
                  <w:vAlign w:val="center"/>
                </w:tcPr>
                <w:p w14:paraId="4A91B51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56" w:type="pct"/>
                  <w:noWrap w:val="0"/>
                  <w:vAlign w:val="center"/>
                </w:tcPr>
                <w:p w14:paraId="02A075B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安全气囊引爆区</w:t>
                  </w:r>
                </w:p>
              </w:tc>
              <w:tc>
                <w:tcPr>
                  <w:tcW w:w="2493" w:type="pct"/>
                  <w:noWrap w:val="0"/>
                  <w:vAlign w:val="center"/>
                </w:tcPr>
                <w:p w14:paraId="71B56E51">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位于现有厂房内，占地面积为100m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，主要进行大车、小车、新能源汽车安全气囊引爆处理。作业区防渗地面应符合GB 50037中防油渗面层应采用防油混凝土铺设或采用防油渗涂料涂刷等要求。</w:t>
                  </w:r>
                </w:p>
              </w:tc>
              <w:tc>
                <w:tcPr>
                  <w:tcW w:w="634" w:type="pct"/>
                  <w:noWrap w:val="0"/>
                  <w:vAlign w:val="center"/>
                </w:tcPr>
                <w:p w14:paraId="3596474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7D30032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2A79606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restart"/>
                  <w:noWrap w:val="0"/>
                  <w:vAlign w:val="center"/>
                </w:tcPr>
                <w:p w14:paraId="05D97B9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辅助</w:t>
                  </w:r>
                </w:p>
                <w:p w14:paraId="1D34826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工程</w:t>
                  </w:r>
                </w:p>
              </w:tc>
              <w:tc>
                <w:tcPr>
                  <w:tcW w:w="812" w:type="pct"/>
                  <w:gridSpan w:val="2"/>
                  <w:noWrap w:val="0"/>
                  <w:vAlign w:val="center"/>
                </w:tcPr>
                <w:p w14:paraId="3344284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eastAsia="zh-CN"/>
                    </w:rPr>
                  </w:pPr>
                  <w:r>
                    <w:rPr>
                      <w:rFonts w:hint="default" w:ascii="Times New Roman" w:hAnsi="Times New Roman" w:eastAsia="宋体" w:cs="Times New Roman"/>
                      <w:color w:val="000000"/>
                      <w:kern w:val="0"/>
                      <w:sz w:val="21"/>
                      <w:szCs w:val="21"/>
                      <w:u w:val="none"/>
                      <w:lang w:val="en-US" w:eastAsia="zh-CN"/>
                    </w:rPr>
                    <w:t>办公区</w:t>
                  </w:r>
                </w:p>
              </w:tc>
              <w:tc>
                <w:tcPr>
                  <w:tcW w:w="2493" w:type="pct"/>
                  <w:noWrap w:val="0"/>
                  <w:vAlign w:val="center"/>
                </w:tcPr>
                <w:p w14:paraId="7020F425">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位于现有厂房（封闭车间）内西侧，占地面积为1200m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，用于办公，车辆登记等</w:t>
                  </w:r>
                </w:p>
              </w:tc>
              <w:tc>
                <w:tcPr>
                  <w:tcW w:w="634" w:type="pct"/>
                  <w:noWrap w:val="0"/>
                  <w:vAlign w:val="center"/>
                </w:tcPr>
                <w:p w14:paraId="1A52D90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6881EEB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05BCA9F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3A7283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6D6C55C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地磅间</w:t>
                  </w:r>
                </w:p>
              </w:tc>
              <w:tc>
                <w:tcPr>
                  <w:tcW w:w="2493" w:type="pct"/>
                  <w:noWrap w:val="0"/>
                  <w:vAlign w:val="center"/>
                </w:tcPr>
                <w:p w14:paraId="073FCFE3">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位于厂区东侧，占地面积为300m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，主要用于</w:t>
                  </w:r>
                  <w:r>
                    <w:rPr>
                      <w:rFonts w:hint="default" w:ascii="Times New Roman" w:hAnsi="Times New Roman" w:eastAsia="宋体" w:cs="Times New Roman"/>
                      <w:color w:val="000000"/>
                      <w:kern w:val="0"/>
                      <w:sz w:val="21"/>
                      <w:szCs w:val="21"/>
                      <w:u w:val="none"/>
                    </w:rPr>
                    <w:t>测量报废汽车及其拆解后的零部件的重量</w:t>
                  </w:r>
                  <w:r>
                    <w:rPr>
                      <w:rFonts w:hint="default" w:ascii="Times New Roman" w:hAnsi="Times New Roman" w:eastAsia="宋体" w:cs="Times New Roman"/>
                      <w:color w:val="000000"/>
                      <w:kern w:val="0"/>
                      <w:sz w:val="21"/>
                      <w:szCs w:val="21"/>
                      <w:u w:val="none"/>
                      <w:lang w:eastAsia="zh-CN"/>
                    </w:rPr>
                    <w:t>。</w:t>
                  </w:r>
                </w:p>
              </w:tc>
              <w:tc>
                <w:tcPr>
                  <w:tcW w:w="634" w:type="pct"/>
                  <w:noWrap w:val="0"/>
                  <w:vAlign w:val="center"/>
                </w:tcPr>
                <w:p w14:paraId="72B7C68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53BB2E4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FABF9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restart"/>
                  <w:noWrap w:val="0"/>
                  <w:vAlign w:val="center"/>
                </w:tcPr>
                <w:p w14:paraId="60E1F37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储运</w:t>
                  </w:r>
                </w:p>
                <w:p w14:paraId="4F8F6D3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工程</w:t>
                  </w:r>
                </w:p>
              </w:tc>
              <w:tc>
                <w:tcPr>
                  <w:tcW w:w="255" w:type="pct"/>
                  <w:vMerge w:val="restart"/>
                  <w:noWrap w:val="0"/>
                  <w:vAlign w:val="center"/>
                </w:tcPr>
                <w:p w14:paraId="408540A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整车贮存区</w:t>
                  </w:r>
                </w:p>
              </w:tc>
              <w:tc>
                <w:tcPr>
                  <w:tcW w:w="556" w:type="pct"/>
                  <w:noWrap w:val="0"/>
                  <w:vAlign w:val="center"/>
                </w:tcPr>
                <w:p w14:paraId="3EF9FD5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传统燃料机动车区</w:t>
                  </w:r>
                </w:p>
              </w:tc>
              <w:tc>
                <w:tcPr>
                  <w:tcW w:w="2493" w:type="pct"/>
                  <w:noWrap w:val="0"/>
                  <w:vAlign w:val="center"/>
                </w:tcPr>
                <w:p w14:paraId="2A20628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位于厂区东侧，占地面积为2000m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，地面硬化并防渗处理，防渗地面应符合GB 50037中防油渗面层应采用防油混凝土铺设或采用防油渗涂料涂刷等要求。</w:t>
                  </w:r>
                </w:p>
              </w:tc>
              <w:tc>
                <w:tcPr>
                  <w:tcW w:w="634" w:type="pct"/>
                  <w:noWrap w:val="0"/>
                  <w:vAlign w:val="center"/>
                </w:tcPr>
                <w:p w14:paraId="175FF83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76978D7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3B9E569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6527FCB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255" w:type="pct"/>
                  <w:vMerge w:val="continue"/>
                  <w:noWrap w:val="0"/>
                  <w:vAlign w:val="center"/>
                </w:tcPr>
                <w:p w14:paraId="1EABD31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556" w:type="pct"/>
                  <w:noWrap w:val="0"/>
                  <w:vAlign w:val="center"/>
                </w:tcPr>
                <w:p w14:paraId="2FA7015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电动汽车区</w:t>
                  </w:r>
                </w:p>
              </w:tc>
              <w:tc>
                <w:tcPr>
                  <w:tcW w:w="2493" w:type="pct"/>
                  <w:noWrap w:val="0"/>
                  <w:vAlign w:val="center"/>
                </w:tcPr>
                <w:p w14:paraId="756E4DE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位于厂区东侧，占地面积为1500m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，地面硬化并防渗处理，防渗地面应符合GB 50037中防油渗面层应采用防油混凝土铺设或采用防油渗涂料涂刷等要求。</w:t>
                  </w:r>
                </w:p>
              </w:tc>
              <w:tc>
                <w:tcPr>
                  <w:tcW w:w="634" w:type="pct"/>
                  <w:noWrap w:val="0"/>
                  <w:vAlign w:val="center"/>
                </w:tcPr>
                <w:p w14:paraId="40760E7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6F51F45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0B67C1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6D0AFC7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5C45897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一般工业固体废物贮存区</w:t>
                  </w:r>
                </w:p>
              </w:tc>
              <w:tc>
                <w:tcPr>
                  <w:tcW w:w="2493" w:type="pct"/>
                  <w:noWrap w:val="0"/>
                  <w:vAlign w:val="center"/>
                </w:tcPr>
                <w:p w14:paraId="789A4256">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位于现有厂房内，回用件贮存区东侧，占地面积为1500m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，固体废物分类贮存并设置标识。</w:t>
                  </w:r>
                </w:p>
              </w:tc>
              <w:tc>
                <w:tcPr>
                  <w:tcW w:w="634" w:type="pct"/>
                  <w:noWrap w:val="0"/>
                  <w:vAlign w:val="center"/>
                </w:tcPr>
                <w:p w14:paraId="30CC5BF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1B47002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D89A1E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5D2675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464C592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动力蓄电池贮存区</w:t>
                  </w:r>
                </w:p>
              </w:tc>
              <w:tc>
                <w:tcPr>
                  <w:tcW w:w="2493" w:type="pct"/>
                  <w:noWrap w:val="0"/>
                  <w:vAlign w:val="center"/>
                </w:tcPr>
                <w:p w14:paraId="5ECE9ABC">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位于现有厂房东南角，占地面积20m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，用于贮存动力蓄电池，动力蓄电池贮存区应设在易燃、易爆等危险品仓库及高压输电线路防护区域以外，并设有烟雾报警器等火灾自动报警设施；应满足HJ 1186中的相关要求，地面应采用环氧地坪等硬化措施，地面应做防酸、防腐、防渗、硬化及绝缘处理。拆卸下来的动力蓄电池存在漏液、冒烟、漏电、外壳破损等情形的，应及时处理并采用专用容器单独存放，避免动力蓄电池自燃引起的环境风险。</w:t>
                  </w:r>
                </w:p>
              </w:tc>
              <w:tc>
                <w:tcPr>
                  <w:tcW w:w="634" w:type="pct"/>
                  <w:noWrap w:val="0"/>
                  <w:vAlign w:val="center"/>
                </w:tcPr>
                <w:p w14:paraId="1780F69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0EE02A4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3C792B2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0662B93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177FD4F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回用件贮存区</w:t>
                  </w:r>
                </w:p>
              </w:tc>
              <w:tc>
                <w:tcPr>
                  <w:tcW w:w="2493" w:type="pct"/>
                  <w:noWrap w:val="0"/>
                  <w:vAlign w:val="center"/>
                </w:tcPr>
                <w:p w14:paraId="318D7C4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rPr>
                  </w:pPr>
                  <w:r>
                    <w:rPr>
                      <w:rFonts w:hint="default" w:ascii="Times New Roman" w:hAnsi="Times New Roman" w:eastAsia="宋体" w:cs="Times New Roman"/>
                      <w:color w:val="000000"/>
                      <w:kern w:val="0"/>
                      <w:sz w:val="21"/>
                      <w:szCs w:val="21"/>
                      <w:u w:val="none"/>
                      <w:lang w:val="en-US" w:eastAsia="zh-CN"/>
                    </w:rPr>
                    <w:t>位于现有厂房内，办公区东侧，占地面积为1200m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，回用件分类贮存并设置标识。</w:t>
                  </w:r>
                </w:p>
              </w:tc>
              <w:tc>
                <w:tcPr>
                  <w:tcW w:w="634" w:type="pct"/>
                  <w:noWrap w:val="0"/>
                  <w:vAlign w:val="center"/>
                </w:tcPr>
                <w:p w14:paraId="375014F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58D3699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0E79526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1DF8418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280B6F3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危险废物贮存库</w:t>
                  </w:r>
                </w:p>
              </w:tc>
              <w:tc>
                <w:tcPr>
                  <w:tcW w:w="2493" w:type="pct"/>
                  <w:noWrap w:val="0"/>
                  <w:vAlign w:val="center"/>
                </w:tcPr>
                <w:p w14:paraId="5615162B">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位于现有厂房内西北侧、办公区东侧，占地面积为90m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，细分为铅蓄电池贮存区（25m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）、废油液贮存区（25m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）和综合危险废物贮存区（40m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），分类暂存拆解后产生的各类危险废物，其中铅蓄电池贮存区分为完整铅蓄电池贮存区（15m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）和破损铅蓄电池贮存区（10m</w:t>
                  </w:r>
                  <w:r>
                    <w:rPr>
                      <w:rFonts w:hint="default" w:ascii="Times New Roman" w:hAnsi="Times New Roman" w:eastAsia="宋体" w:cs="Times New Roman"/>
                      <w:color w:val="000000"/>
                      <w:kern w:val="0"/>
                      <w:sz w:val="21"/>
                      <w:szCs w:val="21"/>
                      <w:u w:val="none"/>
                      <w:vertAlign w:val="superscript"/>
                      <w:lang w:val="en-US" w:eastAsia="zh-CN"/>
                    </w:rPr>
                    <w:t>2</w:t>
                  </w:r>
                  <w:r>
                    <w:rPr>
                      <w:rFonts w:hint="default" w:ascii="Times New Roman" w:hAnsi="Times New Roman" w:eastAsia="宋体" w:cs="Times New Roman"/>
                      <w:color w:val="000000"/>
                      <w:kern w:val="0"/>
                      <w:sz w:val="21"/>
                      <w:szCs w:val="21"/>
                      <w:u w:val="none"/>
                      <w:lang w:val="en-US" w:eastAsia="zh-CN"/>
                    </w:rPr>
                    <w:t>）。每个区域入口处设置液体导流沟（3m×0.1m×0.1m），并设置液体收集池（容积1m</w:t>
                  </w:r>
                  <w:r>
                    <w:rPr>
                      <w:rFonts w:hint="default" w:ascii="Times New Roman" w:hAnsi="Times New Roman" w:eastAsia="宋体" w:cs="Times New Roman"/>
                      <w:color w:val="000000"/>
                      <w:kern w:val="0"/>
                      <w:sz w:val="21"/>
                      <w:szCs w:val="21"/>
                      <w:u w:val="none"/>
                      <w:vertAlign w:val="superscript"/>
                      <w:lang w:val="en-US" w:eastAsia="zh-CN"/>
                    </w:rPr>
                    <w:t>3</w:t>
                  </w:r>
                  <w:r>
                    <w:rPr>
                      <w:rFonts w:hint="default" w:ascii="Times New Roman" w:hAnsi="Times New Roman" w:eastAsia="宋体" w:cs="Times New Roman"/>
                      <w:color w:val="000000"/>
                      <w:kern w:val="0"/>
                      <w:sz w:val="21"/>
                      <w:szCs w:val="21"/>
                      <w:u w:val="none"/>
                      <w:lang w:val="en-US" w:eastAsia="zh-CN"/>
                    </w:rPr>
                    <w:t>），地面无液体积液；不同种类的危险废物单独收集、分类存放，中间有明显间隔；设置警示标识，满足GB 18597中其他相关要求。作业区防渗地面应符合GB 50037中防油渗面层应采用防油混凝土铺设或采用防油渗涂料涂刷等要求，同时满足《危险废物贮存污染控制标准》（GB18597-2023）中相关要求。</w:t>
                  </w:r>
                </w:p>
                <w:p w14:paraId="4C700E6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动力蓄电池不应与铅蓄电池混合贮存；不应倾倒铅蓄电池内的电解液、铅块和铅膏等废物；对于破损的铅蓄电池，应单独贮存，并采取防止电解液泄漏的措施。</w:t>
                  </w:r>
                </w:p>
              </w:tc>
              <w:tc>
                <w:tcPr>
                  <w:tcW w:w="634" w:type="pct"/>
                  <w:noWrap w:val="0"/>
                  <w:vAlign w:val="center"/>
                </w:tcPr>
                <w:p w14:paraId="7CF978C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利旧</w:t>
                  </w:r>
                </w:p>
              </w:tc>
              <w:tc>
                <w:tcPr>
                  <w:tcW w:w="804" w:type="pct"/>
                  <w:noWrap w:val="0"/>
                  <w:vAlign w:val="center"/>
                </w:tcPr>
                <w:p w14:paraId="760354E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F4D88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654B545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2A37128D">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rPr>
                    <w:t>初期雨水池</w:t>
                  </w:r>
                </w:p>
              </w:tc>
              <w:tc>
                <w:tcPr>
                  <w:tcW w:w="2493" w:type="pct"/>
                  <w:noWrap w:val="0"/>
                  <w:vAlign w:val="center"/>
                </w:tcPr>
                <w:p w14:paraId="6FA0D400">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初期雨水收集池位于厂区东北侧，建设容积为75m</w:t>
                  </w:r>
                  <w:r>
                    <w:rPr>
                      <w:rFonts w:hint="default" w:ascii="Times New Roman" w:hAnsi="Times New Roman" w:eastAsia="宋体" w:cs="Times New Roman"/>
                      <w:color w:val="000000"/>
                      <w:kern w:val="0"/>
                      <w:sz w:val="21"/>
                      <w:szCs w:val="21"/>
                      <w:u w:val="none"/>
                      <w:vertAlign w:val="superscript"/>
                      <w:lang w:val="en-US" w:eastAsia="zh-CN"/>
                    </w:rPr>
                    <w:t>3</w:t>
                  </w:r>
                  <w:r>
                    <w:rPr>
                      <w:rFonts w:hint="default" w:ascii="Times New Roman" w:hAnsi="Times New Roman" w:eastAsia="宋体" w:cs="Times New Roman"/>
                      <w:color w:val="000000"/>
                      <w:kern w:val="0"/>
                      <w:sz w:val="21"/>
                      <w:szCs w:val="21"/>
                      <w:u w:val="none"/>
                      <w:lang w:val="en-US" w:eastAsia="zh-CN"/>
                    </w:rPr>
                    <w:t>（5m*5m*3m），初期雨水收集池收集厂区初期雨水。池体底部、四周防渗处理，防渗要求为等效黏土防渗层Mb≥6.0m，K≤1.0×10</w:t>
                  </w:r>
                  <w:r>
                    <w:rPr>
                      <w:rFonts w:hint="default" w:ascii="Times New Roman" w:hAnsi="Times New Roman" w:eastAsia="宋体" w:cs="Times New Roman"/>
                      <w:color w:val="000000"/>
                      <w:kern w:val="0"/>
                      <w:sz w:val="21"/>
                      <w:szCs w:val="21"/>
                      <w:u w:val="none"/>
                      <w:vertAlign w:val="superscript"/>
                      <w:lang w:val="en-US" w:eastAsia="zh-CN"/>
                    </w:rPr>
                    <w:t>-7</w:t>
                  </w:r>
                  <w:r>
                    <w:rPr>
                      <w:rFonts w:hint="default" w:ascii="Times New Roman" w:hAnsi="Times New Roman" w:eastAsia="宋体" w:cs="Times New Roman"/>
                      <w:color w:val="000000"/>
                      <w:kern w:val="0"/>
                      <w:sz w:val="21"/>
                      <w:szCs w:val="21"/>
                      <w:u w:val="none"/>
                      <w:lang w:val="en-US" w:eastAsia="zh-CN"/>
                    </w:rPr>
                    <w:t>cm/s；或参照GB 18598执行。</w:t>
                  </w:r>
                </w:p>
              </w:tc>
              <w:tc>
                <w:tcPr>
                  <w:tcW w:w="634" w:type="pct"/>
                  <w:noWrap w:val="0"/>
                  <w:vAlign w:val="center"/>
                </w:tcPr>
                <w:p w14:paraId="1F04D33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0F1B64A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73A3D6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056F5EA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7C0D7D8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rPr>
                  </w:pPr>
                  <w:r>
                    <w:rPr>
                      <w:rFonts w:hint="default" w:ascii="Times New Roman" w:hAnsi="Times New Roman" w:eastAsia="宋体" w:cs="Times New Roman"/>
                      <w:color w:val="000000"/>
                      <w:kern w:val="0"/>
                      <w:sz w:val="21"/>
                      <w:szCs w:val="21"/>
                      <w:u w:val="none"/>
                      <w:lang w:val="en-US" w:eastAsia="zh-CN"/>
                    </w:rPr>
                    <w:t>污水池</w:t>
                  </w:r>
                </w:p>
              </w:tc>
              <w:tc>
                <w:tcPr>
                  <w:tcW w:w="2493" w:type="pct"/>
                  <w:noWrap w:val="0"/>
                  <w:vAlign w:val="center"/>
                </w:tcPr>
                <w:p w14:paraId="3BFE8DA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主要用来收集、处理项目生产过程中产生的废水，建设容积为20m</w:t>
                  </w:r>
                  <w:r>
                    <w:rPr>
                      <w:rFonts w:hint="default" w:ascii="Times New Roman" w:hAnsi="Times New Roman" w:eastAsia="宋体" w:cs="Times New Roman"/>
                      <w:color w:val="000000"/>
                      <w:kern w:val="0"/>
                      <w:sz w:val="21"/>
                      <w:szCs w:val="21"/>
                      <w:u w:val="none"/>
                      <w:vertAlign w:val="superscript"/>
                      <w:lang w:val="en-US" w:eastAsia="zh-CN"/>
                    </w:rPr>
                    <w:t>3</w:t>
                  </w:r>
                  <w:bookmarkStart w:id="10" w:name="OLE_LINK22"/>
                  <w:r>
                    <w:rPr>
                      <w:rFonts w:hint="default" w:ascii="Times New Roman" w:hAnsi="Times New Roman" w:eastAsia="宋体" w:cs="Times New Roman"/>
                      <w:color w:val="000000"/>
                      <w:kern w:val="0"/>
                      <w:sz w:val="21"/>
                      <w:szCs w:val="21"/>
                      <w:u w:val="none"/>
                      <w:lang w:val="en-US" w:eastAsia="zh-CN"/>
                    </w:rPr>
                    <w:t>（5m*2m*2m）</w:t>
                  </w:r>
                  <w:bookmarkEnd w:id="10"/>
                  <w:r>
                    <w:rPr>
                      <w:rFonts w:hint="default" w:ascii="Times New Roman" w:hAnsi="Times New Roman" w:eastAsia="宋体" w:cs="Times New Roman"/>
                      <w:color w:val="000000"/>
                      <w:kern w:val="0"/>
                      <w:sz w:val="21"/>
                      <w:szCs w:val="21"/>
                      <w:u w:val="none"/>
                      <w:lang w:val="en-US" w:eastAsia="zh-CN"/>
                    </w:rPr>
                    <w:t>。池体底部、四周防渗处理，防渗要求为等效黏土防渗层Mb≥6.0m，K≤1.0×10</w:t>
                  </w:r>
                  <w:r>
                    <w:rPr>
                      <w:rFonts w:hint="default" w:ascii="Times New Roman" w:hAnsi="Times New Roman" w:eastAsia="宋体" w:cs="Times New Roman"/>
                      <w:color w:val="000000"/>
                      <w:kern w:val="0"/>
                      <w:sz w:val="21"/>
                      <w:szCs w:val="21"/>
                      <w:u w:val="none"/>
                      <w:vertAlign w:val="superscript"/>
                      <w:lang w:val="en-US" w:eastAsia="zh-CN"/>
                    </w:rPr>
                    <w:t>-7</w:t>
                  </w:r>
                  <w:r>
                    <w:rPr>
                      <w:rFonts w:hint="default" w:ascii="Times New Roman" w:hAnsi="Times New Roman" w:eastAsia="宋体" w:cs="Times New Roman"/>
                      <w:color w:val="000000"/>
                      <w:kern w:val="0"/>
                      <w:sz w:val="21"/>
                      <w:szCs w:val="21"/>
                      <w:u w:val="none"/>
                      <w:lang w:val="en-US" w:eastAsia="zh-CN"/>
                    </w:rPr>
                    <w:t>cm/s；或参照GB 18598执行。</w:t>
                  </w:r>
                </w:p>
              </w:tc>
              <w:tc>
                <w:tcPr>
                  <w:tcW w:w="634" w:type="pct"/>
                  <w:noWrap w:val="0"/>
                  <w:vAlign w:val="center"/>
                </w:tcPr>
                <w:p w14:paraId="11A9F29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46E5E41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65E4B5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B3FD70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694C9D3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事故应急池</w:t>
                  </w:r>
                </w:p>
              </w:tc>
              <w:tc>
                <w:tcPr>
                  <w:tcW w:w="2493" w:type="pct"/>
                  <w:noWrap w:val="0"/>
                  <w:vAlign w:val="center"/>
                </w:tcPr>
                <w:p w14:paraId="7AA90569">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事故应急池位于厂区西北侧，建设容积为110m</w:t>
                  </w:r>
                  <w:r>
                    <w:rPr>
                      <w:rFonts w:hint="default" w:ascii="Times New Roman" w:hAnsi="Times New Roman" w:eastAsia="宋体" w:cs="Times New Roman"/>
                      <w:color w:val="000000"/>
                      <w:kern w:val="0"/>
                      <w:sz w:val="21"/>
                      <w:szCs w:val="21"/>
                      <w:u w:val="none"/>
                      <w:vertAlign w:val="superscript"/>
                      <w:lang w:val="en-US" w:eastAsia="zh-CN"/>
                    </w:rPr>
                    <w:t>3</w:t>
                  </w:r>
                  <w:r>
                    <w:rPr>
                      <w:rFonts w:hint="default" w:ascii="Times New Roman" w:hAnsi="Times New Roman" w:eastAsia="宋体" w:cs="Times New Roman"/>
                      <w:color w:val="000000"/>
                      <w:kern w:val="0"/>
                      <w:sz w:val="21"/>
                      <w:szCs w:val="21"/>
                      <w:u w:val="none"/>
                      <w:lang w:val="en-US" w:eastAsia="zh-CN"/>
                    </w:rPr>
                    <w:t>（11m*5m*2m），用于储存事故废水，控制废水不进入外环境。池体底部、四周防渗处理，防渗要求为等效黏土防渗层Mb≥6.0m，K≤1.0×10</w:t>
                  </w:r>
                  <w:r>
                    <w:rPr>
                      <w:rFonts w:hint="default" w:ascii="Times New Roman" w:hAnsi="Times New Roman" w:eastAsia="宋体" w:cs="Times New Roman"/>
                      <w:color w:val="000000"/>
                      <w:kern w:val="0"/>
                      <w:sz w:val="21"/>
                      <w:szCs w:val="21"/>
                      <w:u w:val="none"/>
                      <w:vertAlign w:val="superscript"/>
                      <w:lang w:val="en-US" w:eastAsia="zh-CN"/>
                    </w:rPr>
                    <w:t>-7</w:t>
                  </w:r>
                  <w:r>
                    <w:rPr>
                      <w:rFonts w:hint="default" w:ascii="Times New Roman" w:hAnsi="Times New Roman" w:eastAsia="宋体" w:cs="Times New Roman"/>
                      <w:color w:val="000000"/>
                      <w:kern w:val="0"/>
                      <w:sz w:val="21"/>
                      <w:szCs w:val="21"/>
                      <w:u w:val="none"/>
                      <w:lang w:val="en-US" w:eastAsia="zh-CN"/>
                    </w:rPr>
                    <w:t>cm/s；或参照GB 18598执行。</w:t>
                  </w:r>
                </w:p>
              </w:tc>
              <w:tc>
                <w:tcPr>
                  <w:tcW w:w="634" w:type="pct"/>
                  <w:noWrap w:val="0"/>
                  <w:vAlign w:val="center"/>
                </w:tcPr>
                <w:p w14:paraId="0B07380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新建</w:t>
                  </w:r>
                </w:p>
              </w:tc>
              <w:tc>
                <w:tcPr>
                  <w:tcW w:w="804" w:type="pct"/>
                  <w:noWrap w:val="0"/>
                  <w:vAlign w:val="center"/>
                </w:tcPr>
                <w:p w14:paraId="2AF3693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0F32836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restart"/>
                  <w:noWrap w:val="0"/>
                  <w:vAlign w:val="center"/>
                </w:tcPr>
                <w:p w14:paraId="4DE73C9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公用</w:t>
                  </w:r>
                </w:p>
                <w:p w14:paraId="09D8FE4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工程</w:t>
                  </w:r>
                </w:p>
              </w:tc>
              <w:tc>
                <w:tcPr>
                  <w:tcW w:w="812" w:type="pct"/>
                  <w:gridSpan w:val="2"/>
                  <w:noWrap w:val="0"/>
                  <w:vAlign w:val="center"/>
                </w:tcPr>
                <w:p w14:paraId="44128E7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供水</w:t>
                  </w:r>
                </w:p>
              </w:tc>
              <w:tc>
                <w:tcPr>
                  <w:tcW w:w="3127" w:type="pct"/>
                  <w:gridSpan w:val="2"/>
                  <w:noWrap w:val="0"/>
                  <w:vAlign w:val="center"/>
                </w:tcPr>
                <w:p w14:paraId="336AF93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rPr>
                  </w:pPr>
                  <w:r>
                    <w:rPr>
                      <w:rFonts w:hint="default" w:ascii="Times New Roman" w:hAnsi="Times New Roman" w:eastAsia="宋体" w:cs="Times New Roman"/>
                      <w:color w:val="000000"/>
                      <w:kern w:val="0"/>
                      <w:sz w:val="21"/>
                      <w:szCs w:val="21"/>
                      <w:u w:val="none"/>
                      <w:lang w:val="en-US" w:eastAsia="zh-CN"/>
                    </w:rPr>
                    <w:t>厂区内现有深水井</w:t>
                  </w:r>
                </w:p>
              </w:tc>
              <w:tc>
                <w:tcPr>
                  <w:tcW w:w="804" w:type="pct"/>
                  <w:noWrap w:val="0"/>
                  <w:vAlign w:val="center"/>
                </w:tcPr>
                <w:p w14:paraId="6FFBF26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3ABBF72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01FD8F7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68C0E7A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供电</w:t>
                  </w:r>
                </w:p>
              </w:tc>
              <w:tc>
                <w:tcPr>
                  <w:tcW w:w="3127" w:type="pct"/>
                  <w:gridSpan w:val="2"/>
                  <w:noWrap w:val="0"/>
                  <w:vAlign w:val="center"/>
                </w:tcPr>
                <w:p w14:paraId="38A580E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当地供电电网</w:t>
                  </w:r>
                </w:p>
              </w:tc>
              <w:tc>
                <w:tcPr>
                  <w:tcW w:w="804" w:type="pct"/>
                  <w:noWrap w:val="0"/>
                  <w:vAlign w:val="center"/>
                </w:tcPr>
                <w:p w14:paraId="1ADD5803">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eastAsia" w:ascii="宋体" w:hAnsi="宋体" w:eastAsia="宋体" w:cs="宋体"/>
                      <w:color w:val="000000"/>
                      <w:kern w:val="0"/>
                      <w:sz w:val="21"/>
                      <w:szCs w:val="21"/>
                      <w:u w:val="none"/>
                      <w:lang w:val="en-US" w:eastAsia="zh-CN"/>
                    </w:rPr>
                    <w:t>与环评时期一致</w:t>
                  </w:r>
                </w:p>
              </w:tc>
            </w:tr>
            <w:tr w14:paraId="385D2BE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2E67BB8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53B6918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供热</w:t>
                  </w:r>
                </w:p>
              </w:tc>
              <w:tc>
                <w:tcPr>
                  <w:tcW w:w="3127" w:type="pct"/>
                  <w:gridSpan w:val="2"/>
                  <w:noWrap w:val="0"/>
                  <w:vAlign w:val="center"/>
                </w:tcPr>
                <w:p w14:paraId="716214CB">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项目车间不需供热，生活供暖采用集中供热</w:t>
                  </w:r>
                </w:p>
              </w:tc>
              <w:tc>
                <w:tcPr>
                  <w:tcW w:w="804" w:type="pct"/>
                  <w:noWrap w:val="0"/>
                  <w:vAlign w:val="center"/>
                </w:tcPr>
                <w:p w14:paraId="416CC0B4">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eastAsia" w:ascii="宋体" w:hAnsi="宋体" w:eastAsia="宋体" w:cs="宋体"/>
                      <w:color w:val="000000"/>
                      <w:kern w:val="0"/>
                      <w:sz w:val="21"/>
                      <w:szCs w:val="21"/>
                      <w:u w:val="none"/>
                      <w:lang w:val="en-US" w:eastAsia="zh-CN"/>
                    </w:rPr>
                    <w:t>与环评时期一致</w:t>
                  </w:r>
                </w:p>
              </w:tc>
            </w:tr>
            <w:tr w14:paraId="6208B6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3EBFBF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p>
              </w:tc>
              <w:tc>
                <w:tcPr>
                  <w:tcW w:w="812" w:type="pct"/>
                  <w:gridSpan w:val="2"/>
                  <w:noWrap w:val="0"/>
                  <w:vAlign w:val="center"/>
                </w:tcPr>
                <w:p w14:paraId="404E1D8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rPr>
                    <w:t>排水</w:t>
                  </w:r>
                </w:p>
              </w:tc>
              <w:tc>
                <w:tcPr>
                  <w:tcW w:w="3127" w:type="pct"/>
                  <w:gridSpan w:val="2"/>
                  <w:noWrap w:val="0"/>
                  <w:vAlign w:val="center"/>
                </w:tcPr>
                <w:p w14:paraId="7A817673">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企业厂区实现雨污分流，地面清洁废水排入污水池、初期雨水收集入初期雨水池，地面清洁废水、初期雨水分别经油水分离器处理后，与生活污水一起排入市政污水管网，总排口废水满足《污水综合排放标准》（GB8978-1996）中三级标准，排入长春绿园西新工业集中区污水处理厂处理达标后排入新凯河。</w:t>
                  </w:r>
                </w:p>
              </w:tc>
              <w:tc>
                <w:tcPr>
                  <w:tcW w:w="804" w:type="pct"/>
                  <w:noWrap w:val="0"/>
                  <w:vAlign w:val="center"/>
                </w:tcPr>
                <w:p w14:paraId="0EC4DD61">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8DDE9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restart"/>
                  <w:noWrap w:val="0"/>
                  <w:vAlign w:val="center"/>
                </w:tcPr>
                <w:p w14:paraId="1B26105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环保工程</w:t>
                  </w:r>
                </w:p>
              </w:tc>
              <w:tc>
                <w:tcPr>
                  <w:tcW w:w="812" w:type="pct"/>
                  <w:gridSpan w:val="2"/>
                  <w:noWrap w:val="0"/>
                  <w:vAlign w:val="center"/>
                </w:tcPr>
                <w:p w14:paraId="1DCD2E09">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废气</w:t>
                  </w:r>
                </w:p>
              </w:tc>
              <w:tc>
                <w:tcPr>
                  <w:tcW w:w="3127" w:type="pct"/>
                  <w:gridSpan w:val="2"/>
                  <w:noWrap w:val="0"/>
                  <w:vAlign w:val="center"/>
                </w:tcPr>
                <w:p w14:paraId="5AE4161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①废油液抽取工序产生的废气（非甲烷总烃）：拟在预处理区设置集气罩，收集拆解预处理、废油液抽取工序产生的废气。收集后的废气经活性炭吸附装置进行处理，处理后经15m高排气筒（DA001）排放，未收集的非甲烷总烃以无组织排放。</w:t>
                  </w:r>
                </w:p>
                <w:p w14:paraId="7C07A667">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②精拆、等离子切割、打包、压块等工序产生的废气（颗粒物）：拟在精拆、等离子切割、打包、压块等工序上方分别加装集气罩，收集后的粉尘由一套布袋除尘器进行处理，处理后的粉尘经15m高排气筒（DA001）排放，未收集的粉尘以无组织排放。</w:t>
                  </w:r>
                </w:p>
                <w:p w14:paraId="67F2DE9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③危险废物贮存库产生的废气（非甲烷总烃、硫酸雾、铅及其化合物）</w:t>
                  </w:r>
                </w:p>
                <w:p w14:paraId="0765A5D7">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危险废物贮存库废油液暂存过程中会产生有机废气（非甲烷总烃）；非正常状况下，危险废物贮存库暂存的废电池破损，电解液泄漏会产生硫酸雾、铅及其化合物。危险废物贮存库产生的废气（非甲烷总烃、硫酸雾、铅及其化合物）由负压</w:t>
                  </w:r>
                  <w:r>
                    <w:rPr>
                      <w:rFonts w:hint="default" w:ascii="Times New Roman" w:hAnsi="Times New Roman" w:eastAsia="宋体" w:cs="Times New Roman"/>
                      <w:color w:val="000000"/>
                      <w:kern w:val="0"/>
                      <w:sz w:val="21"/>
                      <w:szCs w:val="21"/>
                      <w:u w:val="none"/>
                    </w:rPr>
                    <w:t>收集</w:t>
                  </w:r>
                  <w:r>
                    <w:rPr>
                      <w:rFonts w:hint="default" w:ascii="Times New Roman" w:hAnsi="Times New Roman" w:eastAsia="宋体" w:cs="Times New Roman"/>
                      <w:color w:val="000000"/>
                      <w:kern w:val="0"/>
                      <w:sz w:val="21"/>
                      <w:szCs w:val="21"/>
                      <w:u w:val="none"/>
                      <w:lang w:eastAsia="zh-CN"/>
                    </w:rPr>
                    <w:t>（</w:t>
                  </w:r>
                  <w:r>
                    <w:rPr>
                      <w:rFonts w:hint="default" w:ascii="Times New Roman" w:hAnsi="Times New Roman" w:eastAsia="宋体" w:cs="Times New Roman"/>
                      <w:color w:val="000000"/>
                      <w:kern w:val="0"/>
                      <w:sz w:val="21"/>
                      <w:szCs w:val="21"/>
                      <w:u w:val="none"/>
                      <w:lang w:val="en-US" w:eastAsia="zh-CN"/>
                    </w:rPr>
                    <w:t>收集效率90%</w:t>
                  </w:r>
                  <w:r>
                    <w:rPr>
                      <w:rFonts w:hint="default" w:ascii="Times New Roman" w:hAnsi="Times New Roman" w:eastAsia="宋体" w:cs="Times New Roman"/>
                      <w:color w:val="000000"/>
                      <w:kern w:val="0"/>
                      <w:sz w:val="21"/>
                      <w:szCs w:val="21"/>
                      <w:u w:val="none"/>
                      <w:lang w:eastAsia="zh-CN"/>
                    </w:rPr>
                    <w:t>）</w:t>
                  </w:r>
                  <w:r>
                    <w:rPr>
                      <w:rFonts w:hint="default" w:ascii="Times New Roman" w:hAnsi="Times New Roman" w:eastAsia="宋体" w:cs="Times New Roman"/>
                      <w:color w:val="000000"/>
                      <w:kern w:val="0"/>
                      <w:sz w:val="21"/>
                      <w:szCs w:val="21"/>
                      <w:u w:val="none"/>
                    </w:rPr>
                    <w:t>+防酸滤铅网（处理效率80%）+活性炭吸附（处理效率</w:t>
                  </w:r>
                  <w:r>
                    <w:rPr>
                      <w:rFonts w:hint="default" w:ascii="Times New Roman" w:hAnsi="Times New Roman" w:eastAsia="宋体" w:cs="Times New Roman"/>
                      <w:color w:val="000000"/>
                      <w:kern w:val="0"/>
                      <w:sz w:val="21"/>
                      <w:szCs w:val="21"/>
                      <w:u w:val="none"/>
                      <w:lang w:val="en-US" w:eastAsia="zh-CN"/>
                    </w:rPr>
                    <w:t>8</w:t>
                  </w:r>
                  <w:r>
                    <w:rPr>
                      <w:rFonts w:hint="default" w:ascii="Times New Roman" w:hAnsi="Times New Roman" w:eastAsia="宋体" w:cs="Times New Roman"/>
                      <w:color w:val="000000"/>
                      <w:kern w:val="0"/>
                      <w:sz w:val="21"/>
                      <w:szCs w:val="21"/>
                      <w:u w:val="none"/>
                    </w:rPr>
                    <w:t>0%）+15排气筒</w:t>
                  </w:r>
                  <w:r>
                    <w:rPr>
                      <w:rFonts w:hint="default" w:ascii="Times New Roman" w:hAnsi="Times New Roman" w:eastAsia="宋体" w:cs="Times New Roman"/>
                      <w:color w:val="000000"/>
                      <w:kern w:val="0"/>
                      <w:sz w:val="21"/>
                      <w:szCs w:val="21"/>
                      <w:u w:val="none"/>
                      <w:lang w:val="en-US" w:eastAsia="zh-CN"/>
                    </w:rPr>
                    <w:t>（DA002）排放，未收集的非甲烷总烃、硫酸雾、铅及其化合物以无组织排放。</w:t>
                  </w:r>
                </w:p>
                <w:p w14:paraId="2112238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rPr>
                  </w:pPr>
                  <w:r>
                    <w:rPr>
                      <w:rFonts w:hint="default" w:ascii="Times New Roman" w:hAnsi="Times New Roman" w:eastAsia="宋体" w:cs="Times New Roman"/>
                      <w:color w:val="000000"/>
                      <w:kern w:val="0"/>
                      <w:sz w:val="21"/>
                      <w:szCs w:val="21"/>
                      <w:u w:val="none"/>
                      <w:lang w:val="en-US" w:eastAsia="zh-CN"/>
                    </w:rPr>
                    <w:t>④安全气囊引爆粉尘：采用密闭式安全气囊引爆装置进行电子引爆引爆粉尘在该密闭装置内进行收集，不对外排放。</w:t>
                  </w:r>
                </w:p>
                <w:p w14:paraId="703B0019">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⑤废空调制冷剂挥发的氟化物：采用密闭式制冷剂回收机对制冷剂进行回收，并收集在密闭容器中，对外无排放。</w:t>
                  </w:r>
                </w:p>
              </w:tc>
              <w:tc>
                <w:tcPr>
                  <w:tcW w:w="804" w:type="pct"/>
                  <w:noWrap w:val="0"/>
                  <w:vAlign w:val="center"/>
                </w:tcPr>
                <w:p w14:paraId="522DB79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auto"/>
                      <w:kern w:val="0"/>
                      <w:sz w:val="21"/>
                      <w:szCs w:val="21"/>
                      <w:u w:val="none"/>
                      <w:lang w:val="en-US" w:eastAsia="zh-CN"/>
                    </w:rPr>
                    <w:t>验收期间共建设3个集气罩、1根排气筒，其他处理措施与环评时期一致</w:t>
                  </w:r>
                </w:p>
              </w:tc>
            </w:tr>
            <w:tr w14:paraId="509A1B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52DA09C2">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p>
              </w:tc>
              <w:tc>
                <w:tcPr>
                  <w:tcW w:w="812" w:type="pct"/>
                  <w:gridSpan w:val="2"/>
                  <w:noWrap w:val="0"/>
                  <w:vAlign w:val="center"/>
                </w:tcPr>
                <w:p w14:paraId="53498FE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废水</w:t>
                  </w:r>
                </w:p>
              </w:tc>
              <w:tc>
                <w:tcPr>
                  <w:tcW w:w="3127" w:type="pct"/>
                  <w:gridSpan w:val="2"/>
                  <w:noWrap w:val="0"/>
                  <w:vAlign w:val="center"/>
                </w:tcPr>
                <w:p w14:paraId="353CAC2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企业厂区实现雨污分流，地面清洁废水排入污水池、初期雨水收集入初期雨水池，地面清洁废水、初期雨水分别经油水分离器处理后，与生活污水一起排入市政污水管网，总排口废水满足《污水综合排放标准》（GB8978-1996）中三级标准，排入长春绿园西新工业集中区污水处理厂处理达标后排入新凯河。</w:t>
                  </w:r>
                </w:p>
              </w:tc>
              <w:tc>
                <w:tcPr>
                  <w:tcW w:w="804" w:type="pct"/>
                  <w:noWrap w:val="0"/>
                  <w:vAlign w:val="center"/>
                </w:tcPr>
                <w:p w14:paraId="7F8FB4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283D5A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061468F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p>
              </w:tc>
              <w:tc>
                <w:tcPr>
                  <w:tcW w:w="812" w:type="pct"/>
                  <w:gridSpan w:val="2"/>
                  <w:noWrap w:val="0"/>
                  <w:vAlign w:val="center"/>
                </w:tcPr>
                <w:p w14:paraId="56BBA1B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噪声</w:t>
                  </w:r>
                </w:p>
              </w:tc>
              <w:tc>
                <w:tcPr>
                  <w:tcW w:w="3127" w:type="pct"/>
                  <w:gridSpan w:val="2"/>
                  <w:noWrap w:val="0"/>
                  <w:vAlign w:val="center"/>
                </w:tcPr>
                <w:p w14:paraId="62877E2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选用低噪声生产设备、设备做基础减震，并加强设备日常维护，再经过封闭厂房、距离衰减等措施。</w:t>
                  </w:r>
                </w:p>
              </w:tc>
              <w:tc>
                <w:tcPr>
                  <w:tcW w:w="804" w:type="pct"/>
                  <w:noWrap w:val="0"/>
                  <w:vAlign w:val="center"/>
                </w:tcPr>
                <w:p w14:paraId="590BD85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410061C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61B0545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p>
              </w:tc>
              <w:tc>
                <w:tcPr>
                  <w:tcW w:w="812" w:type="pct"/>
                  <w:gridSpan w:val="2"/>
                  <w:noWrap w:val="0"/>
                  <w:vAlign w:val="center"/>
                </w:tcPr>
                <w:p w14:paraId="5D36115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固体废物</w:t>
                  </w:r>
                </w:p>
              </w:tc>
              <w:tc>
                <w:tcPr>
                  <w:tcW w:w="3127" w:type="pct"/>
                  <w:gridSpan w:val="2"/>
                  <w:noWrap w:val="0"/>
                  <w:vAlign w:val="center"/>
                </w:tcPr>
                <w:p w14:paraId="404BE681">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①一般工业废物：</w:t>
                  </w:r>
                </w:p>
                <w:p w14:paraId="29FC32D1">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废制冷剂采用密闭专用容器收集，暂存于一般工业固体废物贮存区，定期交由具有相应资质的单位利用和处置；废旧动力蓄电池暂存于动力蓄电池贮存区内，定期交售给新能源汽车生产企业建立的动力蓄电池回收服务网点，或符合国家对动力蓄电池梯次利用管理有关要求的梯次利用企业，或者从事废旧动力蓄电池综合利用的企业处置；废弃车用电子零部件分类收集暂存于一般工业固体废物贮存区，定期交由具有相应废弃电器产品处理资格企业、电子废物拆解利用处置单位名录内企业处置；废安全气囊（引爆后）、海绵及座椅材料、内饰材料、安全带及相关纺织品及轻质物料分类收集暂存于一般工业固体废物贮存区，定期交由相应处理能力或经营范围的单位利用和处置；不可利用废物、布袋除尘器收集粉尘袋装，暂存于一般工业固体废物贮存区，定期交由环卫部门统一处理；废布袋定期更换，由厂家回收处理。</w:t>
                  </w:r>
                </w:p>
                <w:p w14:paraId="5F60FE1A">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②职工生活垃圾：暂存于垃圾箱内，定期交由环卫部门统一处理。</w:t>
                  </w:r>
                </w:p>
                <w:p w14:paraId="732D2B86">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③危险废物：</w:t>
                  </w:r>
                </w:p>
                <w:p w14:paraId="69D63040">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废有机溶剂与含有机溶剂废物（风窗玻璃清洗液、防冻液和动力电池冷却液等）、废矿物油与含矿物油废物（汽油、柴油、发动机机油、液压油、润滑油、机油过滤器等）、废尾气催化剂、废电路板、含汞废物、废铅酸蓄电池、浮油、浮渣和油泥、废活性炭、废防酸滤铅网、发生铅蓄电池破损时产生的铅尘及沾染油污的手套和抹布分类收集，暂存于危险废物贮存库，定期交由持有相应类别危险废物经营许可证的单位处理。</w:t>
                  </w:r>
                </w:p>
                <w:p w14:paraId="260AEB91">
                  <w:pPr>
                    <w:keepNext w:val="0"/>
                    <w:keepLines w:val="0"/>
                    <w:pageBreakBefore w:val="0"/>
                    <w:widowControl/>
                    <w:kinsoku/>
                    <w:wordWrap/>
                    <w:overflowPunct/>
                    <w:topLinePunct w:val="0"/>
                    <w:autoSpaceDE w:val="0"/>
                    <w:autoSpaceDN w:val="0"/>
                    <w:bidi w:val="0"/>
                    <w:adjustRightInd w:val="0"/>
                    <w:snapToGrid w:val="0"/>
                    <w:spacing w:after="0" w:line="240" w:lineRule="auto"/>
                    <w:jc w:val="left"/>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在采取上述治理措施后，不会产生二次污染。</w:t>
                  </w:r>
                </w:p>
              </w:tc>
              <w:tc>
                <w:tcPr>
                  <w:tcW w:w="804" w:type="pct"/>
                  <w:noWrap w:val="0"/>
                  <w:vAlign w:val="center"/>
                </w:tcPr>
                <w:p w14:paraId="12C6876E">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55C497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29DCEEAA">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p>
              </w:tc>
              <w:tc>
                <w:tcPr>
                  <w:tcW w:w="812" w:type="pct"/>
                  <w:gridSpan w:val="2"/>
                  <w:noWrap w:val="0"/>
                  <w:vAlign w:val="center"/>
                </w:tcPr>
                <w:p w14:paraId="712A7EE8">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地下水、土壤防范措施</w:t>
                  </w:r>
                </w:p>
              </w:tc>
              <w:tc>
                <w:tcPr>
                  <w:tcW w:w="3127" w:type="pct"/>
                  <w:gridSpan w:val="2"/>
                  <w:noWrap w:val="0"/>
                  <w:vAlign w:val="center"/>
                </w:tcPr>
                <w:p w14:paraId="3E27C945">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本项目厂区除绿化区域外，地面均进行硬化处理，并结合本项目特点，将厂区划分为重点防渗区、一般防渗区和简单防渗区，</w:t>
                  </w:r>
                </w:p>
                <w:p w14:paraId="395922DE">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①重点防渗区：汽车拆解区（包含预处理区、安全气囊引爆区）、危险废物贮存库（含铅酸蓄电池贮存区）、传统燃料机动车区、电动汽车区、动力蓄电池贮存区、事故应急池、雨水收集池、污水池。汽车拆解区、危废暂存库四周设置防腐沟，地面及四侧墙裙铺设一层2mm厚的高密度聚乙烯（HDPE）防渗层，高密度聚乙烯材料具有良好的耐酸、耐腐蚀、防渗效果，渗透系数≤10-10cm/s，在聚乙烯层上铺设一层10cm后的耐酸混凝土层，最后涂刷2mm厚环氧树脂；危险废物贮存库应设置液体导流和收集装置，地面应无液体积聚，如有冲洗废水应纳入废水收集处理设施处理；拆解区及贮存区应采取防油渗措施，按照GB 50037的要求在防渗地面上涂刷有耐磨性能的防油渗涂料；动力蓄电池拆卸及其贮存区应满足HJ 1186中的相关要求，地面应采用环氧地坪等硬化措施，地面应做防酸、防腐、防渗、硬化及绝缘处理；初期雨水池、污水池、事故应急池参照HJ 610-2016中重点防渗区的要求，即等效黏土防渗层厚度≥6.0m，渗透系数k≤1×10</w:t>
                  </w:r>
                  <w:r>
                    <w:rPr>
                      <w:rFonts w:hint="default" w:ascii="Times New Roman" w:hAnsi="Times New Roman" w:eastAsia="宋体" w:cs="Times New Roman"/>
                      <w:color w:val="000000"/>
                      <w:kern w:val="0"/>
                      <w:sz w:val="21"/>
                      <w:szCs w:val="21"/>
                      <w:u w:val="none"/>
                      <w:vertAlign w:val="superscript"/>
                      <w:lang w:val="en-US" w:eastAsia="zh-CN"/>
                    </w:rPr>
                    <w:t>-7</w:t>
                  </w:r>
                  <w:r>
                    <w:rPr>
                      <w:rFonts w:hint="default" w:ascii="Times New Roman" w:hAnsi="Times New Roman" w:eastAsia="宋体" w:cs="Times New Roman"/>
                      <w:color w:val="000000"/>
                      <w:kern w:val="0"/>
                      <w:sz w:val="21"/>
                      <w:szCs w:val="21"/>
                      <w:u w:val="none"/>
                      <w:lang w:val="en-US" w:eastAsia="zh-CN"/>
                    </w:rPr>
                    <w:t>cm/s。</w:t>
                  </w:r>
                </w:p>
                <w:p w14:paraId="138C85F7">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②一般防渗区：地磅间采用天然或人工材料构筑防渗层，防渗层的厚度应相当于渗透系数为1.0×10-7cm/s、厚度1.5m的粘土层的防渗性能。一般工业固体废物贮存区、回用件贮存区采取不低于15cm厚基础混凝土层+防油渗隔离层。</w:t>
                  </w:r>
                </w:p>
                <w:p w14:paraId="3BB85436">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③简单防渗区：厂内其他除绿化外以外的区域，均已采取地面硬化。可满足简单防渗区要求。</w:t>
                  </w:r>
                </w:p>
              </w:tc>
              <w:tc>
                <w:tcPr>
                  <w:tcW w:w="804" w:type="pct"/>
                  <w:noWrap w:val="0"/>
                  <w:vAlign w:val="center"/>
                </w:tcPr>
                <w:p w14:paraId="2F834A8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tr w14:paraId="24A67F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55" w:type="pct"/>
                  <w:vMerge w:val="continue"/>
                  <w:noWrap w:val="0"/>
                  <w:vAlign w:val="center"/>
                </w:tcPr>
                <w:p w14:paraId="7172DD1F">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p>
              </w:tc>
              <w:tc>
                <w:tcPr>
                  <w:tcW w:w="812" w:type="pct"/>
                  <w:gridSpan w:val="2"/>
                  <w:noWrap w:val="0"/>
                  <w:vAlign w:val="center"/>
                </w:tcPr>
                <w:p w14:paraId="390A716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环境风险</w:t>
                  </w:r>
                </w:p>
              </w:tc>
              <w:tc>
                <w:tcPr>
                  <w:tcW w:w="3127" w:type="pct"/>
                  <w:gridSpan w:val="2"/>
                  <w:noWrap w:val="0"/>
                  <w:vAlign w:val="center"/>
                </w:tcPr>
                <w:p w14:paraId="0977D3CB">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作业区地面混凝土强度等级不低于C20，厚度不低于150mm，其中物流通道路面和拆解作业区域强度不低于C30，厚度不低于200mm。大型拆解设备承重区域的硬化标准参照设备工艺要求执行；危险废物贮存库地面应设置液体导流和收集装置，地面应无液体积聚；拆解区应有防漏、截流和清污措施。</w:t>
                  </w:r>
                </w:p>
                <w:p w14:paraId="7F474507">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电动汽车拆解作业人员在带电作业过程中应进行安全防护，穿戴好绝缘工作服等必要的安全防护装备。使用的作业工具应是绝缘的或经绝缘处理的。作业时，应有专职监督人员实时监护。</w:t>
                  </w:r>
                </w:p>
                <w:p w14:paraId="7A6626BA">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在厂区建设一座事故应急池及一座初期雨水收集池，能够防止事故泄漏或消防废水、污染雨水造成的环境污染事故。</w:t>
                  </w:r>
                </w:p>
                <w:p w14:paraId="6EB1C1B5">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危险废物转移处置应委托有危险废物经营许可证的废物处理专业公司进行，并向环保部门申报登记，办理危险废物的运输转移手续，对危险废物进行全过程严格管理和安全处置。</w:t>
                  </w:r>
                </w:p>
                <w:p w14:paraId="5337A393">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制定突发环境事件应急预案并报送至生态环境局备案。</w:t>
                  </w:r>
                </w:p>
              </w:tc>
              <w:tc>
                <w:tcPr>
                  <w:tcW w:w="804" w:type="pct"/>
                  <w:noWrap w:val="0"/>
                  <w:vAlign w:val="center"/>
                </w:tcPr>
                <w:p w14:paraId="29A3BD6C">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default" w:ascii="Times New Roman" w:hAnsi="Times New Roman" w:eastAsia="宋体" w:cs="Times New Roman"/>
                      <w:color w:val="000000"/>
                      <w:kern w:val="0"/>
                      <w:sz w:val="21"/>
                      <w:szCs w:val="21"/>
                      <w:u w:val="none"/>
                      <w:lang w:val="en-US" w:eastAsia="zh-CN"/>
                    </w:rPr>
                  </w:pPr>
                  <w:r>
                    <w:rPr>
                      <w:rFonts w:hint="eastAsia" w:ascii="宋体" w:hAnsi="宋体" w:eastAsia="宋体" w:cs="宋体"/>
                      <w:color w:val="000000"/>
                      <w:kern w:val="0"/>
                      <w:sz w:val="21"/>
                      <w:szCs w:val="21"/>
                      <w:u w:val="none"/>
                      <w:lang w:val="en-US" w:eastAsia="zh-CN"/>
                    </w:rPr>
                    <w:t>与环评时期一致</w:t>
                  </w:r>
                </w:p>
              </w:tc>
            </w:tr>
            <w:bookmarkEnd w:id="9"/>
          </w:tbl>
          <w:p w14:paraId="671D8BA4">
            <w:pPr>
              <w:pStyle w:val="16"/>
              <w:ind w:firstLine="361" w:firstLineChars="200"/>
              <w:rPr>
                <w:rFonts w:hint="eastAsia" w:ascii="宋体" w:hAnsi="宋体" w:eastAsia="宋体" w:cs="宋体"/>
                <w:b/>
                <w:bCs/>
                <w:kern w:val="2"/>
                <w:sz w:val="21"/>
                <w:szCs w:val="21"/>
                <w:u w:val="none"/>
                <w:lang w:val="en-US" w:eastAsia="zh-CN" w:bidi="ar-SA"/>
              </w:rPr>
            </w:pPr>
            <w:r>
              <w:rPr>
                <w:rFonts w:hint="eastAsia" w:ascii="宋体" w:hAnsi="宋体" w:eastAsia="宋体" w:cs="宋体"/>
                <w:b/>
                <w:bCs/>
                <w:color w:val="auto"/>
                <w:sz w:val="18"/>
                <w:szCs w:val="18"/>
                <w:highlight w:val="none"/>
                <w:u w:val="none"/>
                <w:lang w:val="en-US" w:eastAsia="zh-CN"/>
              </w:rPr>
              <w:t>注：本项目设电动汽车贮存场地、电动汽车预拆解区、动力蓄电池贮存区。场地应设有高压警示、区域隔离及危险识别标志，并具有防腐防渗紧急收集池及专用容器，用于收集动力蓄电池等破损时泄漏出的电解液、冷却液等有毒有害液体。</w:t>
            </w:r>
          </w:p>
          <w:p w14:paraId="47D42C5E">
            <w:pPr>
              <w:widowControl w:val="0"/>
              <w:adjustRightInd w:val="0"/>
              <w:snapToGrid w:val="0"/>
              <w:spacing w:after="0" w:line="360" w:lineRule="auto"/>
              <w:ind w:firstLine="472" w:firstLineChars="200"/>
              <w:jc w:val="both"/>
              <w:rPr>
                <w:rFonts w:hint="default" w:ascii="宋体" w:hAnsi="宋体" w:eastAsia="宋体" w:cs="宋体"/>
                <w:color w:val="auto"/>
                <w:spacing w:val="-2"/>
                <w:kern w:val="2"/>
                <w:sz w:val="24"/>
                <w:szCs w:val="24"/>
                <w:lang w:val="en-US" w:eastAsia="zh-CN"/>
              </w:rPr>
            </w:pPr>
            <w:r>
              <w:rPr>
                <w:rFonts w:hint="default" w:ascii="宋体" w:hAnsi="宋体" w:eastAsia="宋体" w:cs="宋体"/>
                <w:color w:val="auto"/>
                <w:spacing w:val="-2"/>
                <w:kern w:val="2"/>
                <w:sz w:val="24"/>
                <w:szCs w:val="24"/>
                <w:lang w:val="en-US" w:eastAsia="zh-CN"/>
              </w:rPr>
              <w:t>（2）规模</w:t>
            </w:r>
          </w:p>
          <w:p w14:paraId="130549D8">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宋体" w:hAnsi="宋体" w:eastAsia="宋体" w:cs="宋体"/>
                <w:color w:val="auto"/>
                <w:spacing w:val="-2"/>
                <w:kern w:val="2"/>
                <w:sz w:val="24"/>
                <w:szCs w:val="24"/>
                <w:lang w:val="en-US" w:eastAsia="zh-CN"/>
              </w:rPr>
              <w:t>项</w:t>
            </w:r>
            <w:r>
              <w:rPr>
                <w:rFonts w:hint="default" w:ascii="Times New Roman" w:hAnsi="Times New Roman" w:eastAsia="宋体" w:cs="Times New Roman"/>
                <w:color w:val="auto"/>
                <w:spacing w:val="-2"/>
                <w:kern w:val="2"/>
                <w:sz w:val="24"/>
                <w:szCs w:val="24"/>
                <w:lang w:val="en-US" w:eastAsia="zh-CN"/>
              </w:rPr>
              <w:t>目</w:t>
            </w:r>
            <w:r>
              <w:rPr>
                <w:rFonts w:hint="eastAsia" w:ascii="Times New Roman" w:hAnsi="Times New Roman" w:eastAsia="宋体" w:cs="Times New Roman"/>
                <w:b w:val="0"/>
                <w:bCs/>
                <w:color w:val="auto"/>
                <w:sz w:val="24"/>
                <w:highlight w:val="none"/>
                <w:u w:val="none"/>
                <w:lang w:val="en-US" w:eastAsia="zh-CN"/>
              </w:rPr>
              <w:t>年拆解量为1.5万辆（其中普通燃油小型车1万辆、新能源轿车0.3万辆、普通燃油中型车（中型客车、中型货车）0.1万辆、普通燃油大型车（大型客车、大型货车）0.1万辆）。</w:t>
            </w:r>
          </w:p>
          <w:p w14:paraId="47032A0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rPr>
              <w:t>（3）主要设备数量及参数</w:t>
            </w:r>
          </w:p>
          <w:p w14:paraId="5E0A754A">
            <w:pPr>
              <w:widowControl w:val="0"/>
              <w:adjustRightInd w:val="0"/>
              <w:snapToGrid w:val="0"/>
              <w:spacing w:after="0" w:line="360" w:lineRule="auto"/>
              <w:ind w:firstLine="472" w:firstLineChars="200"/>
              <w:jc w:val="both"/>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rPr>
              <w:t>本工程的主要设备详见表2-2。</w:t>
            </w:r>
          </w:p>
          <w:p w14:paraId="40A8FB9E">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color w:val="auto"/>
                <w:sz w:val="21"/>
                <w:szCs w:val="21"/>
                <w:u w:val="none"/>
              </w:rPr>
            </w:pPr>
            <w:r>
              <w:rPr>
                <w:rFonts w:hint="default" w:ascii="Times New Roman" w:hAnsi="Times New Roman" w:eastAsia="宋体" w:cs="Times New Roman"/>
                <w:b/>
                <w:color w:val="auto"/>
                <w:sz w:val="21"/>
                <w:szCs w:val="21"/>
                <w:u w:val="none"/>
              </w:rPr>
              <w:t>表</w:t>
            </w:r>
            <w:r>
              <w:rPr>
                <w:rFonts w:hint="default" w:ascii="Times New Roman" w:hAnsi="Times New Roman" w:eastAsia="宋体" w:cs="Times New Roman"/>
                <w:b/>
                <w:color w:val="auto"/>
                <w:sz w:val="21"/>
                <w:szCs w:val="21"/>
                <w:u w:val="none"/>
                <w:lang w:val="en-US" w:eastAsia="zh-CN"/>
              </w:rPr>
              <w:t>2-2</w:t>
            </w:r>
            <w:r>
              <w:rPr>
                <w:rFonts w:hint="default" w:ascii="Times New Roman" w:hAnsi="Times New Roman" w:eastAsia="宋体" w:cs="Times New Roman"/>
                <w:b/>
                <w:color w:val="auto"/>
                <w:sz w:val="21"/>
                <w:szCs w:val="21"/>
                <w:u w:val="none"/>
              </w:rPr>
              <w:t xml:space="preserve">   主要设备</w:t>
            </w:r>
            <w:r>
              <w:rPr>
                <w:rFonts w:hint="default" w:ascii="Times New Roman" w:hAnsi="Times New Roman" w:eastAsia="宋体" w:cs="Times New Roman"/>
                <w:b/>
                <w:color w:val="auto"/>
                <w:sz w:val="21"/>
                <w:szCs w:val="21"/>
                <w:u w:val="none"/>
                <w:lang w:val="en-US" w:eastAsia="zh-CN"/>
              </w:rPr>
              <w:t>一览</w:t>
            </w:r>
            <w:r>
              <w:rPr>
                <w:rFonts w:hint="default" w:ascii="Times New Roman" w:hAnsi="Times New Roman" w:eastAsia="宋体" w:cs="Times New Roman"/>
                <w:b/>
                <w:color w:val="auto"/>
                <w:sz w:val="21"/>
                <w:szCs w:val="21"/>
                <w:u w:val="none"/>
              </w:rPr>
              <w:t>表</w:t>
            </w:r>
          </w:p>
          <w:tbl>
            <w:tblPr>
              <w:tblStyle w:val="10"/>
              <w:tblW w:w="5000" w:type="pct"/>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autofit"/>
              <w:tblCellMar>
                <w:top w:w="0" w:type="dxa"/>
                <w:left w:w="108" w:type="dxa"/>
                <w:bottom w:w="0" w:type="dxa"/>
                <w:right w:w="108" w:type="dxa"/>
              </w:tblCellMar>
            </w:tblPr>
            <w:tblGrid>
              <w:gridCol w:w="744"/>
              <w:gridCol w:w="2115"/>
              <w:gridCol w:w="1738"/>
              <w:gridCol w:w="709"/>
              <w:gridCol w:w="761"/>
              <w:gridCol w:w="2239"/>
            </w:tblGrid>
            <w:tr w14:paraId="2D3C0AC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5B17E8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序号</w:t>
                  </w:r>
                </w:p>
              </w:tc>
              <w:tc>
                <w:tcPr>
                  <w:tcW w:w="1273" w:type="pct"/>
                  <w:noWrap w:val="0"/>
                  <w:vAlign w:val="center"/>
                </w:tcPr>
                <w:p w14:paraId="7C169B0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名称</w:t>
                  </w:r>
                </w:p>
              </w:tc>
              <w:tc>
                <w:tcPr>
                  <w:tcW w:w="1046" w:type="pct"/>
                  <w:noWrap w:val="0"/>
                  <w:vAlign w:val="center"/>
                </w:tcPr>
                <w:p w14:paraId="16CA111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型号</w:t>
                  </w:r>
                </w:p>
              </w:tc>
              <w:tc>
                <w:tcPr>
                  <w:tcW w:w="427" w:type="pct"/>
                  <w:noWrap w:val="0"/>
                  <w:vAlign w:val="center"/>
                </w:tcPr>
                <w:p w14:paraId="35ECA02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数量</w:t>
                  </w:r>
                </w:p>
              </w:tc>
              <w:tc>
                <w:tcPr>
                  <w:tcW w:w="458" w:type="pct"/>
                  <w:noWrap w:val="0"/>
                  <w:vAlign w:val="center"/>
                </w:tcPr>
                <w:p w14:paraId="301126F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单位</w:t>
                  </w:r>
                </w:p>
              </w:tc>
              <w:tc>
                <w:tcPr>
                  <w:tcW w:w="1346" w:type="pct"/>
                  <w:noWrap w:val="0"/>
                  <w:vAlign w:val="center"/>
                </w:tcPr>
                <w:p w14:paraId="36E5BC7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用途</w:t>
                  </w:r>
                </w:p>
              </w:tc>
            </w:tr>
            <w:tr w14:paraId="6A55514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000" w:type="pct"/>
                  <w:gridSpan w:val="6"/>
                  <w:noWrap w:val="0"/>
                  <w:vAlign w:val="center"/>
                </w:tcPr>
                <w:p w14:paraId="4C001A9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小型车拆解设备</w:t>
                  </w:r>
                </w:p>
              </w:tc>
            </w:tr>
            <w:tr w14:paraId="1EB8C3A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CE6FF1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273" w:type="pct"/>
                  <w:noWrap w:val="0"/>
                  <w:vAlign w:val="center"/>
                </w:tcPr>
                <w:p w14:paraId="6D08698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小型汽车拆解线</w:t>
                  </w:r>
                </w:p>
              </w:tc>
              <w:tc>
                <w:tcPr>
                  <w:tcW w:w="1046" w:type="pct"/>
                  <w:noWrap w:val="0"/>
                  <w:vAlign w:val="center"/>
                </w:tcPr>
                <w:p w14:paraId="2FEC543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地轨式CJX-60</w:t>
                  </w:r>
                </w:p>
              </w:tc>
              <w:tc>
                <w:tcPr>
                  <w:tcW w:w="427" w:type="pct"/>
                  <w:noWrap w:val="0"/>
                  <w:vAlign w:val="center"/>
                </w:tcPr>
                <w:p w14:paraId="0321DD0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575FF98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bottom"/>
                </w:tcPr>
                <w:p w14:paraId="7D14135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小型车辆拆解</w:t>
                  </w:r>
                </w:p>
              </w:tc>
            </w:tr>
            <w:tr w14:paraId="321094F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744020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273" w:type="pct"/>
                  <w:noWrap w:val="0"/>
                  <w:vAlign w:val="center"/>
                </w:tcPr>
                <w:p w14:paraId="7941095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地轨推车</w:t>
                  </w:r>
                </w:p>
              </w:tc>
              <w:tc>
                <w:tcPr>
                  <w:tcW w:w="1046" w:type="pct"/>
                  <w:noWrap w:val="0"/>
                  <w:vAlign w:val="center"/>
                </w:tcPr>
                <w:p w14:paraId="031F4AE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LX-CJX-01</w:t>
                  </w:r>
                </w:p>
              </w:tc>
              <w:tc>
                <w:tcPr>
                  <w:tcW w:w="427" w:type="pct"/>
                  <w:noWrap w:val="0"/>
                  <w:vAlign w:val="center"/>
                </w:tcPr>
                <w:p w14:paraId="3F19FE9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11</w:t>
                  </w:r>
                </w:p>
              </w:tc>
              <w:tc>
                <w:tcPr>
                  <w:tcW w:w="458" w:type="pct"/>
                  <w:noWrap w:val="0"/>
                  <w:vAlign w:val="center"/>
                </w:tcPr>
                <w:p w14:paraId="02BDAAB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3CF5B75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用于支撑汽车</w:t>
                  </w:r>
                </w:p>
              </w:tc>
            </w:tr>
            <w:tr w14:paraId="0BBCB08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325C38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1273" w:type="pct"/>
                  <w:noWrap w:val="0"/>
                  <w:vAlign w:val="center"/>
                </w:tcPr>
                <w:p w14:paraId="6263A86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推车轨道</w:t>
                  </w:r>
                </w:p>
              </w:tc>
              <w:tc>
                <w:tcPr>
                  <w:tcW w:w="1046" w:type="pct"/>
                  <w:noWrap w:val="0"/>
                  <w:vAlign w:val="center"/>
                </w:tcPr>
                <w:p w14:paraId="2AFE9B6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LX-CJX-02</w:t>
                  </w:r>
                </w:p>
              </w:tc>
              <w:tc>
                <w:tcPr>
                  <w:tcW w:w="427" w:type="pct"/>
                  <w:noWrap w:val="0"/>
                  <w:vAlign w:val="center"/>
                </w:tcPr>
                <w:p w14:paraId="67AAAC1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4FBD4A0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70A53CF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输送至各个工位</w:t>
                  </w:r>
                </w:p>
              </w:tc>
            </w:tr>
            <w:tr w14:paraId="72FA22A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8C8292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1273" w:type="pct"/>
                  <w:noWrap w:val="0"/>
                  <w:vAlign w:val="center"/>
                </w:tcPr>
                <w:p w14:paraId="1C6DB76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汽车翻转机</w:t>
                  </w:r>
                </w:p>
              </w:tc>
              <w:tc>
                <w:tcPr>
                  <w:tcW w:w="1046" w:type="pct"/>
                  <w:noWrap w:val="0"/>
                  <w:vAlign w:val="center"/>
                </w:tcPr>
                <w:p w14:paraId="0721F22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LX-CJX-03</w:t>
                  </w:r>
                </w:p>
              </w:tc>
              <w:tc>
                <w:tcPr>
                  <w:tcW w:w="427" w:type="pct"/>
                  <w:noWrap w:val="0"/>
                  <w:vAlign w:val="center"/>
                </w:tcPr>
                <w:p w14:paraId="5F79BE5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10616F3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19ACC19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翻转汽车拆底盘件</w:t>
                  </w:r>
                </w:p>
              </w:tc>
            </w:tr>
            <w:tr w14:paraId="7F510FA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C8D271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1273" w:type="pct"/>
                  <w:noWrap w:val="0"/>
                  <w:vAlign w:val="center"/>
                </w:tcPr>
                <w:p w14:paraId="7ADBFD3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轮胎推车</w:t>
                  </w:r>
                </w:p>
              </w:tc>
              <w:tc>
                <w:tcPr>
                  <w:tcW w:w="1046" w:type="pct"/>
                  <w:noWrap w:val="0"/>
                  <w:vAlign w:val="center"/>
                </w:tcPr>
                <w:p w14:paraId="6CD6194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LX-CJX-04</w:t>
                  </w:r>
                </w:p>
              </w:tc>
              <w:tc>
                <w:tcPr>
                  <w:tcW w:w="427" w:type="pct"/>
                  <w:noWrap w:val="0"/>
                  <w:vAlign w:val="center"/>
                </w:tcPr>
                <w:p w14:paraId="23ECDA2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17823EB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1346" w:type="pct"/>
                  <w:noWrap w:val="0"/>
                  <w:vAlign w:val="center"/>
                </w:tcPr>
                <w:p w14:paraId="1DD8938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储存轮胎</w:t>
                  </w:r>
                </w:p>
              </w:tc>
            </w:tr>
            <w:tr w14:paraId="6BABC55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E1B29B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6</w:t>
                  </w:r>
                </w:p>
              </w:tc>
              <w:tc>
                <w:tcPr>
                  <w:tcW w:w="1273" w:type="pct"/>
                  <w:noWrap w:val="0"/>
                  <w:vAlign w:val="center"/>
                </w:tcPr>
                <w:p w14:paraId="6C208FD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车门推车</w:t>
                  </w:r>
                </w:p>
              </w:tc>
              <w:tc>
                <w:tcPr>
                  <w:tcW w:w="1046" w:type="pct"/>
                  <w:noWrap w:val="0"/>
                  <w:vAlign w:val="center"/>
                </w:tcPr>
                <w:p w14:paraId="29E4990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LX-CJX-05</w:t>
                  </w:r>
                </w:p>
              </w:tc>
              <w:tc>
                <w:tcPr>
                  <w:tcW w:w="427" w:type="pct"/>
                  <w:noWrap w:val="0"/>
                  <w:vAlign w:val="center"/>
                </w:tcPr>
                <w:p w14:paraId="003E9B3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458" w:type="pct"/>
                  <w:noWrap w:val="0"/>
                  <w:vAlign w:val="center"/>
                </w:tcPr>
                <w:p w14:paraId="730B159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1346" w:type="pct"/>
                  <w:noWrap w:val="0"/>
                  <w:vAlign w:val="center"/>
                </w:tcPr>
                <w:p w14:paraId="633B774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储存车门、前后盖</w:t>
                  </w:r>
                </w:p>
              </w:tc>
            </w:tr>
            <w:tr w14:paraId="44CEC18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23D986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7</w:t>
                  </w:r>
                </w:p>
              </w:tc>
              <w:tc>
                <w:tcPr>
                  <w:tcW w:w="1273" w:type="pct"/>
                  <w:noWrap w:val="0"/>
                  <w:vAlign w:val="center"/>
                </w:tcPr>
                <w:p w14:paraId="0730A90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发动机推车</w:t>
                  </w:r>
                </w:p>
              </w:tc>
              <w:tc>
                <w:tcPr>
                  <w:tcW w:w="1046" w:type="pct"/>
                  <w:noWrap w:val="0"/>
                  <w:vAlign w:val="center"/>
                </w:tcPr>
                <w:p w14:paraId="22B8D2E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LX-CJX-06</w:t>
                  </w:r>
                </w:p>
              </w:tc>
              <w:tc>
                <w:tcPr>
                  <w:tcW w:w="427" w:type="pct"/>
                  <w:noWrap w:val="0"/>
                  <w:vAlign w:val="center"/>
                </w:tcPr>
                <w:p w14:paraId="713D943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458" w:type="pct"/>
                  <w:noWrap w:val="0"/>
                  <w:vAlign w:val="center"/>
                </w:tcPr>
                <w:p w14:paraId="1AE2B29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1346" w:type="pct"/>
                  <w:noWrap w:val="0"/>
                  <w:vAlign w:val="center"/>
                </w:tcPr>
                <w:p w14:paraId="1A50B48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储存发动机、前后桥、座椅</w:t>
                  </w:r>
                </w:p>
              </w:tc>
            </w:tr>
            <w:tr w14:paraId="40C67DE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726F20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8</w:t>
                  </w:r>
                </w:p>
              </w:tc>
              <w:tc>
                <w:tcPr>
                  <w:tcW w:w="1273" w:type="pct"/>
                  <w:noWrap w:val="0"/>
                  <w:vAlign w:val="center"/>
                </w:tcPr>
                <w:p w14:paraId="4CC1D85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废螺栓推车</w:t>
                  </w:r>
                </w:p>
              </w:tc>
              <w:tc>
                <w:tcPr>
                  <w:tcW w:w="1046" w:type="pct"/>
                  <w:noWrap w:val="0"/>
                  <w:vAlign w:val="center"/>
                </w:tcPr>
                <w:p w14:paraId="4186845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LX-CJX-07</w:t>
                  </w:r>
                </w:p>
              </w:tc>
              <w:tc>
                <w:tcPr>
                  <w:tcW w:w="427" w:type="pct"/>
                  <w:noWrap w:val="0"/>
                  <w:vAlign w:val="center"/>
                </w:tcPr>
                <w:p w14:paraId="779DDCD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1C83305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1346" w:type="pct"/>
                  <w:noWrap w:val="0"/>
                  <w:vAlign w:val="center"/>
                </w:tcPr>
                <w:p w14:paraId="694337C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储存螺栓、线束</w:t>
                  </w:r>
                </w:p>
              </w:tc>
            </w:tr>
            <w:tr w14:paraId="479CA5D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37E117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9</w:t>
                  </w:r>
                </w:p>
              </w:tc>
              <w:tc>
                <w:tcPr>
                  <w:tcW w:w="1273" w:type="pct"/>
                  <w:noWrap w:val="0"/>
                  <w:vAlign w:val="center"/>
                </w:tcPr>
                <w:p w14:paraId="7FA7BFB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液压剪小推车</w:t>
                  </w:r>
                </w:p>
              </w:tc>
              <w:tc>
                <w:tcPr>
                  <w:tcW w:w="1046" w:type="pct"/>
                  <w:noWrap w:val="0"/>
                  <w:vAlign w:val="center"/>
                </w:tcPr>
                <w:p w14:paraId="6029618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LX-CJX-08</w:t>
                  </w:r>
                </w:p>
              </w:tc>
              <w:tc>
                <w:tcPr>
                  <w:tcW w:w="427" w:type="pct"/>
                  <w:noWrap w:val="0"/>
                  <w:vAlign w:val="center"/>
                </w:tcPr>
                <w:p w14:paraId="74B56C5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777BAD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1346" w:type="pct"/>
                  <w:noWrap w:val="0"/>
                  <w:vAlign w:val="center"/>
                </w:tcPr>
                <w:p w14:paraId="2953775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存放手持液压剪</w:t>
                  </w:r>
                </w:p>
              </w:tc>
            </w:tr>
            <w:tr w14:paraId="01F801D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AF4E49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10</w:t>
                  </w:r>
                </w:p>
              </w:tc>
              <w:tc>
                <w:tcPr>
                  <w:tcW w:w="1273" w:type="pct"/>
                  <w:noWrap w:val="0"/>
                  <w:vAlign w:val="center"/>
                </w:tcPr>
                <w:p w14:paraId="6FB3409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主配电柜</w:t>
                  </w:r>
                </w:p>
              </w:tc>
              <w:tc>
                <w:tcPr>
                  <w:tcW w:w="1046" w:type="pct"/>
                  <w:noWrap w:val="0"/>
                  <w:vAlign w:val="center"/>
                </w:tcPr>
                <w:p w14:paraId="32727E5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LX-CJX-10</w:t>
                  </w:r>
                </w:p>
              </w:tc>
              <w:tc>
                <w:tcPr>
                  <w:tcW w:w="427" w:type="pct"/>
                  <w:noWrap w:val="0"/>
                  <w:vAlign w:val="center"/>
                </w:tcPr>
                <w:p w14:paraId="201AD93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77BC798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228E42B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电源主控</w:t>
                  </w:r>
                </w:p>
              </w:tc>
            </w:tr>
            <w:tr w14:paraId="4DEF87E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07CDEB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11</w:t>
                  </w:r>
                </w:p>
              </w:tc>
              <w:tc>
                <w:tcPr>
                  <w:tcW w:w="1273" w:type="pct"/>
                  <w:noWrap w:val="0"/>
                  <w:vAlign w:val="center"/>
                </w:tcPr>
                <w:p w14:paraId="290A41A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安全气囊引爆机</w:t>
                  </w:r>
                </w:p>
              </w:tc>
              <w:tc>
                <w:tcPr>
                  <w:tcW w:w="1046" w:type="pct"/>
                  <w:noWrap w:val="0"/>
                  <w:vAlign w:val="center"/>
                </w:tcPr>
                <w:p w14:paraId="3C67A4F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LX-CJX-14</w:t>
                  </w:r>
                </w:p>
              </w:tc>
              <w:tc>
                <w:tcPr>
                  <w:tcW w:w="427" w:type="pct"/>
                  <w:noWrap w:val="0"/>
                  <w:vAlign w:val="center"/>
                </w:tcPr>
                <w:p w14:paraId="4C302B6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00ABA00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36CF543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引爆安全气囊</w:t>
                  </w:r>
                </w:p>
              </w:tc>
            </w:tr>
            <w:tr w14:paraId="73AC1BA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1AD6D0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12</w:t>
                  </w:r>
                </w:p>
              </w:tc>
              <w:tc>
                <w:tcPr>
                  <w:tcW w:w="1273" w:type="pct"/>
                  <w:noWrap w:val="0"/>
                  <w:vAlign w:val="center"/>
                </w:tcPr>
                <w:p w14:paraId="3ABE942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发动机精拆平台</w:t>
                  </w:r>
                </w:p>
              </w:tc>
              <w:tc>
                <w:tcPr>
                  <w:tcW w:w="1046" w:type="pct"/>
                  <w:noWrap w:val="0"/>
                  <w:vAlign w:val="center"/>
                </w:tcPr>
                <w:p w14:paraId="3199908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LX-CJX-17</w:t>
                  </w:r>
                </w:p>
              </w:tc>
              <w:tc>
                <w:tcPr>
                  <w:tcW w:w="427" w:type="pct"/>
                  <w:noWrap w:val="0"/>
                  <w:vAlign w:val="center"/>
                </w:tcPr>
                <w:p w14:paraId="75ED272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15FB9BE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0D51F67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精拆发动机、变速箱</w:t>
                  </w:r>
                </w:p>
              </w:tc>
            </w:tr>
            <w:tr w14:paraId="190EE56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6EC807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13</w:t>
                  </w:r>
                </w:p>
              </w:tc>
              <w:tc>
                <w:tcPr>
                  <w:tcW w:w="1273" w:type="pct"/>
                  <w:noWrap w:val="0"/>
                  <w:vAlign w:val="center"/>
                </w:tcPr>
                <w:p w14:paraId="2FD8D00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剪式液压举升机</w:t>
                  </w:r>
                </w:p>
              </w:tc>
              <w:tc>
                <w:tcPr>
                  <w:tcW w:w="1046" w:type="pct"/>
                  <w:noWrap w:val="0"/>
                  <w:vAlign w:val="center"/>
                </w:tcPr>
                <w:p w14:paraId="2223711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K3000</w:t>
                  </w:r>
                </w:p>
              </w:tc>
              <w:tc>
                <w:tcPr>
                  <w:tcW w:w="427" w:type="pct"/>
                  <w:noWrap w:val="0"/>
                  <w:vAlign w:val="center"/>
                </w:tcPr>
                <w:p w14:paraId="66C5171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6E808B0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3CEF200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预处理工位</w:t>
                  </w:r>
                </w:p>
              </w:tc>
            </w:tr>
            <w:tr w14:paraId="02A2719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03815C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14</w:t>
                  </w:r>
                </w:p>
              </w:tc>
              <w:tc>
                <w:tcPr>
                  <w:tcW w:w="1273" w:type="pct"/>
                  <w:noWrap w:val="0"/>
                  <w:vAlign w:val="center"/>
                </w:tcPr>
                <w:p w14:paraId="1F8C519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五通道集中抽油机</w:t>
                  </w:r>
                </w:p>
              </w:tc>
              <w:tc>
                <w:tcPr>
                  <w:tcW w:w="1046" w:type="pct"/>
                  <w:noWrap w:val="0"/>
                  <w:vAlign w:val="center"/>
                </w:tcPr>
                <w:p w14:paraId="3D7186C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LX-CYJ-5</w:t>
                  </w:r>
                </w:p>
              </w:tc>
              <w:tc>
                <w:tcPr>
                  <w:tcW w:w="427" w:type="pct"/>
                  <w:noWrap w:val="0"/>
                  <w:vAlign w:val="center"/>
                </w:tcPr>
                <w:p w14:paraId="0881C7A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4A314D1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3F711D5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抽发动机油、刹车油、转向油、冷却液、玻璃水</w:t>
                  </w:r>
                </w:p>
              </w:tc>
            </w:tr>
            <w:tr w14:paraId="1FCF395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A54AB9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w:t>
                  </w:r>
                </w:p>
              </w:tc>
              <w:tc>
                <w:tcPr>
                  <w:tcW w:w="1273" w:type="pct"/>
                  <w:noWrap w:val="0"/>
                  <w:vAlign w:val="center"/>
                </w:tcPr>
                <w:p w14:paraId="69BD3F5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钻孔抽油机</w:t>
                  </w:r>
                </w:p>
              </w:tc>
              <w:tc>
                <w:tcPr>
                  <w:tcW w:w="1046" w:type="pct"/>
                  <w:noWrap w:val="0"/>
                  <w:vAlign w:val="center"/>
                </w:tcPr>
                <w:p w14:paraId="4D2B2D1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LX-C-DKC-2</w:t>
                  </w:r>
                </w:p>
              </w:tc>
              <w:tc>
                <w:tcPr>
                  <w:tcW w:w="427" w:type="pct"/>
                  <w:noWrap w:val="0"/>
                  <w:vAlign w:val="center"/>
                </w:tcPr>
                <w:p w14:paraId="34F3F60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3CCA00D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6F0B5FC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抽汽油/柴油</w:t>
                  </w:r>
                </w:p>
              </w:tc>
            </w:tr>
            <w:tr w14:paraId="4D72B7A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4F75F6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16</w:t>
                  </w:r>
                </w:p>
              </w:tc>
              <w:tc>
                <w:tcPr>
                  <w:tcW w:w="1273" w:type="pct"/>
                  <w:noWrap w:val="0"/>
                  <w:vAlign w:val="center"/>
                </w:tcPr>
                <w:p w14:paraId="1D8E957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手持液压剪</w:t>
                  </w:r>
                </w:p>
              </w:tc>
              <w:tc>
                <w:tcPr>
                  <w:tcW w:w="1046" w:type="pct"/>
                  <w:noWrap w:val="0"/>
                  <w:vAlign w:val="center"/>
                </w:tcPr>
                <w:p w14:paraId="646E071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center"/>
                </w:tcPr>
                <w:p w14:paraId="4F5489D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51C9F63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142E70B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剪车门五金件</w:t>
                  </w:r>
                </w:p>
              </w:tc>
            </w:tr>
            <w:tr w14:paraId="04E8011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C67657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17</w:t>
                  </w:r>
                </w:p>
              </w:tc>
              <w:tc>
                <w:tcPr>
                  <w:tcW w:w="1273" w:type="pct"/>
                  <w:noWrap w:val="0"/>
                  <w:vAlign w:val="center"/>
                </w:tcPr>
                <w:p w14:paraId="1A54A4E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挡风玻璃切割机</w:t>
                  </w:r>
                </w:p>
              </w:tc>
              <w:tc>
                <w:tcPr>
                  <w:tcW w:w="1046" w:type="pct"/>
                  <w:noWrap w:val="0"/>
                  <w:vAlign w:val="center"/>
                </w:tcPr>
                <w:p w14:paraId="4101A2A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LX-BLQG-2260</w:t>
                  </w:r>
                </w:p>
              </w:tc>
              <w:tc>
                <w:tcPr>
                  <w:tcW w:w="427" w:type="pct"/>
                  <w:noWrap w:val="0"/>
                  <w:vAlign w:val="center"/>
                </w:tcPr>
                <w:p w14:paraId="15DC79E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1949DA8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189A440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切割玻璃</w:t>
                  </w:r>
                </w:p>
              </w:tc>
            </w:tr>
            <w:tr w14:paraId="02DEBEA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67A3FF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18</w:t>
                  </w:r>
                </w:p>
              </w:tc>
              <w:tc>
                <w:tcPr>
                  <w:tcW w:w="1273" w:type="pct"/>
                  <w:noWrap w:val="0"/>
                  <w:vAlign w:val="center"/>
                </w:tcPr>
                <w:p w14:paraId="5505F4A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冷媒回收循环加注机</w:t>
                  </w:r>
                </w:p>
              </w:tc>
              <w:tc>
                <w:tcPr>
                  <w:tcW w:w="1046" w:type="pct"/>
                  <w:noWrap w:val="0"/>
                  <w:vAlign w:val="center"/>
                </w:tcPr>
                <w:p w14:paraId="2E0B82B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ATC-913A</w:t>
                  </w:r>
                </w:p>
              </w:tc>
              <w:tc>
                <w:tcPr>
                  <w:tcW w:w="427" w:type="pct"/>
                  <w:noWrap w:val="0"/>
                  <w:vAlign w:val="center"/>
                </w:tcPr>
                <w:p w14:paraId="419EDE7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489525E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4009797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抽氟利昂</w:t>
                  </w:r>
                </w:p>
              </w:tc>
            </w:tr>
            <w:tr w14:paraId="52F1760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B9BD9B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19</w:t>
                  </w:r>
                </w:p>
              </w:tc>
              <w:tc>
                <w:tcPr>
                  <w:tcW w:w="1273" w:type="pct"/>
                  <w:noWrap w:val="0"/>
                  <w:vAlign w:val="center"/>
                </w:tcPr>
                <w:p w14:paraId="25A5745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冷媒储存罐</w:t>
                  </w:r>
                </w:p>
              </w:tc>
              <w:tc>
                <w:tcPr>
                  <w:tcW w:w="1046" w:type="pct"/>
                  <w:noWrap w:val="0"/>
                  <w:vAlign w:val="center"/>
                </w:tcPr>
                <w:p w14:paraId="6DA3FAD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22L</w:t>
                  </w:r>
                </w:p>
              </w:tc>
              <w:tc>
                <w:tcPr>
                  <w:tcW w:w="427" w:type="pct"/>
                  <w:noWrap w:val="0"/>
                  <w:vAlign w:val="center"/>
                </w:tcPr>
                <w:p w14:paraId="6E996E6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18527F6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1346" w:type="pct"/>
                  <w:noWrap w:val="0"/>
                  <w:vAlign w:val="center"/>
                </w:tcPr>
                <w:p w14:paraId="0E1B66B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储存冷媒</w:t>
                  </w:r>
                </w:p>
              </w:tc>
            </w:tr>
            <w:tr w14:paraId="0B093A5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27D969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20</w:t>
                  </w:r>
                </w:p>
              </w:tc>
              <w:tc>
                <w:tcPr>
                  <w:tcW w:w="1273" w:type="pct"/>
                  <w:noWrap w:val="0"/>
                  <w:vAlign w:val="center"/>
                </w:tcPr>
                <w:p w14:paraId="4CE7B27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螺杆空压机</w:t>
                  </w:r>
                </w:p>
              </w:tc>
              <w:tc>
                <w:tcPr>
                  <w:tcW w:w="1046" w:type="pct"/>
                  <w:noWrap w:val="0"/>
                  <w:vAlign w:val="center"/>
                </w:tcPr>
                <w:p w14:paraId="48FE43E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TR-15PM</w:t>
                  </w:r>
                </w:p>
              </w:tc>
              <w:tc>
                <w:tcPr>
                  <w:tcW w:w="427" w:type="pct"/>
                  <w:noWrap w:val="0"/>
                  <w:vAlign w:val="center"/>
                </w:tcPr>
                <w:p w14:paraId="50A6342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77D31A3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50DAF9F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提供气源</w:t>
                  </w:r>
                </w:p>
              </w:tc>
            </w:tr>
            <w:tr w14:paraId="5F79371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EF43C9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21</w:t>
                  </w:r>
                </w:p>
              </w:tc>
              <w:tc>
                <w:tcPr>
                  <w:tcW w:w="1273" w:type="pct"/>
                  <w:noWrap w:val="0"/>
                  <w:vAlign w:val="center"/>
                </w:tcPr>
                <w:p w14:paraId="4843AC1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储气罐</w:t>
                  </w:r>
                </w:p>
              </w:tc>
              <w:tc>
                <w:tcPr>
                  <w:tcW w:w="1046" w:type="pct"/>
                  <w:noWrap w:val="0"/>
                  <w:vAlign w:val="center"/>
                </w:tcPr>
                <w:p w14:paraId="39B152D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1m³</w:t>
                  </w:r>
                </w:p>
              </w:tc>
              <w:tc>
                <w:tcPr>
                  <w:tcW w:w="427" w:type="pct"/>
                  <w:noWrap w:val="0"/>
                  <w:vAlign w:val="center"/>
                </w:tcPr>
                <w:p w14:paraId="76C1239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506C873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28256E0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存储气源</w:t>
                  </w:r>
                </w:p>
              </w:tc>
            </w:tr>
            <w:tr w14:paraId="5542B7B0">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722C50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22</w:t>
                  </w:r>
                </w:p>
              </w:tc>
              <w:tc>
                <w:tcPr>
                  <w:tcW w:w="1273" w:type="pct"/>
                  <w:noWrap w:val="0"/>
                  <w:vAlign w:val="center"/>
                </w:tcPr>
                <w:p w14:paraId="7AD4BBC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冷冻式压缩空气干燥机</w:t>
                  </w:r>
                </w:p>
              </w:tc>
              <w:tc>
                <w:tcPr>
                  <w:tcW w:w="1046" w:type="pct"/>
                  <w:noWrap w:val="0"/>
                  <w:vAlign w:val="center"/>
                </w:tcPr>
                <w:p w14:paraId="59FC619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HF-2NF</w:t>
                  </w:r>
                </w:p>
              </w:tc>
              <w:tc>
                <w:tcPr>
                  <w:tcW w:w="427" w:type="pct"/>
                  <w:noWrap w:val="0"/>
                  <w:vAlign w:val="center"/>
                </w:tcPr>
                <w:p w14:paraId="27C738F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6DE1BBE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2979DC8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处理气源</w:t>
                  </w:r>
                </w:p>
              </w:tc>
            </w:tr>
            <w:tr w14:paraId="7E38CC6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CDB409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23</w:t>
                  </w:r>
                </w:p>
              </w:tc>
              <w:tc>
                <w:tcPr>
                  <w:tcW w:w="1273" w:type="pct"/>
                  <w:noWrap w:val="0"/>
                  <w:vAlign w:val="center"/>
                </w:tcPr>
                <w:p w14:paraId="41A9A33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安全气囊引爆设备</w:t>
                  </w:r>
                </w:p>
              </w:tc>
              <w:tc>
                <w:tcPr>
                  <w:tcW w:w="1046" w:type="pct"/>
                  <w:noWrap w:val="0"/>
                  <w:vAlign w:val="center"/>
                </w:tcPr>
                <w:p w14:paraId="41B6D42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SV-AQ</w:t>
                  </w:r>
                </w:p>
              </w:tc>
              <w:tc>
                <w:tcPr>
                  <w:tcW w:w="427" w:type="pct"/>
                  <w:noWrap w:val="0"/>
                  <w:vAlign w:val="center"/>
                </w:tcPr>
                <w:p w14:paraId="290514E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30F7747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063CDB2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引爆安全气囊</w:t>
                  </w:r>
                </w:p>
              </w:tc>
            </w:tr>
            <w:tr w14:paraId="73FD3A3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59B8C4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24</w:t>
                  </w:r>
                </w:p>
              </w:tc>
              <w:tc>
                <w:tcPr>
                  <w:tcW w:w="1273" w:type="pct"/>
                  <w:noWrap w:val="0"/>
                  <w:vAlign w:val="center"/>
                </w:tcPr>
                <w:p w14:paraId="1AFFBE0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发动机吊车</w:t>
                  </w:r>
                </w:p>
              </w:tc>
              <w:tc>
                <w:tcPr>
                  <w:tcW w:w="1046" w:type="pct"/>
                  <w:noWrap w:val="0"/>
                  <w:vAlign w:val="center"/>
                </w:tcPr>
                <w:p w14:paraId="63E9C6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0.5T</w:t>
                  </w:r>
                </w:p>
              </w:tc>
              <w:tc>
                <w:tcPr>
                  <w:tcW w:w="427" w:type="pct"/>
                  <w:noWrap w:val="0"/>
                  <w:vAlign w:val="center"/>
                </w:tcPr>
                <w:p w14:paraId="212079F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4489C52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46BC543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拆发动机/前后桥用</w:t>
                  </w:r>
                </w:p>
              </w:tc>
            </w:tr>
            <w:tr w14:paraId="74EC642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B5B4A8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25</w:t>
                  </w:r>
                </w:p>
              </w:tc>
              <w:tc>
                <w:tcPr>
                  <w:tcW w:w="1273" w:type="pct"/>
                  <w:noWrap w:val="0"/>
                  <w:vAlign w:val="center"/>
                </w:tcPr>
                <w:p w14:paraId="11C0064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车门、轮桥吊车</w:t>
                  </w:r>
                </w:p>
              </w:tc>
              <w:tc>
                <w:tcPr>
                  <w:tcW w:w="1046" w:type="pct"/>
                  <w:noWrap w:val="0"/>
                  <w:vAlign w:val="center"/>
                </w:tcPr>
                <w:p w14:paraId="5AEEBB9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0.5T</w:t>
                  </w:r>
                </w:p>
              </w:tc>
              <w:tc>
                <w:tcPr>
                  <w:tcW w:w="427" w:type="pct"/>
                  <w:noWrap w:val="0"/>
                  <w:vAlign w:val="center"/>
                </w:tcPr>
                <w:p w14:paraId="35EEF26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5017CFE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08A9EB4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较重配件用</w:t>
                  </w:r>
                </w:p>
              </w:tc>
            </w:tr>
            <w:tr w14:paraId="02F87F2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9A1A9C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26</w:t>
                  </w:r>
                </w:p>
              </w:tc>
              <w:tc>
                <w:tcPr>
                  <w:tcW w:w="1273" w:type="pct"/>
                  <w:noWrap w:val="0"/>
                  <w:vAlign w:val="center"/>
                </w:tcPr>
                <w:p w14:paraId="6D028A2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等离子气动割刀</w:t>
                  </w:r>
                </w:p>
              </w:tc>
              <w:tc>
                <w:tcPr>
                  <w:tcW w:w="1046" w:type="pct"/>
                  <w:noWrap w:val="0"/>
                  <w:vAlign w:val="center"/>
                </w:tcPr>
                <w:p w14:paraId="31DDED1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80A</w:t>
                  </w:r>
                </w:p>
              </w:tc>
              <w:tc>
                <w:tcPr>
                  <w:tcW w:w="427" w:type="pct"/>
                  <w:noWrap w:val="0"/>
                  <w:vAlign w:val="center"/>
                </w:tcPr>
                <w:p w14:paraId="25D822B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5114A6D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55D9E11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拆顽固螺栓用</w:t>
                  </w:r>
                </w:p>
              </w:tc>
            </w:tr>
            <w:tr w14:paraId="7B60B9C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548B87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27</w:t>
                  </w:r>
                </w:p>
              </w:tc>
              <w:tc>
                <w:tcPr>
                  <w:tcW w:w="1273" w:type="pct"/>
                  <w:noWrap w:val="0"/>
                  <w:vAlign w:val="center"/>
                </w:tcPr>
                <w:p w14:paraId="5E9BCF1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玻璃吸盘</w:t>
                  </w:r>
                </w:p>
              </w:tc>
              <w:tc>
                <w:tcPr>
                  <w:tcW w:w="1046" w:type="pct"/>
                  <w:noWrap w:val="0"/>
                  <w:vAlign w:val="center"/>
                </w:tcPr>
                <w:p w14:paraId="2463EFA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ASYUSE</w:t>
                  </w:r>
                </w:p>
              </w:tc>
              <w:tc>
                <w:tcPr>
                  <w:tcW w:w="427" w:type="pct"/>
                  <w:noWrap w:val="0"/>
                  <w:vAlign w:val="center"/>
                </w:tcPr>
                <w:p w14:paraId="17E78FF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458" w:type="pct"/>
                  <w:noWrap w:val="0"/>
                  <w:vAlign w:val="center"/>
                </w:tcPr>
                <w:p w14:paraId="0DF5598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1346" w:type="pct"/>
                  <w:noWrap w:val="0"/>
                  <w:vAlign w:val="center"/>
                </w:tcPr>
                <w:p w14:paraId="7D24731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拆玻璃</w:t>
                  </w:r>
                </w:p>
              </w:tc>
            </w:tr>
            <w:tr w14:paraId="3F3AD0C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565321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28</w:t>
                  </w:r>
                </w:p>
              </w:tc>
              <w:tc>
                <w:tcPr>
                  <w:tcW w:w="1273" w:type="pct"/>
                  <w:noWrap w:val="0"/>
                  <w:vAlign w:val="center"/>
                </w:tcPr>
                <w:p w14:paraId="2146886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扒胎机</w:t>
                  </w:r>
                </w:p>
              </w:tc>
              <w:tc>
                <w:tcPr>
                  <w:tcW w:w="1046" w:type="pct"/>
                  <w:noWrap w:val="0"/>
                  <w:vAlign w:val="center"/>
                </w:tcPr>
                <w:p w14:paraId="21EC175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620A</w:t>
                  </w:r>
                </w:p>
              </w:tc>
              <w:tc>
                <w:tcPr>
                  <w:tcW w:w="427" w:type="pct"/>
                  <w:noWrap w:val="0"/>
                  <w:vAlign w:val="center"/>
                </w:tcPr>
                <w:p w14:paraId="7726537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458" w:type="pct"/>
                  <w:noWrap w:val="0"/>
                  <w:vAlign w:val="center"/>
                </w:tcPr>
                <w:p w14:paraId="3BE3941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1346" w:type="pct"/>
                  <w:noWrap w:val="0"/>
                  <w:vAlign w:val="center"/>
                </w:tcPr>
                <w:p w14:paraId="641E751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处理轮胎</w:t>
                  </w:r>
                </w:p>
              </w:tc>
            </w:tr>
            <w:tr w14:paraId="2919C78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8D8D12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29</w:t>
                  </w:r>
                </w:p>
              </w:tc>
              <w:tc>
                <w:tcPr>
                  <w:tcW w:w="1273" w:type="pct"/>
                  <w:noWrap w:val="0"/>
                  <w:vAlign w:val="center"/>
                </w:tcPr>
                <w:p w14:paraId="7813E4C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手动工具</w:t>
                  </w:r>
                </w:p>
              </w:tc>
              <w:tc>
                <w:tcPr>
                  <w:tcW w:w="1046" w:type="pct"/>
                  <w:noWrap w:val="0"/>
                  <w:vAlign w:val="center"/>
                </w:tcPr>
                <w:p w14:paraId="6A763E4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16件套</w:t>
                  </w:r>
                </w:p>
              </w:tc>
              <w:tc>
                <w:tcPr>
                  <w:tcW w:w="427" w:type="pct"/>
                  <w:noWrap w:val="0"/>
                  <w:vAlign w:val="center"/>
                </w:tcPr>
                <w:p w14:paraId="55C609F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16</w:t>
                  </w:r>
                </w:p>
              </w:tc>
              <w:tc>
                <w:tcPr>
                  <w:tcW w:w="458" w:type="pct"/>
                  <w:noWrap w:val="0"/>
                  <w:vAlign w:val="center"/>
                </w:tcPr>
                <w:p w14:paraId="6C67E99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2045A9A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手动拆解工具</w:t>
                  </w:r>
                </w:p>
              </w:tc>
            </w:tr>
            <w:tr w14:paraId="4408217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5DE750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30</w:t>
                  </w:r>
                </w:p>
              </w:tc>
              <w:tc>
                <w:tcPr>
                  <w:tcW w:w="1273" w:type="pct"/>
                  <w:noWrap w:val="0"/>
                  <w:vAlign w:val="center"/>
                </w:tcPr>
                <w:p w14:paraId="25BAE2D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气动工具</w:t>
                  </w:r>
                </w:p>
              </w:tc>
              <w:tc>
                <w:tcPr>
                  <w:tcW w:w="1046" w:type="pct"/>
                  <w:noWrap w:val="0"/>
                  <w:vAlign w:val="center"/>
                </w:tcPr>
                <w:p w14:paraId="04E38F2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28件套</w:t>
                  </w:r>
                </w:p>
              </w:tc>
              <w:tc>
                <w:tcPr>
                  <w:tcW w:w="427" w:type="pct"/>
                  <w:noWrap w:val="0"/>
                  <w:vAlign w:val="center"/>
                </w:tcPr>
                <w:p w14:paraId="74FE631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28</w:t>
                  </w:r>
                </w:p>
              </w:tc>
              <w:tc>
                <w:tcPr>
                  <w:tcW w:w="458" w:type="pct"/>
                  <w:noWrap w:val="0"/>
                  <w:vAlign w:val="center"/>
                </w:tcPr>
                <w:p w14:paraId="35B41C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1346" w:type="pct"/>
                  <w:noWrap w:val="0"/>
                  <w:vAlign w:val="center"/>
                </w:tcPr>
                <w:p w14:paraId="18D6A76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气动拆解工具</w:t>
                  </w:r>
                </w:p>
              </w:tc>
            </w:tr>
            <w:tr w14:paraId="51C3B4D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000" w:type="pct"/>
                  <w:gridSpan w:val="6"/>
                  <w:noWrap w:val="0"/>
                  <w:vAlign w:val="center"/>
                </w:tcPr>
                <w:p w14:paraId="31517A26">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大中型车拆解设备</w:t>
                  </w:r>
                </w:p>
              </w:tc>
            </w:tr>
            <w:tr w14:paraId="13C199F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F5DCBC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273" w:type="pct"/>
                  <w:noWrap w:val="0"/>
                  <w:vAlign w:val="center"/>
                </w:tcPr>
                <w:p w14:paraId="3EA6C4D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液压大力剪</w:t>
                  </w:r>
                </w:p>
              </w:tc>
              <w:tc>
                <w:tcPr>
                  <w:tcW w:w="1046" w:type="pct"/>
                  <w:noWrap w:val="0"/>
                  <w:vAlign w:val="center"/>
                </w:tcPr>
                <w:p w14:paraId="0C6C736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YZJ-350</w:t>
                  </w:r>
                </w:p>
              </w:tc>
              <w:tc>
                <w:tcPr>
                  <w:tcW w:w="427" w:type="pct"/>
                  <w:noWrap w:val="0"/>
                  <w:vAlign w:val="center"/>
                </w:tcPr>
                <w:p w14:paraId="41F3EDF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45D0D73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75A84B0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大车大梁剪断</w:t>
                  </w:r>
                </w:p>
              </w:tc>
            </w:tr>
            <w:tr w14:paraId="6B3B9AF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7CBA3D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273" w:type="pct"/>
                  <w:noWrap w:val="0"/>
                  <w:vAlign w:val="center"/>
                </w:tcPr>
                <w:p w14:paraId="45663D6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综合集中抽油机</w:t>
                  </w:r>
                </w:p>
              </w:tc>
              <w:tc>
                <w:tcPr>
                  <w:tcW w:w="1046" w:type="pct"/>
                  <w:noWrap w:val="0"/>
                  <w:vAlign w:val="center"/>
                </w:tcPr>
                <w:p w14:paraId="249AABA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LX-CYJ-5</w:t>
                  </w:r>
                </w:p>
              </w:tc>
              <w:tc>
                <w:tcPr>
                  <w:tcW w:w="427" w:type="pct"/>
                  <w:noWrap w:val="0"/>
                  <w:vAlign w:val="bottom"/>
                </w:tcPr>
                <w:p w14:paraId="749CBE0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547C609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745ECF4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废油液收集</w:t>
                  </w:r>
                </w:p>
              </w:tc>
            </w:tr>
            <w:tr w14:paraId="7F7E659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4D743B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1273" w:type="pct"/>
                  <w:noWrap w:val="0"/>
                  <w:vAlign w:val="center"/>
                </w:tcPr>
                <w:p w14:paraId="2EAB24D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钻孔真空抽排机</w:t>
                  </w:r>
                </w:p>
              </w:tc>
              <w:tc>
                <w:tcPr>
                  <w:tcW w:w="1046" w:type="pct"/>
                  <w:noWrap w:val="0"/>
                  <w:vAlign w:val="center"/>
                </w:tcPr>
                <w:p w14:paraId="07D01D3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LX-C-DKC-2</w:t>
                  </w:r>
                </w:p>
              </w:tc>
              <w:tc>
                <w:tcPr>
                  <w:tcW w:w="427" w:type="pct"/>
                  <w:noWrap w:val="0"/>
                  <w:vAlign w:val="bottom"/>
                </w:tcPr>
                <w:p w14:paraId="59F2B47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4BCC93B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3AA44CC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废汽油/柴油收集</w:t>
                  </w:r>
                </w:p>
              </w:tc>
            </w:tr>
            <w:tr w14:paraId="64D898F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5E855E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1273" w:type="pct"/>
                  <w:noWrap w:val="0"/>
                  <w:vAlign w:val="center"/>
                </w:tcPr>
                <w:p w14:paraId="45B17D4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挡风玻璃切割机</w:t>
                  </w:r>
                </w:p>
              </w:tc>
              <w:tc>
                <w:tcPr>
                  <w:tcW w:w="1046" w:type="pct"/>
                  <w:noWrap w:val="0"/>
                  <w:vAlign w:val="center"/>
                </w:tcPr>
                <w:p w14:paraId="5D5D1BB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LX-BLQG-2260</w:t>
                  </w:r>
                </w:p>
              </w:tc>
              <w:tc>
                <w:tcPr>
                  <w:tcW w:w="427" w:type="pct"/>
                  <w:noWrap w:val="0"/>
                  <w:vAlign w:val="bottom"/>
                </w:tcPr>
                <w:p w14:paraId="5A422D8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47CA626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41754F5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玻璃切割</w:t>
                  </w:r>
                </w:p>
              </w:tc>
            </w:tr>
            <w:tr w14:paraId="2F82C7B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602B3D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1273" w:type="pct"/>
                  <w:noWrap w:val="0"/>
                  <w:vAlign w:val="center"/>
                </w:tcPr>
                <w:p w14:paraId="6F62F86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冷媒回收循环加注机</w:t>
                  </w:r>
                </w:p>
              </w:tc>
              <w:tc>
                <w:tcPr>
                  <w:tcW w:w="1046" w:type="pct"/>
                  <w:noWrap w:val="0"/>
                  <w:vAlign w:val="center"/>
                </w:tcPr>
                <w:p w14:paraId="33F4F65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ATC-981</w:t>
                  </w:r>
                </w:p>
              </w:tc>
              <w:tc>
                <w:tcPr>
                  <w:tcW w:w="427" w:type="pct"/>
                  <w:noWrap w:val="0"/>
                  <w:vAlign w:val="bottom"/>
                </w:tcPr>
                <w:p w14:paraId="164DABB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6E0C342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527290E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氟利昂收集</w:t>
                  </w:r>
                </w:p>
              </w:tc>
            </w:tr>
            <w:tr w14:paraId="136CA85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686FB3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6</w:t>
                  </w:r>
                </w:p>
              </w:tc>
              <w:tc>
                <w:tcPr>
                  <w:tcW w:w="1273" w:type="pct"/>
                  <w:noWrap w:val="0"/>
                  <w:vAlign w:val="center"/>
                </w:tcPr>
                <w:p w14:paraId="159E887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冷媒储存罐</w:t>
                  </w:r>
                </w:p>
              </w:tc>
              <w:tc>
                <w:tcPr>
                  <w:tcW w:w="1046" w:type="pct"/>
                  <w:noWrap w:val="0"/>
                  <w:vAlign w:val="center"/>
                </w:tcPr>
                <w:p w14:paraId="2E768D2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22L</w:t>
                  </w:r>
                </w:p>
              </w:tc>
              <w:tc>
                <w:tcPr>
                  <w:tcW w:w="427" w:type="pct"/>
                  <w:noWrap w:val="0"/>
                  <w:vAlign w:val="bottom"/>
                </w:tcPr>
                <w:p w14:paraId="50B2B48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3B17562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7F69732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储存冷媒</w:t>
                  </w:r>
                </w:p>
              </w:tc>
            </w:tr>
            <w:tr w14:paraId="00103D4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A82D94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7</w:t>
                  </w:r>
                </w:p>
              </w:tc>
              <w:tc>
                <w:tcPr>
                  <w:tcW w:w="1273" w:type="pct"/>
                  <w:noWrap w:val="0"/>
                  <w:vAlign w:val="center"/>
                </w:tcPr>
                <w:p w14:paraId="6566F1B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等离子切割机</w:t>
                  </w:r>
                </w:p>
              </w:tc>
              <w:tc>
                <w:tcPr>
                  <w:tcW w:w="1046" w:type="pct"/>
                  <w:noWrap w:val="0"/>
                  <w:vAlign w:val="center"/>
                </w:tcPr>
                <w:p w14:paraId="79F9F47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120A</w:t>
                  </w:r>
                </w:p>
              </w:tc>
              <w:tc>
                <w:tcPr>
                  <w:tcW w:w="427" w:type="pct"/>
                  <w:noWrap w:val="0"/>
                  <w:vAlign w:val="bottom"/>
                </w:tcPr>
                <w:p w14:paraId="5A59194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05E3AC0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2665710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切割</w:t>
                  </w:r>
                </w:p>
              </w:tc>
            </w:tr>
            <w:tr w14:paraId="202D72A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388DE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8</w:t>
                  </w:r>
                </w:p>
              </w:tc>
              <w:tc>
                <w:tcPr>
                  <w:tcW w:w="1273" w:type="pct"/>
                  <w:noWrap w:val="0"/>
                  <w:vAlign w:val="center"/>
                </w:tcPr>
                <w:p w14:paraId="2BCC3AA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电瓶拖车</w:t>
                  </w:r>
                </w:p>
              </w:tc>
              <w:tc>
                <w:tcPr>
                  <w:tcW w:w="1046" w:type="pct"/>
                  <w:noWrap w:val="0"/>
                  <w:vAlign w:val="center"/>
                </w:tcPr>
                <w:p w14:paraId="5E301AB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bottom"/>
                </w:tcPr>
                <w:p w14:paraId="237220D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458" w:type="pct"/>
                  <w:noWrap w:val="0"/>
                  <w:vAlign w:val="center"/>
                </w:tcPr>
                <w:p w14:paraId="5E2AA72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center"/>
                </w:tcPr>
                <w:p w14:paraId="5ACCA30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电池周转</w:t>
                  </w:r>
                </w:p>
              </w:tc>
            </w:tr>
            <w:tr w14:paraId="6FE1E6B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3A35CB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9</w:t>
                  </w:r>
                </w:p>
              </w:tc>
              <w:tc>
                <w:tcPr>
                  <w:tcW w:w="1273" w:type="pct"/>
                  <w:noWrap w:val="0"/>
                  <w:vAlign w:val="center"/>
                </w:tcPr>
                <w:p w14:paraId="0D6CE44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活塞空压机</w:t>
                  </w:r>
                </w:p>
              </w:tc>
              <w:tc>
                <w:tcPr>
                  <w:tcW w:w="1046" w:type="pct"/>
                  <w:noWrap w:val="0"/>
                  <w:vAlign w:val="center"/>
                </w:tcPr>
                <w:p w14:paraId="624023A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15KW</w:t>
                  </w:r>
                </w:p>
              </w:tc>
              <w:tc>
                <w:tcPr>
                  <w:tcW w:w="427" w:type="pct"/>
                  <w:noWrap w:val="0"/>
                  <w:vAlign w:val="bottom"/>
                </w:tcPr>
                <w:p w14:paraId="6E023D4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4B124CB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6E82906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提供气源</w:t>
                  </w:r>
                </w:p>
              </w:tc>
            </w:tr>
            <w:tr w14:paraId="2E213505">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B7488A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10</w:t>
                  </w:r>
                </w:p>
              </w:tc>
              <w:tc>
                <w:tcPr>
                  <w:tcW w:w="1273" w:type="pct"/>
                  <w:noWrap w:val="0"/>
                  <w:vAlign w:val="center"/>
                </w:tcPr>
                <w:p w14:paraId="50580D0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废螺栓推车</w:t>
                  </w:r>
                </w:p>
              </w:tc>
              <w:tc>
                <w:tcPr>
                  <w:tcW w:w="1046" w:type="pct"/>
                  <w:noWrap w:val="0"/>
                  <w:vAlign w:val="center"/>
                </w:tcPr>
                <w:p w14:paraId="69ED8DB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LX-CJX-07</w:t>
                  </w:r>
                </w:p>
              </w:tc>
              <w:tc>
                <w:tcPr>
                  <w:tcW w:w="427" w:type="pct"/>
                  <w:noWrap w:val="0"/>
                  <w:vAlign w:val="bottom"/>
                </w:tcPr>
                <w:p w14:paraId="482F1F3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458" w:type="pct"/>
                  <w:noWrap w:val="0"/>
                  <w:vAlign w:val="center"/>
                </w:tcPr>
                <w:p w14:paraId="6558882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center"/>
                </w:tcPr>
                <w:p w14:paraId="70311F5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存放废螺栓</w:t>
                  </w:r>
                </w:p>
              </w:tc>
            </w:tr>
            <w:tr w14:paraId="4D86B23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C0FB8A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11</w:t>
                  </w:r>
                </w:p>
              </w:tc>
              <w:tc>
                <w:tcPr>
                  <w:tcW w:w="1273" w:type="pct"/>
                  <w:noWrap w:val="0"/>
                  <w:vAlign w:val="center"/>
                </w:tcPr>
                <w:p w14:paraId="0FE00F1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废发动机推车</w:t>
                  </w:r>
                </w:p>
              </w:tc>
              <w:tc>
                <w:tcPr>
                  <w:tcW w:w="1046" w:type="pct"/>
                  <w:noWrap w:val="0"/>
                  <w:vAlign w:val="center"/>
                </w:tcPr>
                <w:p w14:paraId="30FF742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LX-CJX-06</w:t>
                  </w:r>
                </w:p>
              </w:tc>
              <w:tc>
                <w:tcPr>
                  <w:tcW w:w="427" w:type="pct"/>
                  <w:noWrap w:val="0"/>
                  <w:vAlign w:val="bottom"/>
                </w:tcPr>
                <w:p w14:paraId="266FDB1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458" w:type="pct"/>
                  <w:noWrap w:val="0"/>
                  <w:vAlign w:val="center"/>
                </w:tcPr>
                <w:p w14:paraId="10E3F41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center"/>
                </w:tcPr>
                <w:p w14:paraId="4500145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发动机周转</w:t>
                  </w:r>
                </w:p>
              </w:tc>
            </w:tr>
            <w:tr w14:paraId="4859F72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19680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12</w:t>
                  </w:r>
                </w:p>
              </w:tc>
              <w:tc>
                <w:tcPr>
                  <w:tcW w:w="1273" w:type="pct"/>
                  <w:noWrap w:val="0"/>
                  <w:vAlign w:val="center"/>
                </w:tcPr>
                <w:p w14:paraId="6D4BCE6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切割玻璃平台</w:t>
                  </w:r>
                </w:p>
              </w:tc>
              <w:tc>
                <w:tcPr>
                  <w:tcW w:w="1046" w:type="pct"/>
                  <w:noWrap w:val="0"/>
                  <w:vAlign w:val="center"/>
                </w:tcPr>
                <w:p w14:paraId="755D7B6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LX-CJX-05</w:t>
                  </w:r>
                </w:p>
              </w:tc>
              <w:tc>
                <w:tcPr>
                  <w:tcW w:w="427" w:type="pct"/>
                  <w:noWrap w:val="0"/>
                  <w:vAlign w:val="bottom"/>
                </w:tcPr>
                <w:p w14:paraId="034D174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7B9D44D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1404EF5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用于玻璃切割</w:t>
                  </w:r>
                </w:p>
              </w:tc>
            </w:tr>
            <w:tr w14:paraId="7C5A899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DB10C4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13</w:t>
                  </w:r>
                </w:p>
              </w:tc>
              <w:tc>
                <w:tcPr>
                  <w:tcW w:w="1273" w:type="pct"/>
                  <w:noWrap w:val="0"/>
                  <w:vAlign w:val="center"/>
                </w:tcPr>
                <w:p w14:paraId="7C03B8E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千斤顶</w:t>
                  </w:r>
                </w:p>
              </w:tc>
              <w:tc>
                <w:tcPr>
                  <w:tcW w:w="1046" w:type="pct"/>
                  <w:noWrap w:val="0"/>
                  <w:vAlign w:val="center"/>
                </w:tcPr>
                <w:p w14:paraId="6D31145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QD8084</w:t>
                  </w:r>
                </w:p>
              </w:tc>
              <w:tc>
                <w:tcPr>
                  <w:tcW w:w="427" w:type="pct"/>
                  <w:noWrap w:val="0"/>
                  <w:vAlign w:val="bottom"/>
                </w:tcPr>
                <w:p w14:paraId="16206DF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4DFD39B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3FF7F7C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拆卸轮胎</w:t>
                  </w:r>
                </w:p>
              </w:tc>
            </w:tr>
            <w:tr w14:paraId="012304F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63843E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14</w:t>
                  </w:r>
                </w:p>
              </w:tc>
              <w:tc>
                <w:tcPr>
                  <w:tcW w:w="1273" w:type="pct"/>
                  <w:noWrap w:val="0"/>
                  <w:vAlign w:val="center"/>
                </w:tcPr>
                <w:p w14:paraId="629A2EE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重型风炮</w:t>
                  </w:r>
                </w:p>
              </w:tc>
              <w:tc>
                <w:tcPr>
                  <w:tcW w:w="1046" w:type="pct"/>
                  <w:noWrap w:val="0"/>
                  <w:vAlign w:val="center"/>
                </w:tcPr>
                <w:p w14:paraId="1C536E0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A10</w:t>
                  </w:r>
                </w:p>
              </w:tc>
              <w:tc>
                <w:tcPr>
                  <w:tcW w:w="427" w:type="pct"/>
                  <w:noWrap w:val="0"/>
                  <w:vAlign w:val="bottom"/>
                </w:tcPr>
                <w:p w14:paraId="45EC7C5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51BEFA1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581E335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拆卸轮胎</w:t>
                  </w:r>
                </w:p>
              </w:tc>
            </w:tr>
            <w:tr w14:paraId="3E478D1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185910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w:t>
                  </w:r>
                </w:p>
              </w:tc>
              <w:tc>
                <w:tcPr>
                  <w:tcW w:w="1273" w:type="pct"/>
                  <w:noWrap w:val="0"/>
                  <w:vAlign w:val="center"/>
                </w:tcPr>
                <w:p w14:paraId="399EEF9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风炮</w:t>
                  </w:r>
                </w:p>
              </w:tc>
              <w:tc>
                <w:tcPr>
                  <w:tcW w:w="1046" w:type="pct"/>
                  <w:noWrap w:val="0"/>
                  <w:vAlign w:val="center"/>
                </w:tcPr>
                <w:p w14:paraId="25511FD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990</w:t>
                  </w:r>
                </w:p>
              </w:tc>
              <w:tc>
                <w:tcPr>
                  <w:tcW w:w="427" w:type="pct"/>
                  <w:noWrap w:val="0"/>
                  <w:vAlign w:val="bottom"/>
                </w:tcPr>
                <w:p w14:paraId="5C75339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050915A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center"/>
                </w:tcPr>
                <w:p w14:paraId="3344210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拆卸螺栓</w:t>
                  </w:r>
                </w:p>
              </w:tc>
            </w:tr>
            <w:tr w14:paraId="30B200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210342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16</w:t>
                  </w:r>
                </w:p>
              </w:tc>
              <w:tc>
                <w:tcPr>
                  <w:tcW w:w="1273" w:type="pct"/>
                  <w:noWrap w:val="0"/>
                  <w:vAlign w:val="center"/>
                </w:tcPr>
                <w:p w14:paraId="7A1D0CC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风炮</w:t>
                  </w:r>
                </w:p>
              </w:tc>
              <w:tc>
                <w:tcPr>
                  <w:tcW w:w="1046" w:type="pct"/>
                  <w:noWrap w:val="0"/>
                  <w:vAlign w:val="center"/>
                </w:tcPr>
                <w:p w14:paraId="06A8514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780</w:t>
                  </w:r>
                </w:p>
              </w:tc>
              <w:tc>
                <w:tcPr>
                  <w:tcW w:w="427" w:type="pct"/>
                  <w:noWrap w:val="0"/>
                  <w:vAlign w:val="bottom"/>
                </w:tcPr>
                <w:p w14:paraId="00B590A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735BFE4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center"/>
                </w:tcPr>
                <w:p w14:paraId="67A6B26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拆卸螺栓</w:t>
                  </w:r>
                </w:p>
              </w:tc>
            </w:tr>
            <w:tr w14:paraId="1C4993F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EF60ED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17</w:t>
                  </w:r>
                </w:p>
              </w:tc>
              <w:tc>
                <w:tcPr>
                  <w:tcW w:w="1273" w:type="pct"/>
                  <w:noWrap w:val="0"/>
                  <w:vAlign w:val="center"/>
                </w:tcPr>
                <w:p w14:paraId="70FFAD7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工具车</w:t>
                  </w:r>
                </w:p>
              </w:tc>
              <w:tc>
                <w:tcPr>
                  <w:tcW w:w="1046" w:type="pct"/>
                  <w:noWrap w:val="0"/>
                  <w:vAlign w:val="center"/>
                </w:tcPr>
                <w:p w14:paraId="30594FB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2层</w:t>
                  </w:r>
                </w:p>
              </w:tc>
              <w:tc>
                <w:tcPr>
                  <w:tcW w:w="427" w:type="pct"/>
                  <w:noWrap w:val="0"/>
                  <w:vAlign w:val="bottom"/>
                </w:tcPr>
                <w:p w14:paraId="212EA7A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63F9D5D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4777B6B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存放工具</w:t>
                  </w:r>
                </w:p>
              </w:tc>
            </w:tr>
            <w:tr w14:paraId="2728A2D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94D74E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18</w:t>
                  </w:r>
                </w:p>
              </w:tc>
              <w:tc>
                <w:tcPr>
                  <w:tcW w:w="1273" w:type="pct"/>
                  <w:noWrap w:val="0"/>
                  <w:vAlign w:val="center"/>
                </w:tcPr>
                <w:p w14:paraId="68E022D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其它手动拆卸工具</w:t>
                  </w:r>
                </w:p>
              </w:tc>
              <w:tc>
                <w:tcPr>
                  <w:tcW w:w="1046" w:type="pct"/>
                  <w:noWrap w:val="0"/>
                  <w:vAlign w:val="center"/>
                </w:tcPr>
                <w:p w14:paraId="31417D1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28件套</w:t>
                  </w:r>
                </w:p>
              </w:tc>
              <w:tc>
                <w:tcPr>
                  <w:tcW w:w="427" w:type="pct"/>
                  <w:noWrap w:val="0"/>
                  <w:vAlign w:val="bottom"/>
                </w:tcPr>
                <w:p w14:paraId="2128B0C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center"/>
                </w:tcPr>
                <w:p w14:paraId="14DE850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28</w:t>
                  </w:r>
                </w:p>
              </w:tc>
              <w:tc>
                <w:tcPr>
                  <w:tcW w:w="1346" w:type="pct"/>
                  <w:noWrap w:val="0"/>
                  <w:vAlign w:val="center"/>
                </w:tcPr>
                <w:p w14:paraId="6D9CE2D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拆卸各种螺栓</w:t>
                  </w:r>
                </w:p>
              </w:tc>
            </w:tr>
            <w:tr w14:paraId="0AC1537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000" w:type="pct"/>
                  <w:gridSpan w:val="6"/>
                  <w:noWrap w:val="0"/>
                  <w:vAlign w:val="center"/>
                </w:tcPr>
                <w:p w14:paraId="354B68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新能源车预处理设备</w:t>
                  </w:r>
                </w:p>
              </w:tc>
            </w:tr>
            <w:tr w14:paraId="66EFB6B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ADFF31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273" w:type="pct"/>
                  <w:noWrap w:val="0"/>
                  <w:vAlign w:val="center"/>
                </w:tcPr>
                <w:p w14:paraId="57D01BC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绝缘工具</w:t>
                  </w:r>
                </w:p>
              </w:tc>
              <w:tc>
                <w:tcPr>
                  <w:tcW w:w="1046" w:type="pct"/>
                  <w:noWrap w:val="0"/>
                  <w:vAlign w:val="center"/>
                </w:tcPr>
                <w:p w14:paraId="52E2B1A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18件</w:t>
                  </w:r>
                </w:p>
              </w:tc>
              <w:tc>
                <w:tcPr>
                  <w:tcW w:w="427" w:type="pct"/>
                  <w:noWrap w:val="0"/>
                  <w:vAlign w:val="center"/>
                </w:tcPr>
                <w:p w14:paraId="76AA8BC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center"/>
                </w:tcPr>
                <w:p w14:paraId="7A35DB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18</w:t>
                  </w:r>
                </w:p>
              </w:tc>
              <w:tc>
                <w:tcPr>
                  <w:tcW w:w="1346" w:type="pct"/>
                  <w:noWrap w:val="0"/>
                  <w:vAlign w:val="bottom"/>
                </w:tcPr>
                <w:p w14:paraId="427FFB9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拆卸螺栓</w:t>
                  </w:r>
                </w:p>
              </w:tc>
            </w:tr>
            <w:tr w14:paraId="2A02ED24">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82B239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273" w:type="pct"/>
                  <w:noWrap w:val="0"/>
                  <w:vAlign w:val="center"/>
                </w:tcPr>
                <w:p w14:paraId="26624C8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气扳机</w:t>
                  </w:r>
                </w:p>
              </w:tc>
              <w:tc>
                <w:tcPr>
                  <w:tcW w:w="1046" w:type="pct"/>
                  <w:noWrap w:val="0"/>
                  <w:vAlign w:val="center"/>
                </w:tcPr>
                <w:p w14:paraId="7D41F5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318</w:t>
                  </w:r>
                </w:p>
              </w:tc>
              <w:tc>
                <w:tcPr>
                  <w:tcW w:w="427" w:type="pct"/>
                  <w:noWrap w:val="0"/>
                  <w:vAlign w:val="center"/>
                </w:tcPr>
                <w:p w14:paraId="206E7F7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把</w:t>
                  </w:r>
                </w:p>
              </w:tc>
              <w:tc>
                <w:tcPr>
                  <w:tcW w:w="458" w:type="pct"/>
                  <w:noWrap w:val="0"/>
                  <w:vAlign w:val="center"/>
                </w:tcPr>
                <w:p w14:paraId="0E518FE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0D6D83F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拆卸螺栓</w:t>
                  </w:r>
                </w:p>
              </w:tc>
            </w:tr>
            <w:tr w14:paraId="5B5D825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50CEA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1273" w:type="pct"/>
                  <w:noWrap w:val="0"/>
                  <w:vAlign w:val="center"/>
                </w:tcPr>
                <w:p w14:paraId="7005251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气扳机</w:t>
                  </w:r>
                </w:p>
              </w:tc>
              <w:tc>
                <w:tcPr>
                  <w:tcW w:w="1046" w:type="pct"/>
                  <w:noWrap w:val="0"/>
                  <w:vAlign w:val="center"/>
                </w:tcPr>
                <w:p w14:paraId="635007F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316</w:t>
                  </w:r>
                </w:p>
              </w:tc>
              <w:tc>
                <w:tcPr>
                  <w:tcW w:w="427" w:type="pct"/>
                  <w:noWrap w:val="0"/>
                  <w:vAlign w:val="center"/>
                </w:tcPr>
                <w:p w14:paraId="44D7DD4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把</w:t>
                  </w:r>
                </w:p>
              </w:tc>
              <w:tc>
                <w:tcPr>
                  <w:tcW w:w="458" w:type="pct"/>
                  <w:noWrap w:val="0"/>
                  <w:vAlign w:val="center"/>
                </w:tcPr>
                <w:p w14:paraId="631108B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507DB5E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拆卸螺栓</w:t>
                  </w:r>
                </w:p>
              </w:tc>
            </w:tr>
            <w:tr w14:paraId="253FB1E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71F41A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1273" w:type="pct"/>
                  <w:noWrap w:val="0"/>
                  <w:vAlign w:val="center"/>
                </w:tcPr>
                <w:p w14:paraId="08E25B5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电池举升车</w:t>
                  </w:r>
                </w:p>
              </w:tc>
              <w:tc>
                <w:tcPr>
                  <w:tcW w:w="1046" w:type="pct"/>
                  <w:noWrap w:val="0"/>
                  <w:vAlign w:val="center"/>
                </w:tcPr>
                <w:p w14:paraId="3DBE848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1500</w:t>
                  </w:r>
                </w:p>
              </w:tc>
              <w:tc>
                <w:tcPr>
                  <w:tcW w:w="427" w:type="pct"/>
                  <w:noWrap w:val="0"/>
                  <w:vAlign w:val="center"/>
                </w:tcPr>
                <w:p w14:paraId="38A5D51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3D3D114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1C03C0C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动力电池举升</w:t>
                  </w:r>
                </w:p>
              </w:tc>
            </w:tr>
            <w:tr w14:paraId="3DB1DE3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37A16E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1273" w:type="pct"/>
                  <w:noWrap w:val="0"/>
                  <w:vAlign w:val="center"/>
                </w:tcPr>
                <w:p w14:paraId="7107B40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双柱举升机</w:t>
                  </w:r>
                </w:p>
              </w:tc>
              <w:tc>
                <w:tcPr>
                  <w:tcW w:w="1046" w:type="pct"/>
                  <w:noWrap w:val="0"/>
                  <w:vAlign w:val="center"/>
                </w:tcPr>
                <w:p w14:paraId="4F90FEE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3000</w:t>
                  </w:r>
                </w:p>
              </w:tc>
              <w:tc>
                <w:tcPr>
                  <w:tcW w:w="427" w:type="pct"/>
                  <w:noWrap w:val="0"/>
                  <w:vAlign w:val="center"/>
                </w:tcPr>
                <w:p w14:paraId="7C55637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1C625E4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7685705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车辆举升</w:t>
                  </w:r>
                </w:p>
              </w:tc>
            </w:tr>
            <w:tr w14:paraId="07459D3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B86EA2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6</w:t>
                  </w:r>
                </w:p>
              </w:tc>
              <w:tc>
                <w:tcPr>
                  <w:tcW w:w="1273" w:type="pct"/>
                  <w:noWrap w:val="0"/>
                  <w:vAlign w:val="center"/>
                </w:tcPr>
                <w:p w14:paraId="06078F4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绝缘电阻测试仪</w:t>
                  </w:r>
                </w:p>
              </w:tc>
              <w:tc>
                <w:tcPr>
                  <w:tcW w:w="1046" w:type="pct"/>
                  <w:noWrap w:val="0"/>
                  <w:vAlign w:val="center"/>
                </w:tcPr>
                <w:p w14:paraId="32CEF38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VC60F</w:t>
                  </w:r>
                </w:p>
              </w:tc>
              <w:tc>
                <w:tcPr>
                  <w:tcW w:w="427" w:type="pct"/>
                  <w:noWrap w:val="0"/>
                  <w:vAlign w:val="center"/>
                </w:tcPr>
                <w:p w14:paraId="1BB09A7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37DB57A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5DD5961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48AF352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578F56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7</w:t>
                  </w:r>
                </w:p>
              </w:tc>
              <w:tc>
                <w:tcPr>
                  <w:tcW w:w="1273" w:type="pct"/>
                  <w:noWrap w:val="0"/>
                  <w:vAlign w:val="center"/>
                </w:tcPr>
                <w:p w14:paraId="4AE704F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数字万用表</w:t>
                  </w:r>
                </w:p>
              </w:tc>
              <w:tc>
                <w:tcPr>
                  <w:tcW w:w="1046" w:type="pct"/>
                  <w:noWrap w:val="0"/>
                  <w:vAlign w:val="center"/>
                </w:tcPr>
                <w:p w14:paraId="2C4D17F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VC9801A+</w:t>
                  </w:r>
                </w:p>
              </w:tc>
              <w:tc>
                <w:tcPr>
                  <w:tcW w:w="427" w:type="pct"/>
                  <w:noWrap w:val="0"/>
                  <w:vAlign w:val="center"/>
                </w:tcPr>
                <w:p w14:paraId="196A582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551321E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36D8E53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197E2B8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DD3D03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8</w:t>
                  </w:r>
                </w:p>
              </w:tc>
              <w:tc>
                <w:tcPr>
                  <w:tcW w:w="1273" w:type="pct"/>
                  <w:noWrap w:val="0"/>
                  <w:vAlign w:val="center"/>
                </w:tcPr>
                <w:p w14:paraId="7A8DEB4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钳形万用表</w:t>
                  </w:r>
                </w:p>
              </w:tc>
              <w:tc>
                <w:tcPr>
                  <w:tcW w:w="1046" w:type="pct"/>
                  <w:noWrap w:val="0"/>
                  <w:vAlign w:val="center"/>
                </w:tcPr>
                <w:p w14:paraId="73DA1B8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VC6056B</w:t>
                  </w:r>
                </w:p>
              </w:tc>
              <w:tc>
                <w:tcPr>
                  <w:tcW w:w="427" w:type="pct"/>
                  <w:noWrap w:val="0"/>
                  <w:vAlign w:val="center"/>
                </w:tcPr>
                <w:p w14:paraId="11023D6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67BF910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2E2AB2C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49F6562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BFD67E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9</w:t>
                  </w:r>
                </w:p>
              </w:tc>
              <w:tc>
                <w:tcPr>
                  <w:tcW w:w="1273" w:type="pct"/>
                  <w:noWrap w:val="0"/>
                  <w:vAlign w:val="center"/>
                </w:tcPr>
                <w:p w14:paraId="132AA33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红外测温仪</w:t>
                  </w:r>
                </w:p>
              </w:tc>
              <w:tc>
                <w:tcPr>
                  <w:tcW w:w="1046" w:type="pct"/>
                  <w:noWrap w:val="0"/>
                  <w:vAlign w:val="center"/>
                </w:tcPr>
                <w:p w14:paraId="74938FE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VC304C</w:t>
                  </w:r>
                </w:p>
              </w:tc>
              <w:tc>
                <w:tcPr>
                  <w:tcW w:w="427" w:type="pct"/>
                  <w:noWrap w:val="0"/>
                  <w:vAlign w:val="center"/>
                </w:tcPr>
                <w:p w14:paraId="1F54EBF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5BE39D1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4957257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38854CA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5ABC0D2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10</w:t>
                  </w:r>
                </w:p>
              </w:tc>
              <w:tc>
                <w:tcPr>
                  <w:tcW w:w="1273" w:type="pct"/>
                  <w:noWrap w:val="0"/>
                  <w:vAlign w:val="center"/>
                </w:tcPr>
                <w:p w14:paraId="28B1FEC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毫欧表</w:t>
                  </w:r>
                </w:p>
              </w:tc>
              <w:tc>
                <w:tcPr>
                  <w:tcW w:w="1046" w:type="pct"/>
                  <w:noWrap w:val="0"/>
                  <w:vAlign w:val="center"/>
                </w:tcPr>
                <w:p w14:paraId="3CB9802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VC480C+</w:t>
                  </w:r>
                </w:p>
              </w:tc>
              <w:tc>
                <w:tcPr>
                  <w:tcW w:w="427" w:type="pct"/>
                  <w:noWrap w:val="0"/>
                  <w:vAlign w:val="center"/>
                </w:tcPr>
                <w:p w14:paraId="7B5976E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1E51789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032EF73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44FB474E">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37FE3D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11</w:t>
                  </w:r>
                </w:p>
              </w:tc>
              <w:tc>
                <w:tcPr>
                  <w:tcW w:w="1273" w:type="pct"/>
                  <w:noWrap w:val="0"/>
                  <w:vAlign w:val="center"/>
                </w:tcPr>
                <w:p w14:paraId="2BEA4D3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电压和通路测试仪</w:t>
                  </w:r>
                </w:p>
              </w:tc>
              <w:tc>
                <w:tcPr>
                  <w:tcW w:w="1046" w:type="pct"/>
                  <w:noWrap w:val="0"/>
                  <w:vAlign w:val="center"/>
                </w:tcPr>
                <w:p w14:paraId="002F0C9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expert 1000</w:t>
                  </w:r>
                </w:p>
              </w:tc>
              <w:tc>
                <w:tcPr>
                  <w:tcW w:w="427" w:type="pct"/>
                  <w:noWrap w:val="0"/>
                  <w:vAlign w:val="center"/>
                </w:tcPr>
                <w:p w14:paraId="667CBEF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771252F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4FED061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测电用具</w:t>
                  </w:r>
                </w:p>
              </w:tc>
            </w:tr>
            <w:tr w14:paraId="7CBAC81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C9E7C6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12</w:t>
                  </w:r>
                </w:p>
              </w:tc>
              <w:tc>
                <w:tcPr>
                  <w:tcW w:w="1273" w:type="pct"/>
                  <w:noWrap w:val="0"/>
                  <w:vAlign w:val="center"/>
                </w:tcPr>
                <w:p w14:paraId="77D1F4F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卸扣</w:t>
                  </w:r>
                </w:p>
              </w:tc>
              <w:tc>
                <w:tcPr>
                  <w:tcW w:w="1046" w:type="pct"/>
                  <w:noWrap w:val="0"/>
                  <w:vAlign w:val="center"/>
                </w:tcPr>
                <w:p w14:paraId="4F769C3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1寸</w:t>
                  </w:r>
                </w:p>
              </w:tc>
              <w:tc>
                <w:tcPr>
                  <w:tcW w:w="427" w:type="pct"/>
                  <w:noWrap w:val="0"/>
                  <w:vAlign w:val="center"/>
                </w:tcPr>
                <w:p w14:paraId="3F3E0CF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件</w:t>
                  </w:r>
                </w:p>
              </w:tc>
              <w:tc>
                <w:tcPr>
                  <w:tcW w:w="458" w:type="pct"/>
                  <w:noWrap w:val="0"/>
                  <w:vAlign w:val="center"/>
                </w:tcPr>
                <w:p w14:paraId="7DE4AE5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1346" w:type="pct"/>
                  <w:noWrap w:val="0"/>
                  <w:vAlign w:val="bottom"/>
                </w:tcPr>
                <w:p w14:paraId="37D0133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吊装电池用具</w:t>
                  </w:r>
                </w:p>
              </w:tc>
            </w:tr>
            <w:tr w14:paraId="72D369C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167C77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13</w:t>
                  </w:r>
                </w:p>
              </w:tc>
              <w:tc>
                <w:tcPr>
                  <w:tcW w:w="1273" w:type="pct"/>
                  <w:noWrap w:val="0"/>
                  <w:vAlign w:val="center"/>
                </w:tcPr>
                <w:p w14:paraId="2501A36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吊装带</w:t>
                  </w:r>
                </w:p>
              </w:tc>
              <w:tc>
                <w:tcPr>
                  <w:tcW w:w="1046" w:type="pct"/>
                  <w:noWrap w:val="0"/>
                  <w:vAlign w:val="center"/>
                </w:tcPr>
                <w:p w14:paraId="1F65C5E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2t 2米</w:t>
                  </w:r>
                </w:p>
              </w:tc>
              <w:tc>
                <w:tcPr>
                  <w:tcW w:w="427" w:type="pct"/>
                  <w:noWrap w:val="0"/>
                  <w:vAlign w:val="center"/>
                </w:tcPr>
                <w:p w14:paraId="3613847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条</w:t>
                  </w:r>
                </w:p>
              </w:tc>
              <w:tc>
                <w:tcPr>
                  <w:tcW w:w="458" w:type="pct"/>
                  <w:noWrap w:val="0"/>
                  <w:vAlign w:val="center"/>
                </w:tcPr>
                <w:p w14:paraId="242FD03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bottom"/>
                </w:tcPr>
                <w:p w14:paraId="169776A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吊装电池用具</w:t>
                  </w:r>
                </w:p>
              </w:tc>
            </w:tr>
            <w:tr w14:paraId="23347BBB">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82DED5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14</w:t>
                  </w:r>
                </w:p>
              </w:tc>
              <w:tc>
                <w:tcPr>
                  <w:tcW w:w="1273" w:type="pct"/>
                  <w:noWrap w:val="0"/>
                  <w:vAlign w:val="center"/>
                </w:tcPr>
                <w:p w14:paraId="3BA60DD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放电测试仪</w:t>
                  </w:r>
                </w:p>
              </w:tc>
              <w:tc>
                <w:tcPr>
                  <w:tcW w:w="1046" w:type="pct"/>
                  <w:noWrap w:val="0"/>
                  <w:vAlign w:val="center"/>
                </w:tcPr>
                <w:p w14:paraId="1E40075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380V</w:t>
                  </w:r>
                </w:p>
              </w:tc>
              <w:tc>
                <w:tcPr>
                  <w:tcW w:w="427" w:type="pct"/>
                  <w:noWrap w:val="0"/>
                  <w:vAlign w:val="center"/>
                </w:tcPr>
                <w:p w14:paraId="1FE8724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6B3D217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0979848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动力电池放电</w:t>
                  </w:r>
                </w:p>
              </w:tc>
            </w:tr>
            <w:tr w14:paraId="681F830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04C5F4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w:t>
                  </w:r>
                </w:p>
              </w:tc>
              <w:tc>
                <w:tcPr>
                  <w:tcW w:w="1273" w:type="pct"/>
                  <w:noWrap w:val="0"/>
                  <w:vAlign w:val="center"/>
                </w:tcPr>
                <w:p w14:paraId="6AFF443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绝缘救生钩</w:t>
                  </w:r>
                </w:p>
              </w:tc>
              <w:tc>
                <w:tcPr>
                  <w:tcW w:w="1046" w:type="pct"/>
                  <w:noWrap w:val="0"/>
                  <w:vAlign w:val="center"/>
                </w:tcPr>
                <w:p w14:paraId="30ECDD3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2米</w:t>
                  </w:r>
                </w:p>
              </w:tc>
              <w:tc>
                <w:tcPr>
                  <w:tcW w:w="427" w:type="pct"/>
                  <w:noWrap w:val="0"/>
                  <w:vAlign w:val="center"/>
                </w:tcPr>
                <w:p w14:paraId="42E18D8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把</w:t>
                  </w:r>
                </w:p>
              </w:tc>
              <w:tc>
                <w:tcPr>
                  <w:tcW w:w="458" w:type="pct"/>
                  <w:noWrap w:val="0"/>
                  <w:vAlign w:val="center"/>
                </w:tcPr>
                <w:p w14:paraId="1861C4E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bottom"/>
                </w:tcPr>
                <w:p w14:paraId="0EEB7A0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救生用具</w:t>
                  </w:r>
                </w:p>
              </w:tc>
            </w:tr>
            <w:tr w14:paraId="3F605FE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9F7D5B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16</w:t>
                  </w:r>
                </w:p>
              </w:tc>
              <w:tc>
                <w:tcPr>
                  <w:tcW w:w="1273" w:type="pct"/>
                  <w:noWrap w:val="0"/>
                  <w:vAlign w:val="center"/>
                </w:tcPr>
                <w:p w14:paraId="5477468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绝缘护具</w:t>
                  </w:r>
                </w:p>
              </w:tc>
              <w:tc>
                <w:tcPr>
                  <w:tcW w:w="1046" w:type="pct"/>
                  <w:noWrap w:val="0"/>
                  <w:vAlign w:val="center"/>
                </w:tcPr>
                <w:p w14:paraId="262B516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center"/>
                </w:tcPr>
                <w:p w14:paraId="2DBA1F2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center"/>
                </w:tcPr>
                <w:p w14:paraId="6C45698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00D9518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操作人员防护用具</w:t>
                  </w:r>
                </w:p>
              </w:tc>
            </w:tr>
            <w:tr w14:paraId="63CFB039">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339B4A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17</w:t>
                  </w:r>
                </w:p>
              </w:tc>
              <w:tc>
                <w:tcPr>
                  <w:tcW w:w="1273" w:type="pct"/>
                  <w:noWrap w:val="0"/>
                  <w:vAlign w:val="center"/>
                </w:tcPr>
                <w:p w14:paraId="0966A40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电池转运箱</w:t>
                  </w:r>
                </w:p>
              </w:tc>
              <w:tc>
                <w:tcPr>
                  <w:tcW w:w="1046" w:type="pct"/>
                  <w:noWrap w:val="0"/>
                  <w:vAlign w:val="center"/>
                </w:tcPr>
                <w:p w14:paraId="5B427B3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center"/>
                </w:tcPr>
                <w:p w14:paraId="74E41B6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4D20F08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346" w:type="pct"/>
                  <w:noWrap w:val="0"/>
                  <w:vAlign w:val="bottom"/>
                </w:tcPr>
                <w:p w14:paraId="2A26BE4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破损动力电池周转箱</w:t>
                  </w:r>
                </w:p>
              </w:tc>
            </w:tr>
            <w:tr w14:paraId="46A6A072">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1F9253E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18</w:t>
                  </w:r>
                </w:p>
              </w:tc>
              <w:tc>
                <w:tcPr>
                  <w:tcW w:w="1273" w:type="pct"/>
                  <w:noWrap w:val="0"/>
                  <w:vAlign w:val="center"/>
                </w:tcPr>
                <w:p w14:paraId="7F07E62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电池转运托盘</w:t>
                  </w:r>
                </w:p>
              </w:tc>
              <w:tc>
                <w:tcPr>
                  <w:tcW w:w="1046" w:type="pct"/>
                  <w:noWrap w:val="0"/>
                  <w:vAlign w:val="center"/>
                </w:tcPr>
                <w:p w14:paraId="0D9D9FB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1m²</w:t>
                  </w:r>
                </w:p>
              </w:tc>
              <w:tc>
                <w:tcPr>
                  <w:tcW w:w="427" w:type="pct"/>
                  <w:noWrap w:val="0"/>
                  <w:vAlign w:val="center"/>
                </w:tcPr>
                <w:p w14:paraId="512C1D9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个</w:t>
                  </w:r>
                </w:p>
              </w:tc>
              <w:tc>
                <w:tcPr>
                  <w:tcW w:w="458" w:type="pct"/>
                  <w:noWrap w:val="0"/>
                  <w:vAlign w:val="center"/>
                </w:tcPr>
                <w:p w14:paraId="72CA3C1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1346" w:type="pct"/>
                  <w:noWrap w:val="0"/>
                  <w:vAlign w:val="bottom"/>
                </w:tcPr>
                <w:p w14:paraId="6615F6C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动力电池周转用</w:t>
                  </w:r>
                </w:p>
              </w:tc>
            </w:tr>
            <w:tr w14:paraId="469FFF58">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89EDA2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19</w:t>
                  </w:r>
                </w:p>
              </w:tc>
              <w:tc>
                <w:tcPr>
                  <w:tcW w:w="1273" w:type="pct"/>
                  <w:noWrap w:val="0"/>
                  <w:vAlign w:val="center"/>
                </w:tcPr>
                <w:p w14:paraId="009BBAD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工具车</w:t>
                  </w:r>
                </w:p>
              </w:tc>
              <w:tc>
                <w:tcPr>
                  <w:tcW w:w="1046" w:type="pct"/>
                  <w:noWrap w:val="0"/>
                  <w:vAlign w:val="center"/>
                </w:tcPr>
                <w:p w14:paraId="5938CE57">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k2</w:t>
                  </w:r>
                </w:p>
              </w:tc>
              <w:tc>
                <w:tcPr>
                  <w:tcW w:w="427" w:type="pct"/>
                  <w:noWrap w:val="0"/>
                  <w:vAlign w:val="center"/>
                </w:tcPr>
                <w:p w14:paraId="3E7CDE8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辆</w:t>
                  </w:r>
                </w:p>
              </w:tc>
              <w:tc>
                <w:tcPr>
                  <w:tcW w:w="458" w:type="pct"/>
                  <w:noWrap w:val="0"/>
                  <w:vAlign w:val="center"/>
                </w:tcPr>
                <w:p w14:paraId="2BD02B8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5EA2AA0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存放工具</w:t>
                  </w:r>
                </w:p>
              </w:tc>
            </w:tr>
            <w:tr w14:paraId="0A28CF3A">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41C3368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20</w:t>
                  </w:r>
                </w:p>
              </w:tc>
              <w:tc>
                <w:tcPr>
                  <w:tcW w:w="1273" w:type="pct"/>
                  <w:noWrap w:val="0"/>
                  <w:vAlign w:val="center"/>
                </w:tcPr>
                <w:p w14:paraId="3AF14A0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动力电池断电设备</w:t>
                  </w:r>
                </w:p>
              </w:tc>
              <w:tc>
                <w:tcPr>
                  <w:tcW w:w="1046" w:type="pct"/>
                  <w:noWrap w:val="0"/>
                  <w:vAlign w:val="center"/>
                </w:tcPr>
                <w:p w14:paraId="651DB7B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center"/>
                </w:tcPr>
                <w:p w14:paraId="1C73031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center"/>
                </w:tcPr>
                <w:p w14:paraId="2BAEE7E2">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11F9C54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断电设备</w:t>
                  </w:r>
                </w:p>
              </w:tc>
            </w:tr>
            <w:tr w14:paraId="6CC2D7A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23CD728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21</w:t>
                  </w:r>
                </w:p>
              </w:tc>
              <w:tc>
                <w:tcPr>
                  <w:tcW w:w="1273" w:type="pct"/>
                  <w:noWrap w:val="0"/>
                  <w:vAlign w:val="center"/>
                </w:tcPr>
                <w:p w14:paraId="552A2E0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防静电绝缘真空抽油机</w:t>
                  </w:r>
                </w:p>
              </w:tc>
              <w:tc>
                <w:tcPr>
                  <w:tcW w:w="1046" w:type="pct"/>
                  <w:noWrap w:val="0"/>
                  <w:vAlign w:val="center"/>
                </w:tcPr>
                <w:p w14:paraId="5FE0B86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center"/>
                </w:tcPr>
                <w:p w14:paraId="2950AAB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center"/>
                </w:tcPr>
                <w:p w14:paraId="2AFC5EA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center"/>
                </w:tcPr>
                <w:p w14:paraId="4677EF0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抽排设备</w:t>
                  </w:r>
                </w:p>
              </w:tc>
            </w:tr>
            <w:tr w14:paraId="17091313">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5000" w:type="pct"/>
                  <w:gridSpan w:val="6"/>
                  <w:noWrap w:val="0"/>
                  <w:vAlign w:val="center"/>
                </w:tcPr>
                <w:p w14:paraId="209E3C4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其他设备</w:t>
                  </w:r>
                </w:p>
              </w:tc>
            </w:tr>
            <w:tr w14:paraId="12C853CF">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B61393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273" w:type="pct"/>
                  <w:noWrap w:val="0"/>
                  <w:vAlign w:val="bottom"/>
                </w:tcPr>
                <w:p w14:paraId="1C93200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叉车</w:t>
                  </w:r>
                </w:p>
              </w:tc>
              <w:tc>
                <w:tcPr>
                  <w:tcW w:w="1046" w:type="pct"/>
                  <w:noWrap w:val="0"/>
                  <w:vAlign w:val="bottom"/>
                </w:tcPr>
                <w:p w14:paraId="13D62DF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3.5T</w:t>
                  </w:r>
                </w:p>
              </w:tc>
              <w:tc>
                <w:tcPr>
                  <w:tcW w:w="427" w:type="pct"/>
                  <w:noWrap w:val="0"/>
                  <w:vAlign w:val="bottom"/>
                </w:tcPr>
                <w:p w14:paraId="681F39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bottom"/>
                </w:tcPr>
                <w:p w14:paraId="46ED225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3BFCECE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叉报废车及物料</w:t>
                  </w:r>
                </w:p>
              </w:tc>
            </w:tr>
            <w:tr w14:paraId="4202951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229169E">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1273" w:type="pct"/>
                  <w:noWrap w:val="0"/>
                  <w:vAlign w:val="bottom"/>
                </w:tcPr>
                <w:p w14:paraId="3031D95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拖车</w:t>
                  </w:r>
                </w:p>
              </w:tc>
              <w:tc>
                <w:tcPr>
                  <w:tcW w:w="1046" w:type="pct"/>
                  <w:noWrap w:val="0"/>
                  <w:vAlign w:val="bottom"/>
                </w:tcPr>
                <w:p w14:paraId="2974BA4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2T</w:t>
                  </w:r>
                </w:p>
              </w:tc>
              <w:tc>
                <w:tcPr>
                  <w:tcW w:w="427" w:type="pct"/>
                  <w:noWrap w:val="0"/>
                  <w:vAlign w:val="bottom"/>
                </w:tcPr>
                <w:p w14:paraId="5EB1FCB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bottom"/>
                </w:tcPr>
                <w:p w14:paraId="63BB744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2CADBBC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报废车辆拖运</w:t>
                  </w:r>
                </w:p>
              </w:tc>
            </w:tr>
            <w:tr w14:paraId="4288EFA6">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6DB33F8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1273" w:type="pct"/>
                  <w:noWrap w:val="0"/>
                  <w:vAlign w:val="bottom"/>
                </w:tcPr>
                <w:p w14:paraId="2978ED75">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电子磅</w:t>
                  </w:r>
                </w:p>
              </w:tc>
              <w:tc>
                <w:tcPr>
                  <w:tcW w:w="1046" w:type="pct"/>
                  <w:noWrap w:val="0"/>
                  <w:vAlign w:val="bottom"/>
                </w:tcPr>
                <w:p w14:paraId="099960E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120T</w:t>
                  </w:r>
                </w:p>
              </w:tc>
              <w:tc>
                <w:tcPr>
                  <w:tcW w:w="427" w:type="pct"/>
                  <w:noWrap w:val="0"/>
                  <w:vAlign w:val="bottom"/>
                </w:tcPr>
                <w:p w14:paraId="71F6E68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bottom"/>
                </w:tcPr>
                <w:p w14:paraId="73D2785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1622234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物料称重</w:t>
                  </w:r>
                </w:p>
              </w:tc>
            </w:tr>
            <w:tr w14:paraId="73A2E75D">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007C9F3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1273" w:type="pct"/>
                  <w:noWrap w:val="0"/>
                  <w:vAlign w:val="bottom"/>
                </w:tcPr>
                <w:p w14:paraId="3139288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车壳打包机</w:t>
                  </w:r>
                </w:p>
              </w:tc>
              <w:tc>
                <w:tcPr>
                  <w:tcW w:w="1046" w:type="pct"/>
                  <w:noWrap w:val="0"/>
                  <w:vAlign w:val="bottom"/>
                </w:tcPr>
                <w:p w14:paraId="6F01AEBC">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LX-315</w:t>
                  </w:r>
                </w:p>
              </w:tc>
              <w:tc>
                <w:tcPr>
                  <w:tcW w:w="427" w:type="pct"/>
                  <w:noWrap w:val="0"/>
                  <w:vAlign w:val="bottom"/>
                </w:tcPr>
                <w:p w14:paraId="38BD893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台</w:t>
                  </w:r>
                </w:p>
              </w:tc>
              <w:tc>
                <w:tcPr>
                  <w:tcW w:w="458" w:type="pct"/>
                  <w:noWrap w:val="0"/>
                  <w:vAlign w:val="bottom"/>
                </w:tcPr>
                <w:p w14:paraId="4746FAA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746320B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用于车壳压块</w:t>
                  </w:r>
                </w:p>
              </w:tc>
            </w:tr>
            <w:tr w14:paraId="5511DA01">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8754A0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1273" w:type="pct"/>
                  <w:noWrap w:val="0"/>
                  <w:vAlign w:val="bottom"/>
                </w:tcPr>
                <w:p w14:paraId="68564D8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集气罩</w:t>
                  </w:r>
                </w:p>
              </w:tc>
              <w:tc>
                <w:tcPr>
                  <w:tcW w:w="1046" w:type="pct"/>
                  <w:noWrap w:val="0"/>
                  <w:vAlign w:val="bottom"/>
                </w:tcPr>
                <w:p w14:paraId="21789706">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bottom"/>
                </w:tcPr>
                <w:p w14:paraId="567A7FF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bottom"/>
                </w:tcPr>
                <w:p w14:paraId="23995DF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1346" w:type="pct"/>
                  <w:noWrap w:val="0"/>
                  <w:vAlign w:val="bottom"/>
                </w:tcPr>
                <w:p w14:paraId="687CFEA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r>
            <w:tr w14:paraId="31D0AAA7">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73CE685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6</w:t>
                  </w:r>
                </w:p>
              </w:tc>
              <w:tc>
                <w:tcPr>
                  <w:tcW w:w="1273" w:type="pct"/>
                  <w:noWrap w:val="0"/>
                  <w:vAlign w:val="bottom"/>
                </w:tcPr>
                <w:p w14:paraId="0551A18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袋式除尘器</w:t>
                  </w:r>
                </w:p>
              </w:tc>
              <w:tc>
                <w:tcPr>
                  <w:tcW w:w="1046" w:type="pct"/>
                  <w:noWrap w:val="0"/>
                  <w:vAlign w:val="bottom"/>
                </w:tcPr>
                <w:p w14:paraId="26E4B9F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bottom"/>
                </w:tcPr>
                <w:p w14:paraId="7E7E45A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bottom"/>
                </w:tcPr>
                <w:p w14:paraId="3E2F877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3A4DFD50">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用于收集灰尘</w:t>
                  </w:r>
                </w:p>
              </w:tc>
            </w:tr>
            <w:tr w14:paraId="6929EA7C">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448" w:type="pct"/>
                  <w:noWrap w:val="0"/>
                  <w:vAlign w:val="center"/>
                </w:tcPr>
                <w:p w14:paraId="382C9669">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7</w:t>
                  </w:r>
                </w:p>
              </w:tc>
              <w:tc>
                <w:tcPr>
                  <w:tcW w:w="1273" w:type="pct"/>
                  <w:noWrap w:val="0"/>
                  <w:vAlign w:val="bottom"/>
                </w:tcPr>
                <w:p w14:paraId="78CD3D71">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活性炭吸附</w:t>
                  </w:r>
                </w:p>
              </w:tc>
              <w:tc>
                <w:tcPr>
                  <w:tcW w:w="1046" w:type="pct"/>
                  <w:noWrap w:val="0"/>
                  <w:vAlign w:val="bottom"/>
                </w:tcPr>
                <w:p w14:paraId="5992479D">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w:t>
                  </w:r>
                </w:p>
              </w:tc>
              <w:tc>
                <w:tcPr>
                  <w:tcW w:w="427" w:type="pct"/>
                  <w:noWrap w:val="0"/>
                  <w:vAlign w:val="bottom"/>
                </w:tcPr>
                <w:p w14:paraId="7982614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套</w:t>
                  </w:r>
                </w:p>
              </w:tc>
              <w:tc>
                <w:tcPr>
                  <w:tcW w:w="458" w:type="pct"/>
                  <w:noWrap w:val="0"/>
                  <w:vAlign w:val="bottom"/>
                </w:tcPr>
                <w:p w14:paraId="5E9AC67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1346" w:type="pct"/>
                  <w:noWrap w:val="0"/>
                  <w:vAlign w:val="bottom"/>
                </w:tcPr>
                <w:p w14:paraId="7F0219E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用于吸收VOCs</w:t>
                  </w:r>
                </w:p>
              </w:tc>
            </w:tr>
          </w:tbl>
          <w:p w14:paraId="23E85067">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rPr>
            </w:pPr>
            <w:r>
              <w:rPr>
                <w:rFonts w:hint="eastAsia" w:ascii="Times New Roman" w:hAnsi="Times New Roman" w:eastAsia="宋体" w:cs="Times New Roman"/>
                <w:color w:val="auto"/>
                <w:spacing w:val="-2"/>
                <w:kern w:val="2"/>
                <w:sz w:val="24"/>
                <w:szCs w:val="24"/>
                <w:lang w:val="en-US" w:eastAsia="zh-CN"/>
              </w:rPr>
              <w:t>（4）主要原辅材料种类及用量</w:t>
            </w:r>
          </w:p>
          <w:p w14:paraId="22A3805A">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rPr>
            </w:pPr>
            <w:r>
              <w:rPr>
                <w:rFonts w:hint="eastAsia" w:ascii="Times New Roman" w:hAnsi="Times New Roman" w:eastAsia="宋体" w:cs="Times New Roman"/>
                <w:color w:val="auto"/>
                <w:spacing w:val="-2"/>
                <w:kern w:val="2"/>
                <w:sz w:val="24"/>
                <w:szCs w:val="24"/>
                <w:lang w:val="en-US" w:eastAsia="zh-CN"/>
              </w:rPr>
              <w:t>本项目为废旧汽车拆解项目，其原材料为报废的汽车，项目汽车拆解能力为1.5万辆/年，</w:t>
            </w:r>
            <w:r>
              <w:rPr>
                <w:rFonts w:hint="eastAsia" w:ascii="Times New Roman" w:hAnsi="Times New Roman" w:eastAsia="宋体" w:cs="Times New Roman"/>
                <w:b w:val="0"/>
                <w:bCs/>
                <w:color w:val="auto"/>
                <w:sz w:val="24"/>
                <w:highlight w:val="none"/>
                <w:u w:val="none"/>
                <w:lang w:val="en-US" w:eastAsia="zh-CN"/>
              </w:rPr>
              <w:t>其中普通燃油小型车1万辆、新能源轿车0.3万辆、普通燃油中型车（中型客车、中型货车）0.1万辆、普通燃油大型车（大型客车、大型货车）0.1万辆）</w:t>
            </w:r>
            <w:r>
              <w:rPr>
                <w:rFonts w:hint="eastAsia" w:ascii="Times New Roman" w:hAnsi="Times New Roman" w:eastAsia="宋体" w:cs="Times New Roman"/>
                <w:color w:val="auto"/>
                <w:spacing w:val="-2"/>
                <w:kern w:val="2"/>
                <w:sz w:val="24"/>
                <w:szCs w:val="24"/>
                <w:lang w:val="en-US" w:eastAsia="zh-CN"/>
              </w:rPr>
              <w:t>。本工程的主要原辅材料详见表2-3。</w:t>
            </w:r>
          </w:p>
          <w:p w14:paraId="56BD65F7">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color w:val="auto"/>
                <w:sz w:val="21"/>
                <w:szCs w:val="21"/>
                <w:u w:val="none"/>
              </w:rPr>
            </w:pPr>
            <w:r>
              <w:rPr>
                <w:rFonts w:hint="default" w:ascii="Times New Roman" w:hAnsi="Times New Roman" w:eastAsia="宋体" w:cs="Times New Roman"/>
                <w:b/>
                <w:color w:val="auto"/>
                <w:sz w:val="21"/>
                <w:szCs w:val="21"/>
                <w:u w:val="none"/>
              </w:rPr>
              <w:t>表</w:t>
            </w:r>
            <w:r>
              <w:rPr>
                <w:rFonts w:hint="default" w:ascii="Times New Roman" w:hAnsi="Times New Roman" w:eastAsia="宋体" w:cs="Times New Roman"/>
                <w:b/>
                <w:color w:val="auto"/>
                <w:sz w:val="21"/>
                <w:szCs w:val="21"/>
                <w:u w:val="none"/>
                <w:lang w:val="en-US" w:eastAsia="zh-CN"/>
              </w:rPr>
              <w:t>2-3</w:t>
            </w:r>
            <w:r>
              <w:rPr>
                <w:rFonts w:hint="default" w:ascii="Times New Roman" w:hAnsi="Times New Roman" w:eastAsia="宋体" w:cs="Times New Roman"/>
                <w:b/>
                <w:color w:val="auto"/>
                <w:sz w:val="21"/>
                <w:szCs w:val="21"/>
                <w:u w:val="none"/>
              </w:rPr>
              <w:t xml:space="preserve">  主要</w:t>
            </w:r>
            <w:r>
              <w:rPr>
                <w:rFonts w:hint="default" w:ascii="Times New Roman" w:hAnsi="Times New Roman" w:eastAsia="宋体" w:cs="Times New Roman"/>
                <w:b/>
                <w:bCs/>
                <w:color w:val="auto"/>
                <w:sz w:val="21"/>
                <w:szCs w:val="21"/>
                <w:u w:val="none"/>
              </w:rPr>
              <w:t>原辅材料</w:t>
            </w:r>
            <w:r>
              <w:rPr>
                <w:rFonts w:hint="default" w:ascii="Times New Roman" w:hAnsi="Times New Roman" w:eastAsia="宋体" w:cs="Times New Roman"/>
                <w:b/>
                <w:bCs/>
                <w:color w:val="auto"/>
                <w:sz w:val="21"/>
                <w:szCs w:val="21"/>
                <w:u w:val="none"/>
                <w:lang w:val="en-US" w:eastAsia="zh-CN"/>
              </w:rPr>
              <w:t>一览</w:t>
            </w:r>
            <w:r>
              <w:rPr>
                <w:rFonts w:hint="default" w:ascii="Times New Roman" w:hAnsi="Times New Roman" w:eastAsia="宋体" w:cs="Times New Roman"/>
                <w:b/>
                <w:color w:val="auto"/>
                <w:sz w:val="21"/>
                <w:szCs w:val="21"/>
                <w:u w:val="none"/>
              </w:rPr>
              <w:t>表</w:t>
            </w:r>
          </w:p>
          <w:tbl>
            <w:tblPr>
              <w:tblStyle w:val="11"/>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070"/>
              <w:gridCol w:w="1005"/>
              <w:gridCol w:w="1312"/>
              <w:gridCol w:w="1342"/>
              <w:gridCol w:w="1248"/>
              <w:gridCol w:w="1577"/>
            </w:tblGrid>
            <w:tr w14:paraId="35B068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1" w:type="pct"/>
                  <w:tcBorders>
                    <w:tl2br w:val="nil"/>
                    <w:tr2bl w:val="nil"/>
                  </w:tcBorders>
                  <w:noWrap w:val="0"/>
                  <w:vAlign w:val="center"/>
                </w:tcPr>
                <w:p w14:paraId="62166F38">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序号</w:t>
                  </w:r>
                </w:p>
              </w:tc>
              <w:tc>
                <w:tcPr>
                  <w:tcW w:w="2039" w:type="pct"/>
                  <w:gridSpan w:val="3"/>
                  <w:tcBorders>
                    <w:tl2br w:val="nil"/>
                    <w:tr2bl w:val="nil"/>
                  </w:tcBorders>
                  <w:noWrap w:val="0"/>
                  <w:vAlign w:val="center"/>
                </w:tcPr>
                <w:p w14:paraId="31E9BD63">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报废车型</w:t>
                  </w:r>
                </w:p>
              </w:tc>
              <w:tc>
                <w:tcPr>
                  <w:tcW w:w="808" w:type="pct"/>
                  <w:tcBorders>
                    <w:tl2br w:val="nil"/>
                    <w:tr2bl w:val="nil"/>
                  </w:tcBorders>
                  <w:noWrap w:val="0"/>
                  <w:vAlign w:val="center"/>
                </w:tcPr>
                <w:p w14:paraId="17627B7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数量（辆/a）</w:t>
                  </w:r>
                </w:p>
              </w:tc>
              <w:tc>
                <w:tcPr>
                  <w:tcW w:w="751" w:type="pct"/>
                  <w:tcBorders>
                    <w:tl2br w:val="nil"/>
                    <w:tr2bl w:val="nil"/>
                  </w:tcBorders>
                  <w:noWrap w:val="0"/>
                  <w:vAlign w:val="center"/>
                </w:tcPr>
                <w:p w14:paraId="52B4957D">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重量（t）</w:t>
                  </w:r>
                </w:p>
              </w:tc>
              <w:tc>
                <w:tcPr>
                  <w:tcW w:w="949" w:type="pct"/>
                  <w:tcBorders>
                    <w:tl2br w:val="nil"/>
                    <w:tr2bl w:val="nil"/>
                  </w:tcBorders>
                  <w:noWrap w:val="0"/>
                  <w:vAlign w:val="center"/>
                </w:tcPr>
                <w:p w14:paraId="2FC7193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备注</w:t>
                  </w:r>
                </w:p>
              </w:tc>
            </w:tr>
            <w:tr w14:paraId="19F9D4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1" w:type="pct"/>
                  <w:tcBorders>
                    <w:tl2br w:val="nil"/>
                    <w:tr2bl w:val="nil"/>
                  </w:tcBorders>
                  <w:noWrap w:val="0"/>
                  <w:vAlign w:val="center"/>
                </w:tcPr>
                <w:p w14:paraId="0AC828C9">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w:t>
                  </w:r>
                </w:p>
              </w:tc>
              <w:tc>
                <w:tcPr>
                  <w:tcW w:w="644" w:type="pct"/>
                  <w:vMerge w:val="restart"/>
                  <w:tcBorders>
                    <w:tl2br w:val="nil"/>
                    <w:tr2bl w:val="nil"/>
                  </w:tcBorders>
                  <w:noWrap w:val="0"/>
                  <w:vAlign w:val="center"/>
                </w:tcPr>
                <w:p w14:paraId="272DD37C">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报废传统燃油机动车</w:t>
                  </w:r>
                </w:p>
              </w:tc>
              <w:tc>
                <w:tcPr>
                  <w:tcW w:w="1395" w:type="pct"/>
                  <w:gridSpan w:val="2"/>
                  <w:tcBorders>
                    <w:tl2br w:val="nil"/>
                    <w:tr2bl w:val="nil"/>
                  </w:tcBorders>
                  <w:noWrap w:val="0"/>
                  <w:vAlign w:val="center"/>
                </w:tcPr>
                <w:p w14:paraId="32F6AC33">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小车</w:t>
                  </w:r>
                </w:p>
              </w:tc>
              <w:tc>
                <w:tcPr>
                  <w:tcW w:w="808" w:type="pct"/>
                  <w:tcBorders>
                    <w:tl2br w:val="nil"/>
                    <w:tr2bl w:val="nil"/>
                  </w:tcBorders>
                  <w:noWrap w:val="0"/>
                  <w:vAlign w:val="center"/>
                </w:tcPr>
                <w:p w14:paraId="05C4870F">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10000</w:t>
                  </w:r>
                </w:p>
              </w:tc>
              <w:tc>
                <w:tcPr>
                  <w:tcW w:w="751" w:type="pct"/>
                  <w:tcBorders>
                    <w:tl2br w:val="nil"/>
                    <w:tr2bl w:val="nil"/>
                  </w:tcBorders>
                  <w:noWrap w:val="0"/>
                  <w:vAlign w:val="center"/>
                </w:tcPr>
                <w:p w14:paraId="54B62E6A">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14000</w:t>
                  </w:r>
                </w:p>
              </w:tc>
              <w:tc>
                <w:tcPr>
                  <w:tcW w:w="949" w:type="pct"/>
                  <w:tcBorders>
                    <w:tl2br w:val="nil"/>
                    <w:tr2bl w:val="nil"/>
                  </w:tcBorders>
                  <w:noWrap w:val="0"/>
                  <w:vAlign w:val="center"/>
                </w:tcPr>
                <w:p w14:paraId="159506EA">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按1.4t/辆计</w:t>
                  </w:r>
                </w:p>
              </w:tc>
            </w:tr>
            <w:tr w14:paraId="43FC02A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51" w:type="pct"/>
                  <w:vMerge w:val="restart"/>
                  <w:tcBorders>
                    <w:tl2br w:val="nil"/>
                    <w:tr2bl w:val="nil"/>
                  </w:tcBorders>
                  <w:noWrap w:val="0"/>
                  <w:vAlign w:val="center"/>
                </w:tcPr>
                <w:p w14:paraId="63E2FA8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2</w:t>
                  </w:r>
                </w:p>
              </w:tc>
              <w:tc>
                <w:tcPr>
                  <w:tcW w:w="644" w:type="pct"/>
                  <w:vMerge w:val="continue"/>
                  <w:tcBorders>
                    <w:tl2br w:val="nil"/>
                    <w:tr2bl w:val="nil"/>
                  </w:tcBorders>
                  <w:noWrap w:val="0"/>
                  <w:vAlign w:val="center"/>
                </w:tcPr>
                <w:p w14:paraId="25899518">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p>
              </w:tc>
              <w:tc>
                <w:tcPr>
                  <w:tcW w:w="605" w:type="pct"/>
                  <w:vMerge w:val="restart"/>
                  <w:tcBorders>
                    <w:tl2br w:val="nil"/>
                    <w:tr2bl w:val="nil"/>
                  </w:tcBorders>
                  <w:noWrap w:val="0"/>
                  <w:vAlign w:val="center"/>
                </w:tcPr>
                <w:p w14:paraId="2324071D">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rPr>
                    <w:t>中型车</w:t>
                  </w:r>
                </w:p>
              </w:tc>
              <w:tc>
                <w:tcPr>
                  <w:tcW w:w="790" w:type="pct"/>
                  <w:tcBorders>
                    <w:tl2br w:val="nil"/>
                    <w:tr2bl w:val="nil"/>
                  </w:tcBorders>
                  <w:noWrap w:val="0"/>
                  <w:vAlign w:val="center"/>
                </w:tcPr>
                <w:p w14:paraId="56B7892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rPr>
                    <w:t>货车</w:t>
                  </w:r>
                </w:p>
              </w:tc>
              <w:tc>
                <w:tcPr>
                  <w:tcW w:w="808" w:type="pct"/>
                  <w:tcBorders>
                    <w:tl2br w:val="nil"/>
                    <w:tr2bl w:val="nil"/>
                  </w:tcBorders>
                  <w:noWrap w:val="0"/>
                  <w:vAlign w:val="center"/>
                </w:tcPr>
                <w:p w14:paraId="621DF7D4">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500</w:t>
                  </w:r>
                </w:p>
              </w:tc>
              <w:tc>
                <w:tcPr>
                  <w:tcW w:w="751" w:type="pct"/>
                  <w:tcBorders>
                    <w:tl2br w:val="nil"/>
                    <w:tr2bl w:val="nil"/>
                  </w:tcBorders>
                  <w:noWrap w:val="0"/>
                  <w:vAlign w:val="center"/>
                </w:tcPr>
                <w:p w14:paraId="38EA1A0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3000</w:t>
                  </w:r>
                </w:p>
              </w:tc>
              <w:tc>
                <w:tcPr>
                  <w:tcW w:w="949" w:type="pct"/>
                  <w:tcBorders>
                    <w:tl2br w:val="nil"/>
                    <w:tr2bl w:val="nil"/>
                  </w:tcBorders>
                  <w:noWrap w:val="0"/>
                  <w:vAlign w:val="center"/>
                </w:tcPr>
                <w:p w14:paraId="785ABFB3">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按8.0t/辆计</w:t>
                  </w:r>
                </w:p>
              </w:tc>
            </w:tr>
            <w:tr w14:paraId="79C6E3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51" w:type="pct"/>
                  <w:vMerge w:val="continue"/>
                  <w:tcBorders>
                    <w:tl2br w:val="nil"/>
                    <w:tr2bl w:val="nil"/>
                  </w:tcBorders>
                  <w:noWrap w:val="0"/>
                  <w:vAlign w:val="center"/>
                </w:tcPr>
                <w:p w14:paraId="331FA1A6">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644" w:type="pct"/>
                  <w:vMerge w:val="continue"/>
                  <w:tcBorders>
                    <w:tl2br w:val="nil"/>
                    <w:tr2bl w:val="nil"/>
                  </w:tcBorders>
                  <w:noWrap w:val="0"/>
                  <w:vAlign w:val="center"/>
                </w:tcPr>
                <w:p w14:paraId="3F047A58">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605" w:type="pct"/>
                  <w:vMerge w:val="continue"/>
                  <w:tcBorders>
                    <w:tl2br w:val="nil"/>
                    <w:tr2bl w:val="nil"/>
                  </w:tcBorders>
                  <w:noWrap w:val="0"/>
                  <w:vAlign w:val="center"/>
                </w:tcPr>
                <w:p w14:paraId="38353C8B">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790" w:type="pct"/>
                  <w:tcBorders>
                    <w:tl2br w:val="nil"/>
                    <w:tr2bl w:val="nil"/>
                  </w:tcBorders>
                  <w:noWrap w:val="0"/>
                  <w:vAlign w:val="center"/>
                </w:tcPr>
                <w:p w14:paraId="56DACE8F">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rPr>
                    <w:t>客车</w:t>
                  </w:r>
                </w:p>
              </w:tc>
              <w:tc>
                <w:tcPr>
                  <w:tcW w:w="808" w:type="pct"/>
                  <w:tcBorders>
                    <w:tl2br w:val="nil"/>
                    <w:tr2bl w:val="nil"/>
                  </w:tcBorders>
                  <w:noWrap w:val="0"/>
                  <w:vAlign w:val="center"/>
                </w:tcPr>
                <w:p w14:paraId="2D97FCF9">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lang w:val="en-US" w:eastAsia="zh-CN"/>
                    </w:rPr>
                    <w:t>500</w:t>
                  </w:r>
                </w:p>
              </w:tc>
              <w:tc>
                <w:tcPr>
                  <w:tcW w:w="751" w:type="pct"/>
                  <w:tcBorders>
                    <w:tl2br w:val="nil"/>
                    <w:tr2bl w:val="nil"/>
                  </w:tcBorders>
                  <w:noWrap w:val="0"/>
                  <w:vAlign w:val="center"/>
                </w:tcPr>
                <w:p w14:paraId="2679FCE8">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4000</w:t>
                  </w:r>
                </w:p>
              </w:tc>
              <w:tc>
                <w:tcPr>
                  <w:tcW w:w="949" w:type="pct"/>
                  <w:tcBorders>
                    <w:tl2br w:val="nil"/>
                    <w:tr2bl w:val="nil"/>
                  </w:tcBorders>
                  <w:noWrap w:val="0"/>
                  <w:vAlign w:val="center"/>
                </w:tcPr>
                <w:p w14:paraId="65FCECDC">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lang w:val="en-US" w:eastAsia="zh-CN"/>
                    </w:rPr>
                    <w:t>按6.0t/辆计</w:t>
                  </w:r>
                </w:p>
              </w:tc>
            </w:tr>
            <w:tr w14:paraId="01083CD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51" w:type="pct"/>
                  <w:vMerge w:val="restart"/>
                  <w:tcBorders>
                    <w:tl2br w:val="nil"/>
                    <w:tr2bl w:val="nil"/>
                  </w:tcBorders>
                  <w:noWrap w:val="0"/>
                  <w:vAlign w:val="center"/>
                </w:tcPr>
                <w:p w14:paraId="58E985B9">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w:t>
                  </w:r>
                </w:p>
              </w:tc>
              <w:tc>
                <w:tcPr>
                  <w:tcW w:w="644" w:type="pct"/>
                  <w:vMerge w:val="continue"/>
                  <w:tcBorders>
                    <w:tl2br w:val="nil"/>
                    <w:tr2bl w:val="nil"/>
                  </w:tcBorders>
                  <w:noWrap w:val="0"/>
                  <w:vAlign w:val="center"/>
                </w:tcPr>
                <w:p w14:paraId="25A03C03">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p>
              </w:tc>
              <w:tc>
                <w:tcPr>
                  <w:tcW w:w="605" w:type="pct"/>
                  <w:vMerge w:val="restart"/>
                  <w:tcBorders>
                    <w:tl2br w:val="nil"/>
                    <w:tr2bl w:val="nil"/>
                  </w:tcBorders>
                  <w:noWrap w:val="0"/>
                  <w:vAlign w:val="center"/>
                </w:tcPr>
                <w:p w14:paraId="1806247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rPr>
                    <w:t>大型车</w:t>
                  </w:r>
                </w:p>
              </w:tc>
              <w:tc>
                <w:tcPr>
                  <w:tcW w:w="790" w:type="pct"/>
                  <w:tcBorders>
                    <w:tl2br w:val="nil"/>
                    <w:tr2bl w:val="nil"/>
                  </w:tcBorders>
                  <w:noWrap w:val="0"/>
                  <w:vAlign w:val="center"/>
                </w:tcPr>
                <w:p w14:paraId="6059897F">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rPr>
                    <w:t>货车</w:t>
                  </w:r>
                </w:p>
              </w:tc>
              <w:tc>
                <w:tcPr>
                  <w:tcW w:w="808" w:type="pct"/>
                  <w:tcBorders>
                    <w:tl2br w:val="nil"/>
                    <w:tr2bl w:val="nil"/>
                  </w:tcBorders>
                  <w:noWrap w:val="0"/>
                  <w:vAlign w:val="center"/>
                </w:tcPr>
                <w:p w14:paraId="05D86F02">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500</w:t>
                  </w:r>
                </w:p>
              </w:tc>
              <w:tc>
                <w:tcPr>
                  <w:tcW w:w="751" w:type="pct"/>
                  <w:tcBorders>
                    <w:tl2br w:val="nil"/>
                    <w:tr2bl w:val="nil"/>
                  </w:tcBorders>
                  <w:noWrap w:val="0"/>
                  <w:vAlign w:val="center"/>
                </w:tcPr>
                <w:p w14:paraId="64941F3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4000</w:t>
                  </w:r>
                </w:p>
              </w:tc>
              <w:tc>
                <w:tcPr>
                  <w:tcW w:w="949" w:type="pct"/>
                  <w:tcBorders>
                    <w:tl2br w:val="nil"/>
                    <w:tr2bl w:val="nil"/>
                  </w:tcBorders>
                  <w:noWrap w:val="0"/>
                  <w:vAlign w:val="center"/>
                </w:tcPr>
                <w:p w14:paraId="20CE9288">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按10.0t/辆计</w:t>
                  </w:r>
                </w:p>
              </w:tc>
            </w:tr>
            <w:tr w14:paraId="3B592A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451" w:type="pct"/>
                  <w:vMerge w:val="continue"/>
                  <w:tcBorders>
                    <w:tl2br w:val="nil"/>
                    <w:tr2bl w:val="nil"/>
                  </w:tcBorders>
                  <w:noWrap w:val="0"/>
                  <w:vAlign w:val="center"/>
                </w:tcPr>
                <w:p w14:paraId="66C4F19C">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644" w:type="pct"/>
                  <w:vMerge w:val="continue"/>
                  <w:tcBorders>
                    <w:tl2br w:val="nil"/>
                    <w:tr2bl w:val="nil"/>
                  </w:tcBorders>
                  <w:noWrap w:val="0"/>
                  <w:vAlign w:val="center"/>
                </w:tcPr>
                <w:p w14:paraId="18447539">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605" w:type="pct"/>
                  <w:vMerge w:val="continue"/>
                  <w:tcBorders>
                    <w:tl2br w:val="nil"/>
                    <w:tr2bl w:val="nil"/>
                  </w:tcBorders>
                  <w:noWrap w:val="0"/>
                  <w:vAlign w:val="center"/>
                </w:tcPr>
                <w:p w14:paraId="74DDAF3A">
                  <w:pPr>
                    <w:widowControl/>
                    <w:adjustRightInd/>
                    <w:snapToGrid/>
                    <w:spacing w:after="0"/>
                    <w:jc w:val="center"/>
                    <w:textAlignment w:val="center"/>
                    <w:rPr>
                      <w:rFonts w:hint="default" w:ascii="Times New Roman" w:hAnsi="Times New Roman" w:eastAsia="宋体" w:cs="Times New Roman"/>
                      <w:bCs/>
                      <w:kern w:val="2"/>
                      <w:sz w:val="21"/>
                      <w:szCs w:val="21"/>
                    </w:rPr>
                  </w:pPr>
                </w:p>
              </w:tc>
              <w:tc>
                <w:tcPr>
                  <w:tcW w:w="790" w:type="pct"/>
                  <w:tcBorders>
                    <w:tl2br w:val="nil"/>
                    <w:tr2bl w:val="nil"/>
                  </w:tcBorders>
                  <w:noWrap w:val="0"/>
                  <w:vAlign w:val="center"/>
                </w:tcPr>
                <w:p w14:paraId="2BE23893">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rPr>
                    <w:t>客车</w:t>
                  </w:r>
                </w:p>
              </w:tc>
              <w:tc>
                <w:tcPr>
                  <w:tcW w:w="808" w:type="pct"/>
                  <w:tcBorders>
                    <w:tl2br w:val="nil"/>
                    <w:tr2bl w:val="nil"/>
                  </w:tcBorders>
                  <w:noWrap w:val="0"/>
                  <w:vAlign w:val="center"/>
                </w:tcPr>
                <w:p w14:paraId="6D97DB31">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lang w:val="en-US" w:eastAsia="zh-CN"/>
                    </w:rPr>
                    <w:t>500</w:t>
                  </w:r>
                </w:p>
              </w:tc>
              <w:tc>
                <w:tcPr>
                  <w:tcW w:w="751" w:type="pct"/>
                  <w:tcBorders>
                    <w:tl2br w:val="nil"/>
                    <w:tr2bl w:val="nil"/>
                  </w:tcBorders>
                  <w:noWrap w:val="0"/>
                  <w:vAlign w:val="center"/>
                </w:tcPr>
                <w:p w14:paraId="419DB2D7">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5000</w:t>
                  </w:r>
                </w:p>
              </w:tc>
              <w:tc>
                <w:tcPr>
                  <w:tcW w:w="949" w:type="pct"/>
                  <w:tcBorders>
                    <w:tl2br w:val="nil"/>
                    <w:tr2bl w:val="nil"/>
                  </w:tcBorders>
                  <w:noWrap w:val="0"/>
                  <w:vAlign w:val="center"/>
                </w:tcPr>
                <w:p w14:paraId="4F967435">
                  <w:pPr>
                    <w:widowControl/>
                    <w:adjustRightInd/>
                    <w:snapToGrid/>
                    <w:spacing w:after="0"/>
                    <w:jc w:val="center"/>
                    <w:textAlignment w:val="center"/>
                    <w:rPr>
                      <w:rFonts w:hint="eastAsia" w:ascii="Times New Roman" w:hAnsi="Times New Roman" w:eastAsia="宋体" w:cs="Times New Roman"/>
                      <w:bCs/>
                      <w:kern w:val="2"/>
                      <w:sz w:val="21"/>
                      <w:szCs w:val="21"/>
                    </w:rPr>
                  </w:pPr>
                  <w:r>
                    <w:rPr>
                      <w:rFonts w:hint="eastAsia" w:ascii="Times New Roman" w:hAnsi="Times New Roman" w:eastAsia="宋体" w:cs="Times New Roman"/>
                      <w:bCs/>
                      <w:kern w:val="2"/>
                      <w:sz w:val="21"/>
                      <w:szCs w:val="21"/>
                      <w:lang w:val="en-US" w:eastAsia="zh-CN"/>
                    </w:rPr>
                    <w:t>按8.0t/辆计</w:t>
                  </w:r>
                </w:p>
              </w:tc>
            </w:tr>
            <w:tr w14:paraId="3FC9710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1" w:type="pct"/>
                  <w:tcBorders>
                    <w:tl2br w:val="nil"/>
                    <w:tr2bl w:val="nil"/>
                  </w:tcBorders>
                  <w:noWrap w:val="0"/>
                  <w:vAlign w:val="center"/>
                </w:tcPr>
                <w:p w14:paraId="37B2D5B1">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4</w:t>
                  </w:r>
                </w:p>
              </w:tc>
              <w:tc>
                <w:tcPr>
                  <w:tcW w:w="644" w:type="pct"/>
                  <w:vMerge w:val="restart"/>
                  <w:tcBorders>
                    <w:tl2br w:val="nil"/>
                    <w:tr2bl w:val="nil"/>
                  </w:tcBorders>
                  <w:noWrap w:val="0"/>
                  <w:vAlign w:val="center"/>
                </w:tcPr>
                <w:p w14:paraId="074C4CFF">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电动汽车</w:t>
                  </w:r>
                </w:p>
              </w:tc>
              <w:tc>
                <w:tcPr>
                  <w:tcW w:w="1395" w:type="pct"/>
                  <w:gridSpan w:val="2"/>
                  <w:tcBorders>
                    <w:tl2br w:val="nil"/>
                    <w:tr2bl w:val="nil"/>
                  </w:tcBorders>
                  <w:noWrap w:val="0"/>
                  <w:vAlign w:val="center"/>
                </w:tcPr>
                <w:p w14:paraId="314E6A7F">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纯电动汽车（小型车）</w:t>
                  </w:r>
                </w:p>
              </w:tc>
              <w:tc>
                <w:tcPr>
                  <w:tcW w:w="808" w:type="pct"/>
                  <w:tcBorders>
                    <w:tl2br w:val="nil"/>
                    <w:tr2bl w:val="nil"/>
                  </w:tcBorders>
                  <w:noWrap w:val="0"/>
                  <w:vAlign w:val="center"/>
                </w:tcPr>
                <w:p w14:paraId="16FD5769">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1500</w:t>
                  </w:r>
                </w:p>
              </w:tc>
              <w:tc>
                <w:tcPr>
                  <w:tcW w:w="751" w:type="pct"/>
                  <w:tcBorders>
                    <w:tl2br w:val="nil"/>
                    <w:tr2bl w:val="nil"/>
                  </w:tcBorders>
                  <w:noWrap w:val="0"/>
                  <w:vAlign w:val="center"/>
                </w:tcPr>
                <w:p w14:paraId="3E047FF6">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3300</w:t>
                  </w:r>
                </w:p>
              </w:tc>
              <w:tc>
                <w:tcPr>
                  <w:tcW w:w="949" w:type="pct"/>
                  <w:vMerge w:val="restart"/>
                  <w:tcBorders>
                    <w:tl2br w:val="nil"/>
                    <w:tr2bl w:val="nil"/>
                  </w:tcBorders>
                  <w:noWrap w:val="0"/>
                  <w:vAlign w:val="center"/>
                </w:tcPr>
                <w:p w14:paraId="2FDA2716">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按2.2t/辆计</w:t>
                  </w:r>
                </w:p>
              </w:tc>
            </w:tr>
            <w:tr w14:paraId="662498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451" w:type="pct"/>
                  <w:tcBorders>
                    <w:tl2br w:val="nil"/>
                    <w:tr2bl w:val="nil"/>
                  </w:tcBorders>
                  <w:noWrap w:val="0"/>
                  <w:vAlign w:val="center"/>
                </w:tcPr>
                <w:p w14:paraId="6D1D021A">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5</w:t>
                  </w:r>
                </w:p>
              </w:tc>
              <w:tc>
                <w:tcPr>
                  <w:tcW w:w="644" w:type="pct"/>
                  <w:vMerge w:val="continue"/>
                  <w:tcBorders>
                    <w:tl2br w:val="nil"/>
                    <w:tr2bl w:val="nil"/>
                  </w:tcBorders>
                  <w:noWrap w:val="0"/>
                  <w:vAlign w:val="center"/>
                </w:tcPr>
                <w:p w14:paraId="344D7A8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p>
              </w:tc>
              <w:tc>
                <w:tcPr>
                  <w:tcW w:w="1395" w:type="pct"/>
                  <w:gridSpan w:val="2"/>
                  <w:tcBorders>
                    <w:tl2br w:val="nil"/>
                    <w:tr2bl w:val="nil"/>
                  </w:tcBorders>
                  <w:noWrap w:val="0"/>
                  <w:vAlign w:val="center"/>
                </w:tcPr>
                <w:p w14:paraId="462BA3BE">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混合动力（小型车）</w:t>
                  </w:r>
                </w:p>
              </w:tc>
              <w:tc>
                <w:tcPr>
                  <w:tcW w:w="808" w:type="pct"/>
                  <w:tcBorders>
                    <w:tl2br w:val="nil"/>
                    <w:tr2bl w:val="nil"/>
                  </w:tcBorders>
                  <w:noWrap w:val="0"/>
                  <w:vAlign w:val="center"/>
                </w:tcPr>
                <w:p w14:paraId="53E8D980">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1500</w:t>
                  </w:r>
                </w:p>
              </w:tc>
              <w:tc>
                <w:tcPr>
                  <w:tcW w:w="751" w:type="pct"/>
                  <w:tcBorders>
                    <w:tl2br w:val="nil"/>
                    <w:tr2bl w:val="nil"/>
                  </w:tcBorders>
                  <w:noWrap w:val="0"/>
                  <w:vAlign w:val="center"/>
                </w:tcPr>
                <w:p w14:paraId="02CE4D59">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3300</w:t>
                  </w:r>
                </w:p>
              </w:tc>
              <w:tc>
                <w:tcPr>
                  <w:tcW w:w="949" w:type="pct"/>
                  <w:vMerge w:val="continue"/>
                  <w:tcBorders>
                    <w:tl2br w:val="nil"/>
                    <w:tr2bl w:val="nil"/>
                  </w:tcBorders>
                  <w:noWrap w:val="0"/>
                  <w:vAlign w:val="center"/>
                </w:tcPr>
                <w:p w14:paraId="1E742C34">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p>
              </w:tc>
            </w:tr>
            <w:tr w14:paraId="773657E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490" w:type="pct"/>
                  <w:gridSpan w:val="4"/>
                  <w:tcBorders>
                    <w:tl2br w:val="nil"/>
                    <w:tr2bl w:val="nil"/>
                  </w:tcBorders>
                  <w:noWrap w:val="0"/>
                  <w:vAlign w:val="center"/>
                </w:tcPr>
                <w:p w14:paraId="19CFE5CD">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合计</w:t>
                  </w:r>
                </w:p>
              </w:tc>
              <w:tc>
                <w:tcPr>
                  <w:tcW w:w="808" w:type="pct"/>
                  <w:tcBorders>
                    <w:tl2br w:val="nil"/>
                    <w:tr2bl w:val="nil"/>
                  </w:tcBorders>
                  <w:noWrap w:val="0"/>
                  <w:vAlign w:val="center"/>
                </w:tcPr>
                <w:p w14:paraId="085514F4">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15000</w:t>
                  </w:r>
                </w:p>
              </w:tc>
              <w:tc>
                <w:tcPr>
                  <w:tcW w:w="751" w:type="pct"/>
                  <w:tcBorders>
                    <w:tl2br w:val="nil"/>
                    <w:tr2bl w:val="nil"/>
                  </w:tcBorders>
                  <w:noWrap w:val="0"/>
                  <w:vAlign w:val="center"/>
                </w:tcPr>
                <w:p w14:paraId="4034E2C1">
                  <w:pPr>
                    <w:widowControl/>
                    <w:adjustRightInd/>
                    <w:snapToGrid/>
                    <w:spacing w:after="0"/>
                    <w:jc w:val="center"/>
                    <w:textAlignment w:val="center"/>
                    <w:rPr>
                      <w:rFonts w:hint="default" w:ascii="Times New Roman" w:hAnsi="Times New Roman" w:eastAsia="宋体" w:cs="Times New Roman"/>
                      <w:bCs/>
                      <w:kern w:val="2"/>
                      <w:sz w:val="21"/>
                      <w:szCs w:val="21"/>
                      <w:lang w:val="en-US" w:eastAsia="zh-CN"/>
                    </w:rPr>
                  </w:pPr>
                  <w:r>
                    <w:rPr>
                      <w:rFonts w:hint="eastAsia" w:ascii="Times New Roman" w:hAnsi="Times New Roman" w:eastAsia="宋体" w:cs="Times New Roman"/>
                      <w:bCs/>
                      <w:kern w:val="2"/>
                      <w:sz w:val="21"/>
                      <w:szCs w:val="21"/>
                      <w:lang w:val="en-US" w:eastAsia="zh-CN"/>
                    </w:rPr>
                    <w:t>36600</w:t>
                  </w:r>
                </w:p>
              </w:tc>
              <w:tc>
                <w:tcPr>
                  <w:tcW w:w="949" w:type="pct"/>
                  <w:tcBorders>
                    <w:tl2br w:val="nil"/>
                    <w:tr2bl w:val="nil"/>
                  </w:tcBorders>
                  <w:noWrap w:val="0"/>
                  <w:vAlign w:val="center"/>
                </w:tcPr>
                <w:p w14:paraId="5C410FAB">
                  <w:pPr>
                    <w:widowControl/>
                    <w:adjustRightInd/>
                    <w:snapToGrid/>
                    <w:spacing w:after="0"/>
                    <w:jc w:val="center"/>
                    <w:textAlignment w:val="center"/>
                    <w:rPr>
                      <w:rFonts w:hint="eastAsia" w:ascii="Times New Roman" w:hAnsi="Times New Roman" w:eastAsia="宋体" w:cs="Times New Roman"/>
                      <w:bCs/>
                      <w:kern w:val="2"/>
                      <w:sz w:val="21"/>
                      <w:szCs w:val="21"/>
                      <w:lang w:val="en-US" w:eastAsia="zh-CN"/>
                    </w:rPr>
                  </w:pPr>
                </w:p>
              </w:tc>
            </w:tr>
          </w:tbl>
          <w:p w14:paraId="61618683">
            <w:pPr>
              <w:widowControl w:val="0"/>
              <w:adjustRightInd w:val="0"/>
              <w:snapToGrid w:val="0"/>
              <w:spacing w:before="120" w:beforeLines="50" w:after="0"/>
              <w:ind w:firstLine="480" w:firstLineChars="200"/>
              <w:jc w:val="both"/>
              <w:rPr>
                <w:rFonts w:hint="eastAsia" w:ascii="Times New Roman" w:hAnsi="Times New Roman" w:eastAsia="宋体" w:cs="Times New Roman"/>
                <w:b/>
                <w:iCs/>
                <w:color w:val="FF0000"/>
                <w:kern w:val="2"/>
                <w:sz w:val="24"/>
                <w:szCs w:val="21"/>
                <w:u w:val="none"/>
              </w:rPr>
            </w:pPr>
            <w:r>
              <w:rPr>
                <w:rFonts w:hint="eastAsia" w:ascii="Times New Roman" w:hAnsi="Times New Roman" w:eastAsia="宋体" w:cs="Times New Roman"/>
                <w:iCs/>
                <w:color w:val="000000"/>
                <w:kern w:val="0"/>
                <w:sz w:val="24"/>
                <w:szCs w:val="24"/>
                <w:u w:val="none"/>
              </w:rPr>
              <w:t>本项目拆解后产物见下表</w:t>
            </w:r>
          </w:p>
          <w:p w14:paraId="650A440F">
            <w:pPr>
              <w:widowControl w:val="0"/>
              <w:adjustRightInd w:val="0"/>
              <w:snapToGrid w:val="0"/>
              <w:spacing w:before="120" w:beforeLines="50" w:after="0"/>
              <w:ind w:firstLine="422" w:firstLineChars="200"/>
              <w:jc w:val="center"/>
              <w:rPr>
                <w:rFonts w:hint="default" w:ascii="Times New Roman" w:hAnsi="Times New Roman" w:eastAsia="宋体" w:cs="Times New Roman"/>
                <w:b/>
                <w:bCs/>
                <w:color w:val="auto"/>
                <w:spacing w:val="-2"/>
                <w:kern w:val="2"/>
                <w:sz w:val="21"/>
                <w:szCs w:val="21"/>
                <w:lang w:val="en-US" w:eastAsia="zh-CN"/>
              </w:rPr>
            </w:pPr>
            <w:r>
              <w:rPr>
                <w:rFonts w:hint="eastAsia" w:ascii="Times New Roman" w:hAnsi="Times New Roman" w:eastAsia="宋体" w:cs="Times New Roman"/>
                <w:b/>
                <w:iCs/>
                <w:kern w:val="2"/>
                <w:sz w:val="21"/>
                <w:szCs w:val="21"/>
                <w:u w:val="none"/>
              </w:rPr>
              <w:t>表</w:t>
            </w:r>
            <w:r>
              <w:rPr>
                <w:rFonts w:hint="eastAsia" w:ascii="Times New Roman" w:hAnsi="Times New Roman" w:eastAsia="宋体" w:cs="Times New Roman"/>
                <w:b/>
                <w:iCs/>
                <w:kern w:val="2"/>
                <w:sz w:val="21"/>
                <w:szCs w:val="21"/>
                <w:u w:val="none"/>
                <w:lang w:val="en-US" w:eastAsia="zh-CN"/>
              </w:rPr>
              <w:t>2-4</w:t>
            </w:r>
            <w:r>
              <w:rPr>
                <w:rFonts w:ascii="Times New Roman" w:hAnsi="Times New Roman" w:eastAsia="宋体" w:cs="Times New Roman"/>
                <w:b/>
                <w:iCs/>
                <w:kern w:val="2"/>
                <w:sz w:val="21"/>
                <w:szCs w:val="21"/>
                <w:u w:val="none"/>
              </w:rPr>
              <w:t xml:space="preserve">     </w:t>
            </w:r>
            <w:r>
              <w:rPr>
                <w:rFonts w:hint="eastAsia" w:ascii="Times New Roman" w:hAnsi="Times New Roman" w:eastAsia="宋体" w:cs="Times New Roman"/>
                <w:b/>
                <w:iCs/>
                <w:kern w:val="2"/>
                <w:sz w:val="21"/>
                <w:szCs w:val="21"/>
                <w:u w:val="none"/>
              </w:rPr>
              <w:t xml:space="preserve"> 拆解车辆产物一览表</w:t>
            </w:r>
          </w:p>
          <w:tbl>
            <w:tblPr>
              <w:tblStyle w:val="11"/>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57"/>
              <w:gridCol w:w="1098"/>
              <w:gridCol w:w="917"/>
              <w:gridCol w:w="1025"/>
              <w:gridCol w:w="965"/>
              <w:gridCol w:w="1014"/>
              <w:gridCol w:w="940"/>
              <w:gridCol w:w="887"/>
            </w:tblGrid>
            <w:tr w14:paraId="7F9D012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56C4805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拆解产物</w:t>
                  </w:r>
                </w:p>
              </w:tc>
              <w:tc>
                <w:tcPr>
                  <w:tcW w:w="661" w:type="pct"/>
                  <w:tcBorders>
                    <w:tl2br w:val="nil"/>
                    <w:tr2bl w:val="nil"/>
                  </w:tcBorders>
                  <w:noWrap w:val="0"/>
                  <w:vAlign w:val="center"/>
                </w:tcPr>
                <w:p w14:paraId="6D449B3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小型车传统燃油机动车kg/辆</w:t>
                  </w:r>
                </w:p>
              </w:tc>
              <w:tc>
                <w:tcPr>
                  <w:tcW w:w="552" w:type="pct"/>
                  <w:tcBorders>
                    <w:tl2br w:val="nil"/>
                    <w:tr2bl w:val="nil"/>
                  </w:tcBorders>
                  <w:noWrap w:val="0"/>
                  <w:vAlign w:val="center"/>
                </w:tcPr>
                <w:p w14:paraId="5266034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小型车纯电动kg/辆</w:t>
                  </w:r>
                </w:p>
              </w:tc>
              <w:tc>
                <w:tcPr>
                  <w:tcW w:w="617" w:type="pct"/>
                  <w:tcBorders>
                    <w:tl2br w:val="nil"/>
                    <w:tr2bl w:val="nil"/>
                  </w:tcBorders>
                  <w:noWrap w:val="0"/>
                  <w:vAlign w:val="center"/>
                </w:tcPr>
                <w:p w14:paraId="77EB922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小型车混动kg/辆</w:t>
                  </w:r>
                </w:p>
              </w:tc>
              <w:tc>
                <w:tcPr>
                  <w:tcW w:w="581" w:type="pct"/>
                  <w:tcBorders>
                    <w:tl2br w:val="nil"/>
                    <w:tr2bl w:val="nil"/>
                  </w:tcBorders>
                  <w:noWrap w:val="0"/>
                  <w:vAlign w:val="center"/>
                </w:tcPr>
                <w:p w14:paraId="3C0EEFE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中型车货车kg/辆</w:t>
                  </w:r>
                </w:p>
              </w:tc>
              <w:tc>
                <w:tcPr>
                  <w:tcW w:w="610" w:type="pct"/>
                  <w:tcBorders>
                    <w:tl2br w:val="nil"/>
                    <w:tr2bl w:val="nil"/>
                  </w:tcBorders>
                  <w:noWrap w:val="0"/>
                  <w:vAlign w:val="center"/>
                </w:tcPr>
                <w:p w14:paraId="3ECCAFD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中型车客车kg/辆</w:t>
                  </w:r>
                </w:p>
              </w:tc>
              <w:tc>
                <w:tcPr>
                  <w:tcW w:w="566" w:type="pct"/>
                  <w:tcBorders>
                    <w:tl2br w:val="nil"/>
                    <w:tr2bl w:val="nil"/>
                  </w:tcBorders>
                  <w:noWrap w:val="0"/>
                  <w:vAlign w:val="center"/>
                </w:tcPr>
                <w:p w14:paraId="3D49D55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大型车货车kg/辆</w:t>
                  </w:r>
                </w:p>
              </w:tc>
              <w:tc>
                <w:tcPr>
                  <w:tcW w:w="533" w:type="pct"/>
                  <w:tcBorders>
                    <w:tl2br w:val="nil"/>
                    <w:tr2bl w:val="nil"/>
                  </w:tcBorders>
                  <w:noWrap w:val="0"/>
                  <w:vAlign w:val="center"/>
                </w:tcPr>
                <w:p w14:paraId="43D20BE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大型车客车kg/辆</w:t>
                  </w:r>
                </w:p>
              </w:tc>
            </w:tr>
            <w:tr w14:paraId="22A7953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07015B3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钢铁</w:t>
                  </w:r>
                </w:p>
              </w:tc>
              <w:tc>
                <w:tcPr>
                  <w:tcW w:w="661" w:type="pct"/>
                  <w:tcBorders>
                    <w:tl2br w:val="nil"/>
                    <w:tr2bl w:val="nil"/>
                  </w:tcBorders>
                  <w:noWrap w:val="0"/>
                  <w:vAlign w:val="center"/>
                </w:tcPr>
                <w:p w14:paraId="3428893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630</w:t>
                  </w:r>
                </w:p>
              </w:tc>
              <w:tc>
                <w:tcPr>
                  <w:tcW w:w="552" w:type="pct"/>
                  <w:tcBorders>
                    <w:tl2br w:val="nil"/>
                    <w:tr2bl w:val="nil"/>
                  </w:tcBorders>
                  <w:noWrap w:val="0"/>
                  <w:vAlign w:val="center"/>
                </w:tcPr>
                <w:p w14:paraId="7A867C6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946</w:t>
                  </w:r>
                </w:p>
              </w:tc>
              <w:tc>
                <w:tcPr>
                  <w:tcW w:w="617" w:type="pct"/>
                  <w:tcBorders>
                    <w:tl2br w:val="nil"/>
                    <w:tr2bl w:val="nil"/>
                  </w:tcBorders>
                  <w:noWrap w:val="0"/>
                  <w:vAlign w:val="center"/>
                </w:tcPr>
                <w:p w14:paraId="6FBF3B0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924</w:t>
                  </w:r>
                </w:p>
              </w:tc>
              <w:tc>
                <w:tcPr>
                  <w:tcW w:w="581" w:type="pct"/>
                  <w:tcBorders>
                    <w:tl2br w:val="nil"/>
                    <w:tr2bl w:val="nil"/>
                  </w:tcBorders>
                  <w:noWrap w:val="0"/>
                  <w:vAlign w:val="center"/>
                </w:tcPr>
                <w:p w14:paraId="698DAFE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3600</w:t>
                  </w:r>
                </w:p>
              </w:tc>
              <w:tc>
                <w:tcPr>
                  <w:tcW w:w="610" w:type="pct"/>
                  <w:tcBorders>
                    <w:tl2br w:val="nil"/>
                    <w:tr2bl w:val="nil"/>
                  </w:tcBorders>
                  <w:noWrap w:val="0"/>
                  <w:vAlign w:val="center"/>
                </w:tcPr>
                <w:p w14:paraId="4E2B9AD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2700</w:t>
                  </w:r>
                </w:p>
              </w:tc>
              <w:tc>
                <w:tcPr>
                  <w:tcW w:w="566" w:type="pct"/>
                  <w:tcBorders>
                    <w:tl2br w:val="nil"/>
                    <w:tr2bl w:val="nil"/>
                  </w:tcBorders>
                  <w:noWrap w:val="0"/>
                  <w:vAlign w:val="center"/>
                </w:tcPr>
                <w:p w14:paraId="67C40D6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4500</w:t>
                  </w:r>
                </w:p>
              </w:tc>
              <w:tc>
                <w:tcPr>
                  <w:tcW w:w="533" w:type="pct"/>
                  <w:tcBorders>
                    <w:tl2br w:val="nil"/>
                    <w:tr2bl w:val="nil"/>
                  </w:tcBorders>
                  <w:noWrap w:val="0"/>
                  <w:vAlign w:val="center"/>
                </w:tcPr>
                <w:p w14:paraId="1845A07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3600</w:t>
                  </w:r>
                </w:p>
              </w:tc>
            </w:tr>
            <w:tr w14:paraId="5C8454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39C676A9">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有色金属</w:t>
                  </w:r>
                </w:p>
              </w:tc>
              <w:tc>
                <w:tcPr>
                  <w:tcW w:w="661" w:type="pct"/>
                  <w:tcBorders>
                    <w:tl2br w:val="nil"/>
                    <w:tr2bl w:val="nil"/>
                  </w:tcBorders>
                  <w:noWrap w:val="0"/>
                  <w:vAlign w:val="center"/>
                </w:tcPr>
                <w:p w14:paraId="7552565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70</w:t>
                  </w:r>
                </w:p>
              </w:tc>
              <w:tc>
                <w:tcPr>
                  <w:tcW w:w="552" w:type="pct"/>
                  <w:tcBorders>
                    <w:tl2br w:val="nil"/>
                    <w:tr2bl w:val="nil"/>
                  </w:tcBorders>
                  <w:noWrap w:val="0"/>
                  <w:vAlign w:val="center"/>
                </w:tcPr>
                <w:p w14:paraId="002D634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110</w:t>
                  </w:r>
                </w:p>
              </w:tc>
              <w:tc>
                <w:tcPr>
                  <w:tcW w:w="617" w:type="pct"/>
                  <w:tcBorders>
                    <w:tl2br w:val="nil"/>
                    <w:tr2bl w:val="nil"/>
                  </w:tcBorders>
                  <w:noWrap w:val="0"/>
                  <w:vAlign w:val="center"/>
                </w:tcPr>
                <w:p w14:paraId="3E37337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108.2</w:t>
                  </w:r>
                </w:p>
              </w:tc>
              <w:tc>
                <w:tcPr>
                  <w:tcW w:w="581" w:type="pct"/>
                  <w:tcBorders>
                    <w:tl2br w:val="nil"/>
                    <w:tr2bl w:val="nil"/>
                  </w:tcBorders>
                  <w:noWrap w:val="0"/>
                  <w:vAlign w:val="center"/>
                </w:tcPr>
                <w:p w14:paraId="2AD5813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400</w:t>
                  </w:r>
                </w:p>
              </w:tc>
              <w:tc>
                <w:tcPr>
                  <w:tcW w:w="610" w:type="pct"/>
                  <w:tcBorders>
                    <w:tl2br w:val="nil"/>
                    <w:tr2bl w:val="nil"/>
                  </w:tcBorders>
                  <w:noWrap w:val="0"/>
                  <w:vAlign w:val="center"/>
                </w:tcPr>
                <w:p w14:paraId="5F865C8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300</w:t>
                  </w:r>
                </w:p>
              </w:tc>
              <w:tc>
                <w:tcPr>
                  <w:tcW w:w="566" w:type="pct"/>
                  <w:tcBorders>
                    <w:tl2br w:val="nil"/>
                    <w:tr2bl w:val="nil"/>
                  </w:tcBorders>
                  <w:noWrap w:val="0"/>
                  <w:vAlign w:val="center"/>
                </w:tcPr>
                <w:p w14:paraId="4B0A507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500</w:t>
                  </w:r>
                </w:p>
              </w:tc>
              <w:tc>
                <w:tcPr>
                  <w:tcW w:w="533" w:type="pct"/>
                  <w:tcBorders>
                    <w:tl2br w:val="nil"/>
                    <w:tr2bl w:val="nil"/>
                  </w:tcBorders>
                  <w:noWrap w:val="0"/>
                  <w:vAlign w:val="center"/>
                </w:tcPr>
                <w:p w14:paraId="34688E2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400</w:t>
                  </w:r>
                </w:p>
              </w:tc>
            </w:tr>
            <w:tr w14:paraId="75F8800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5F857D1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玻璃</w:t>
                  </w:r>
                </w:p>
              </w:tc>
              <w:tc>
                <w:tcPr>
                  <w:tcW w:w="661" w:type="pct"/>
                  <w:tcBorders>
                    <w:tl2br w:val="nil"/>
                    <w:tr2bl w:val="nil"/>
                  </w:tcBorders>
                  <w:noWrap w:val="0"/>
                  <w:vAlign w:val="center"/>
                </w:tcPr>
                <w:p w14:paraId="27F3DC3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28</w:t>
                  </w:r>
                </w:p>
              </w:tc>
              <w:tc>
                <w:tcPr>
                  <w:tcW w:w="552" w:type="pct"/>
                  <w:tcBorders>
                    <w:tl2br w:val="nil"/>
                    <w:tr2bl w:val="nil"/>
                  </w:tcBorders>
                  <w:noWrap w:val="0"/>
                  <w:vAlign w:val="center"/>
                </w:tcPr>
                <w:p w14:paraId="448677C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52.8</w:t>
                  </w:r>
                </w:p>
              </w:tc>
              <w:tc>
                <w:tcPr>
                  <w:tcW w:w="617" w:type="pct"/>
                  <w:tcBorders>
                    <w:tl2br w:val="nil"/>
                    <w:tr2bl w:val="nil"/>
                  </w:tcBorders>
                  <w:noWrap w:val="0"/>
                  <w:vAlign w:val="center"/>
                </w:tcPr>
                <w:p w14:paraId="76A3C8B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44</w:t>
                  </w:r>
                </w:p>
              </w:tc>
              <w:tc>
                <w:tcPr>
                  <w:tcW w:w="581" w:type="pct"/>
                  <w:tcBorders>
                    <w:tl2br w:val="nil"/>
                    <w:tr2bl w:val="nil"/>
                  </w:tcBorders>
                  <w:noWrap w:val="0"/>
                  <w:vAlign w:val="center"/>
                </w:tcPr>
                <w:p w14:paraId="6298A97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160</w:t>
                  </w:r>
                </w:p>
              </w:tc>
              <w:tc>
                <w:tcPr>
                  <w:tcW w:w="610" w:type="pct"/>
                  <w:tcBorders>
                    <w:tl2br w:val="nil"/>
                    <w:tr2bl w:val="nil"/>
                  </w:tcBorders>
                  <w:noWrap w:val="0"/>
                  <w:vAlign w:val="center"/>
                </w:tcPr>
                <w:p w14:paraId="1C1A901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120</w:t>
                  </w:r>
                </w:p>
              </w:tc>
              <w:tc>
                <w:tcPr>
                  <w:tcW w:w="566" w:type="pct"/>
                  <w:tcBorders>
                    <w:tl2br w:val="nil"/>
                    <w:tr2bl w:val="nil"/>
                  </w:tcBorders>
                  <w:noWrap w:val="0"/>
                  <w:vAlign w:val="center"/>
                </w:tcPr>
                <w:p w14:paraId="115782D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200</w:t>
                  </w:r>
                </w:p>
              </w:tc>
              <w:tc>
                <w:tcPr>
                  <w:tcW w:w="533" w:type="pct"/>
                  <w:tcBorders>
                    <w:tl2br w:val="nil"/>
                    <w:tr2bl w:val="nil"/>
                  </w:tcBorders>
                  <w:noWrap w:val="0"/>
                  <w:vAlign w:val="center"/>
                </w:tcPr>
                <w:p w14:paraId="5AAB83D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160</w:t>
                  </w:r>
                </w:p>
              </w:tc>
            </w:tr>
            <w:tr w14:paraId="7F83919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7F2E428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橡胶（轮胎等）</w:t>
                  </w:r>
                </w:p>
              </w:tc>
              <w:tc>
                <w:tcPr>
                  <w:tcW w:w="661" w:type="pct"/>
                  <w:tcBorders>
                    <w:tl2br w:val="nil"/>
                    <w:tr2bl w:val="nil"/>
                  </w:tcBorders>
                  <w:noWrap w:val="0"/>
                  <w:vAlign w:val="center"/>
                </w:tcPr>
                <w:p w14:paraId="4581345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70</w:t>
                  </w:r>
                </w:p>
              </w:tc>
              <w:tc>
                <w:tcPr>
                  <w:tcW w:w="552" w:type="pct"/>
                  <w:tcBorders>
                    <w:tl2br w:val="nil"/>
                    <w:tr2bl w:val="nil"/>
                  </w:tcBorders>
                  <w:noWrap w:val="0"/>
                  <w:vAlign w:val="center"/>
                </w:tcPr>
                <w:p w14:paraId="2E6861D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110</w:t>
                  </w:r>
                </w:p>
              </w:tc>
              <w:tc>
                <w:tcPr>
                  <w:tcW w:w="617" w:type="pct"/>
                  <w:tcBorders>
                    <w:tl2br w:val="nil"/>
                    <w:tr2bl w:val="nil"/>
                  </w:tcBorders>
                  <w:noWrap w:val="0"/>
                  <w:vAlign w:val="center"/>
                </w:tcPr>
                <w:p w14:paraId="5433748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111.8</w:t>
                  </w:r>
                </w:p>
              </w:tc>
              <w:tc>
                <w:tcPr>
                  <w:tcW w:w="581" w:type="pct"/>
                  <w:tcBorders>
                    <w:tl2br w:val="nil"/>
                    <w:tr2bl w:val="nil"/>
                  </w:tcBorders>
                  <w:noWrap w:val="0"/>
                  <w:vAlign w:val="center"/>
                </w:tcPr>
                <w:p w14:paraId="7C427EE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400</w:t>
                  </w:r>
                </w:p>
              </w:tc>
              <w:tc>
                <w:tcPr>
                  <w:tcW w:w="610" w:type="pct"/>
                  <w:tcBorders>
                    <w:tl2br w:val="nil"/>
                    <w:tr2bl w:val="nil"/>
                  </w:tcBorders>
                  <w:noWrap w:val="0"/>
                  <w:vAlign w:val="center"/>
                </w:tcPr>
                <w:p w14:paraId="2244A20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300</w:t>
                  </w:r>
                </w:p>
              </w:tc>
              <w:tc>
                <w:tcPr>
                  <w:tcW w:w="566" w:type="pct"/>
                  <w:tcBorders>
                    <w:tl2br w:val="nil"/>
                    <w:tr2bl w:val="nil"/>
                  </w:tcBorders>
                  <w:noWrap w:val="0"/>
                  <w:vAlign w:val="center"/>
                </w:tcPr>
                <w:p w14:paraId="597FB27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500</w:t>
                  </w:r>
                </w:p>
              </w:tc>
              <w:tc>
                <w:tcPr>
                  <w:tcW w:w="533" w:type="pct"/>
                  <w:tcBorders>
                    <w:tl2br w:val="nil"/>
                    <w:tr2bl w:val="nil"/>
                  </w:tcBorders>
                  <w:noWrap w:val="0"/>
                  <w:vAlign w:val="center"/>
                </w:tcPr>
                <w:p w14:paraId="4CB9557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400</w:t>
                  </w:r>
                </w:p>
              </w:tc>
            </w:tr>
            <w:tr w14:paraId="36101D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360BC5B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塑料</w:t>
                  </w:r>
                </w:p>
              </w:tc>
              <w:tc>
                <w:tcPr>
                  <w:tcW w:w="661" w:type="pct"/>
                  <w:tcBorders>
                    <w:tl2br w:val="nil"/>
                    <w:tr2bl w:val="nil"/>
                  </w:tcBorders>
                  <w:noWrap w:val="0"/>
                  <w:vAlign w:val="center"/>
                </w:tcPr>
                <w:p w14:paraId="02D16E0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98</w:t>
                  </w:r>
                </w:p>
              </w:tc>
              <w:tc>
                <w:tcPr>
                  <w:tcW w:w="552" w:type="pct"/>
                  <w:tcBorders>
                    <w:tl2br w:val="nil"/>
                    <w:tr2bl w:val="nil"/>
                  </w:tcBorders>
                  <w:noWrap w:val="0"/>
                  <w:vAlign w:val="center"/>
                </w:tcPr>
                <w:p w14:paraId="706789D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132</w:t>
                  </w:r>
                </w:p>
              </w:tc>
              <w:tc>
                <w:tcPr>
                  <w:tcW w:w="617" w:type="pct"/>
                  <w:tcBorders>
                    <w:tl2br w:val="nil"/>
                    <w:tr2bl w:val="nil"/>
                  </w:tcBorders>
                  <w:noWrap w:val="0"/>
                  <w:vAlign w:val="center"/>
                </w:tcPr>
                <w:p w14:paraId="610D9A6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157.7</w:t>
                  </w:r>
                </w:p>
              </w:tc>
              <w:tc>
                <w:tcPr>
                  <w:tcW w:w="581" w:type="pct"/>
                  <w:tcBorders>
                    <w:tl2br w:val="nil"/>
                    <w:tr2bl w:val="nil"/>
                  </w:tcBorders>
                  <w:noWrap w:val="0"/>
                  <w:vAlign w:val="center"/>
                </w:tcPr>
                <w:p w14:paraId="043432A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560</w:t>
                  </w:r>
                </w:p>
              </w:tc>
              <w:tc>
                <w:tcPr>
                  <w:tcW w:w="610" w:type="pct"/>
                  <w:tcBorders>
                    <w:tl2br w:val="nil"/>
                    <w:tr2bl w:val="nil"/>
                  </w:tcBorders>
                  <w:noWrap w:val="0"/>
                  <w:vAlign w:val="center"/>
                </w:tcPr>
                <w:p w14:paraId="1BD6BE5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420</w:t>
                  </w:r>
                </w:p>
              </w:tc>
              <w:tc>
                <w:tcPr>
                  <w:tcW w:w="566" w:type="pct"/>
                  <w:tcBorders>
                    <w:tl2br w:val="nil"/>
                    <w:tr2bl w:val="nil"/>
                  </w:tcBorders>
                  <w:noWrap w:val="0"/>
                  <w:vAlign w:val="center"/>
                </w:tcPr>
                <w:p w14:paraId="4609088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700</w:t>
                  </w:r>
                </w:p>
              </w:tc>
              <w:tc>
                <w:tcPr>
                  <w:tcW w:w="533" w:type="pct"/>
                  <w:tcBorders>
                    <w:tl2br w:val="nil"/>
                    <w:tr2bl w:val="nil"/>
                  </w:tcBorders>
                  <w:noWrap w:val="0"/>
                  <w:vAlign w:val="center"/>
                </w:tcPr>
                <w:p w14:paraId="10F8440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560</w:t>
                  </w:r>
                </w:p>
              </w:tc>
            </w:tr>
            <w:tr w14:paraId="6C1B5D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78714E4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五大总成</w:t>
                  </w:r>
                </w:p>
              </w:tc>
              <w:tc>
                <w:tcPr>
                  <w:tcW w:w="661" w:type="pct"/>
                  <w:tcBorders>
                    <w:tl2br w:val="nil"/>
                    <w:tr2bl w:val="nil"/>
                  </w:tcBorders>
                  <w:noWrap w:val="0"/>
                  <w:vAlign w:val="center"/>
                </w:tcPr>
                <w:p w14:paraId="212D141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420</w:t>
                  </w:r>
                </w:p>
              </w:tc>
              <w:tc>
                <w:tcPr>
                  <w:tcW w:w="552" w:type="pct"/>
                  <w:tcBorders>
                    <w:tl2br w:val="nil"/>
                    <w:tr2bl w:val="nil"/>
                  </w:tcBorders>
                  <w:noWrap w:val="0"/>
                  <w:vAlign w:val="center"/>
                </w:tcPr>
                <w:p w14:paraId="10B0252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528</w:t>
                  </w:r>
                </w:p>
              </w:tc>
              <w:tc>
                <w:tcPr>
                  <w:tcW w:w="617" w:type="pct"/>
                  <w:tcBorders>
                    <w:tl2br w:val="nil"/>
                    <w:tr2bl w:val="nil"/>
                  </w:tcBorders>
                  <w:noWrap w:val="0"/>
                  <w:vAlign w:val="center"/>
                </w:tcPr>
                <w:p w14:paraId="774DF70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594</w:t>
                  </w:r>
                </w:p>
              </w:tc>
              <w:tc>
                <w:tcPr>
                  <w:tcW w:w="581" w:type="pct"/>
                  <w:tcBorders>
                    <w:tl2br w:val="nil"/>
                    <w:tr2bl w:val="nil"/>
                  </w:tcBorders>
                  <w:noWrap w:val="0"/>
                  <w:vAlign w:val="center"/>
                </w:tcPr>
                <w:p w14:paraId="0DD61A7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2400</w:t>
                  </w:r>
                </w:p>
              </w:tc>
              <w:tc>
                <w:tcPr>
                  <w:tcW w:w="610" w:type="pct"/>
                  <w:tcBorders>
                    <w:tl2br w:val="nil"/>
                    <w:tr2bl w:val="nil"/>
                  </w:tcBorders>
                  <w:noWrap w:val="0"/>
                  <w:vAlign w:val="center"/>
                </w:tcPr>
                <w:p w14:paraId="34813E8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1800</w:t>
                  </w:r>
                </w:p>
              </w:tc>
              <w:tc>
                <w:tcPr>
                  <w:tcW w:w="566" w:type="pct"/>
                  <w:tcBorders>
                    <w:tl2br w:val="nil"/>
                    <w:tr2bl w:val="nil"/>
                  </w:tcBorders>
                  <w:noWrap w:val="0"/>
                  <w:vAlign w:val="center"/>
                </w:tcPr>
                <w:p w14:paraId="78E484E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3000</w:t>
                  </w:r>
                </w:p>
              </w:tc>
              <w:tc>
                <w:tcPr>
                  <w:tcW w:w="533" w:type="pct"/>
                  <w:tcBorders>
                    <w:tl2br w:val="nil"/>
                    <w:tr2bl w:val="nil"/>
                  </w:tcBorders>
                  <w:noWrap w:val="0"/>
                  <w:vAlign w:val="center"/>
                </w:tcPr>
                <w:p w14:paraId="0B2D255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2400</w:t>
                  </w:r>
                </w:p>
              </w:tc>
            </w:tr>
            <w:tr w14:paraId="189021E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123A53C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回用件</w:t>
                  </w:r>
                </w:p>
              </w:tc>
              <w:tc>
                <w:tcPr>
                  <w:tcW w:w="661" w:type="pct"/>
                  <w:tcBorders>
                    <w:tl2br w:val="nil"/>
                    <w:tr2bl w:val="nil"/>
                  </w:tcBorders>
                  <w:noWrap w:val="0"/>
                  <w:vAlign w:val="center"/>
                </w:tcPr>
                <w:p w14:paraId="5431AE5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59.5</w:t>
                  </w:r>
                </w:p>
              </w:tc>
              <w:tc>
                <w:tcPr>
                  <w:tcW w:w="552" w:type="pct"/>
                  <w:tcBorders>
                    <w:tl2br w:val="nil"/>
                    <w:tr2bl w:val="nil"/>
                  </w:tcBorders>
                  <w:noWrap w:val="0"/>
                  <w:vAlign w:val="center"/>
                </w:tcPr>
                <w:p w14:paraId="7F0FD13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105.6</w:t>
                  </w:r>
                </w:p>
              </w:tc>
              <w:tc>
                <w:tcPr>
                  <w:tcW w:w="617" w:type="pct"/>
                  <w:tcBorders>
                    <w:tl2br w:val="nil"/>
                    <w:tr2bl w:val="nil"/>
                  </w:tcBorders>
                  <w:noWrap w:val="0"/>
                  <w:vAlign w:val="center"/>
                </w:tcPr>
                <w:p w14:paraId="4E475B5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91.7</w:t>
                  </w:r>
                </w:p>
              </w:tc>
              <w:tc>
                <w:tcPr>
                  <w:tcW w:w="581" w:type="pct"/>
                  <w:tcBorders>
                    <w:tl2br w:val="nil"/>
                    <w:tr2bl w:val="nil"/>
                  </w:tcBorders>
                  <w:noWrap w:val="0"/>
                  <w:vAlign w:val="center"/>
                </w:tcPr>
                <w:p w14:paraId="004C6F5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 xml:space="preserve">337.6 </w:t>
                  </w:r>
                </w:p>
              </w:tc>
              <w:tc>
                <w:tcPr>
                  <w:tcW w:w="610" w:type="pct"/>
                  <w:tcBorders>
                    <w:tl2br w:val="nil"/>
                    <w:tr2bl w:val="nil"/>
                  </w:tcBorders>
                  <w:noWrap w:val="0"/>
                  <w:vAlign w:val="center"/>
                </w:tcPr>
                <w:p w14:paraId="36EF8ED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255</w:t>
                  </w:r>
                </w:p>
              </w:tc>
              <w:tc>
                <w:tcPr>
                  <w:tcW w:w="566" w:type="pct"/>
                  <w:tcBorders>
                    <w:tl2br w:val="nil"/>
                    <w:tr2bl w:val="nil"/>
                  </w:tcBorders>
                  <w:noWrap w:val="0"/>
                  <w:vAlign w:val="center"/>
                </w:tcPr>
                <w:p w14:paraId="7C44171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422</w:t>
                  </w:r>
                </w:p>
              </w:tc>
              <w:tc>
                <w:tcPr>
                  <w:tcW w:w="533" w:type="pct"/>
                  <w:tcBorders>
                    <w:tl2br w:val="nil"/>
                    <w:tr2bl w:val="nil"/>
                  </w:tcBorders>
                  <w:noWrap w:val="0"/>
                  <w:vAlign w:val="center"/>
                </w:tcPr>
                <w:p w14:paraId="0CDE969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337.6</w:t>
                  </w:r>
                </w:p>
              </w:tc>
            </w:tr>
            <w:tr w14:paraId="40DDCA7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18FD94F3">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废有机溶剂与含有机溶剂废物</w:t>
                  </w:r>
                </w:p>
              </w:tc>
              <w:tc>
                <w:tcPr>
                  <w:tcW w:w="661" w:type="pct"/>
                  <w:tcBorders>
                    <w:tl2br w:val="nil"/>
                    <w:tr2bl w:val="nil"/>
                  </w:tcBorders>
                  <w:noWrap w:val="0"/>
                  <w:vAlign w:val="center"/>
                </w:tcPr>
                <w:p w14:paraId="34191E8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1.4</w:t>
                  </w:r>
                </w:p>
              </w:tc>
              <w:tc>
                <w:tcPr>
                  <w:tcW w:w="552" w:type="pct"/>
                  <w:tcBorders>
                    <w:tl2br w:val="nil"/>
                    <w:tr2bl w:val="nil"/>
                  </w:tcBorders>
                  <w:noWrap w:val="0"/>
                  <w:vAlign w:val="center"/>
                </w:tcPr>
                <w:p w14:paraId="7F9ADB0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2.6</w:t>
                  </w:r>
                </w:p>
              </w:tc>
              <w:tc>
                <w:tcPr>
                  <w:tcW w:w="617" w:type="pct"/>
                  <w:tcBorders>
                    <w:tl2br w:val="nil"/>
                    <w:tr2bl w:val="nil"/>
                  </w:tcBorders>
                  <w:noWrap w:val="0"/>
                  <w:vAlign w:val="center"/>
                </w:tcPr>
                <w:p w14:paraId="530C72C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2.2</w:t>
                  </w:r>
                </w:p>
              </w:tc>
              <w:tc>
                <w:tcPr>
                  <w:tcW w:w="581" w:type="pct"/>
                  <w:tcBorders>
                    <w:tl2br w:val="nil"/>
                    <w:tr2bl w:val="nil"/>
                  </w:tcBorders>
                  <w:noWrap w:val="0"/>
                  <w:vAlign w:val="center"/>
                </w:tcPr>
                <w:p w14:paraId="7B49462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c>
                <w:tcPr>
                  <w:tcW w:w="610" w:type="pct"/>
                  <w:tcBorders>
                    <w:tl2br w:val="nil"/>
                    <w:tr2bl w:val="nil"/>
                  </w:tcBorders>
                  <w:noWrap w:val="0"/>
                  <w:vAlign w:val="center"/>
                </w:tcPr>
                <w:p w14:paraId="4F84D5B1">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w:t>
                  </w:r>
                </w:p>
              </w:tc>
              <w:tc>
                <w:tcPr>
                  <w:tcW w:w="566" w:type="pct"/>
                  <w:tcBorders>
                    <w:tl2br w:val="nil"/>
                    <w:tr2bl w:val="nil"/>
                  </w:tcBorders>
                  <w:noWrap w:val="0"/>
                  <w:vAlign w:val="center"/>
                </w:tcPr>
                <w:p w14:paraId="4B04823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10</w:t>
                  </w:r>
                </w:p>
              </w:tc>
              <w:tc>
                <w:tcPr>
                  <w:tcW w:w="533" w:type="pct"/>
                  <w:tcBorders>
                    <w:tl2br w:val="nil"/>
                    <w:tr2bl w:val="nil"/>
                  </w:tcBorders>
                  <w:noWrap w:val="0"/>
                  <w:vAlign w:val="center"/>
                </w:tcPr>
                <w:p w14:paraId="07C1893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r>
            <w:tr w14:paraId="31A235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5C6566D5">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废矿物油与含矿物油废物</w:t>
                  </w:r>
                </w:p>
              </w:tc>
              <w:tc>
                <w:tcPr>
                  <w:tcW w:w="661" w:type="pct"/>
                  <w:tcBorders>
                    <w:tl2br w:val="nil"/>
                    <w:tr2bl w:val="nil"/>
                  </w:tcBorders>
                  <w:noWrap w:val="0"/>
                  <w:vAlign w:val="center"/>
                </w:tcPr>
                <w:p w14:paraId="27061DD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4.2</w:t>
                  </w:r>
                </w:p>
              </w:tc>
              <w:tc>
                <w:tcPr>
                  <w:tcW w:w="552" w:type="pct"/>
                  <w:tcBorders>
                    <w:tl2br w:val="nil"/>
                    <w:tr2bl w:val="nil"/>
                  </w:tcBorders>
                  <w:noWrap w:val="0"/>
                  <w:vAlign w:val="center"/>
                </w:tcPr>
                <w:p w14:paraId="0C42399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4.4</w:t>
                  </w:r>
                </w:p>
              </w:tc>
              <w:tc>
                <w:tcPr>
                  <w:tcW w:w="617" w:type="pct"/>
                  <w:tcBorders>
                    <w:tl2br w:val="nil"/>
                    <w:tr2bl w:val="nil"/>
                  </w:tcBorders>
                  <w:noWrap w:val="0"/>
                  <w:vAlign w:val="center"/>
                </w:tcPr>
                <w:p w14:paraId="6E6E0D4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6.6</w:t>
                  </w:r>
                </w:p>
              </w:tc>
              <w:tc>
                <w:tcPr>
                  <w:tcW w:w="581" w:type="pct"/>
                  <w:tcBorders>
                    <w:tl2br w:val="nil"/>
                    <w:tr2bl w:val="nil"/>
                  </w:tcBorders>
                  <w:noWrap w:val="0"/>
                  <w:vAlign w:val="center"/>
                </w:tcPr>
                <w:p w14:paraId="0F5B4B2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24</w:t>
                  </w:r>
                </w:p>
              </w:tc>
              <w:tc>
                <w:tcPr>
                  <w:tcW w:w="610" w:type="pct"/>
                  <w:tcBorders>
                    <w:tl2br w:val="nil"/>
                    <w:tr2bl w:val="nil"/>
                  </w:tcBorders>
                  <w:noWrap w:val="0"/>
                  <w:vAlign w:val="center"/>
                </w:tcPr>
                <w:p w14:paraId="38B5AAA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18</w:t>
                  </w:r>
                </w:p>
              </w:tc>
              <w:tc>
                <w:tcPr>
                  <w:tcW w:w="566" w:type="pct"/>
                  <w:tcBorders>
                    <w:tl2br w:val="nil"/>
                    <w:tr2bl w:val="nil"/>
                  </w:tcBorders>
                  <w:noWrap w:val="0"/>
                  <w:vAlign w:val="center"/>
                </w:tcPr>
                <w:p w14:paraId="03D2F29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30</w:t>
                  </w:r>
                </w:p>
              </w:tc>
              <w:tc>
                <w:tcPr>
                  <w:tcW w:w="533" w:type="pct"/>
                  <w:tcBorders>
                    <w:tl2br w:val="nil"/>
                    <w:tr2bl w:val="nil"/>
                  </w:tcBorders>
                  <w:noWrap w:val="0"/>
                  <w:vAlign w:val="center"/>
                </w:tcPr>
                <w:p w14:paraId="17FC5B3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24</w:t>
                  </w:r>
                </w:p>
              </w:tc>
            </w:tr>
            <w:tr w14:paraId="728DEF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29E4FB9B">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废尾气催化剂</w:t>
                  </w:r>
                </w:p>
              </w:tc>
              <w:tc>
                <w:tcPr>
                  <w:tcW w:w="661" w:type="pct"/>
                  <w:tcBorders>
                    <w:tl2br w:val="nil"/>
                    <w:tr2bl w:val="nil"/>
                  </w:tcBorders>
                  <w:noWrap w:val="0"/>
                  <w:vAlign w:val="center"/>
                </w:tcPr>
                <w:p w14:paraId="5BA5EB7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0.7</w:t>
                  </w:r>
                </w:p>
              </w:tc>
              <w:tc>
                <w:tcPr>
                  <w:tcW w:w="552" w:type="pct"/>
                  <w:tcBorders>
                    <w:tl2br w:val="nil"/>
                    <w:tr2bl w:val="nil"/>
                  </w:tcBorders>
                  <w:noWrap w:val="0"/>
                  <w:vAlign w:val="center"/>
                </w:tcPr>
                <w:p w14:paraId="68E401E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1.3</w:t>
                  </w:r>
                </w:p>
              </w:tc>
              <w:tc>
                <w:tcPr>
                  <w:tcW w:w="617" w:type="pct"/>
                  <w:tcBorders>
                    <w:tl2br w:val="nil"/>
                    <w:tr2bl w:val="nil"/>
                  </w:tcBorders>
                  <w:noWrap w:val="0"/>
                  <w:vAlign w:val="center"/>
                </w:tcPr>
                <w:p w14:paraId="4EE5C0C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w:t>
                  </w:r>
                </w:p>
              </w:tc>
              <w:tc>
                <w:tcPr>
                  <w:tcW w:w="581" w:type="pct"/>
                  <w:tcBorders>
                    <w:tl2br w:val="nil"/>
                    <w:tr2bl w:val="nil"/>
                  </w:tcBorders>
                  <w:noWrap w:val="0"/>
                  <w:vAlign w:val="center"/>
                </w:tcPr>
                <w:p w14:paraId="18EC8CD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c>
                <w:tcPr>
                  <w:tcW w:w="610" w:type="pct"/>
                  <w:tcBorders>
                    <w:tl2br w:val="nil"/>
                    <w:tr2bl w:val="nil"/>
                  </w:tcBorders>
                  <w:noWrap w:val="0"/>
                  <w:vAlign w:val="center"/>
                </w:tcPr>
                <w:p w14:paraId="550C27F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w:t>
                  </w:r>
                </w:p>
              </w:tc>
              <w:tc>
                <w:tcPr>
                  <w:tcW w:w="566" w:type="pct"/>
                  <w:tcBorders>
                    <w:tl2br w:val="nil"/>
                    <w:tr2bl w:val="nil"/>
                  </w:tcBorders>
                  <w:noWrap w:val="0"/>
                  <w:vAlign w:val="center"/>
                </w:tcPr>
                <w:p w14:paraId="01368F5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6</w:t>
                  </w:r>
                </w:p>
              </w:tc>
              <w:tc>
                <w:tcPr>
                  <w:tcW w:w="533" w:type="pct"/>
                  <w:tcBorders>
                    <w:tl2br w:val="nil"/>
                    <w:tr2bl w:val="nil"/>
                  </w:tcBorders>
                  <w:noWrap w:val="0"/>
                  <w:vAlign w:val="center"/>
                </w:tcPr>
                <w:p w14:paraId="4A52DBA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r>
            <w:tr w14:paraId="66F0C3B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236880B6">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废电路板</w:t>
                  </w:r>
                </w:p>
              </w:tc>
              <w:tc>
                <w:tcPr>
                  <w:tcW w:w="661" w:type="pct"/>
                  <w:tcBorders>
                    <w:tl2br w:val="nil"/>
                    <w:tr2bl w:val="nil"/>
                  </w:tcBorders>
                  <w:noWrap w:val="0"/>
                  <w:vAlign w:val="center"/>
                </w:tcPr>
                <w:p w14:paraId="1D12722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2.8</w:t>
                  </w:r>
                </w:p>
              </w:tc>
              <w:tc>
                <w:tcPr>
                  <w:tcW w:w="552" w:type="pct"/>
                  <w:tcBorders>
                    <w:tl2br w:val="nil"/>
                    <w:tr2bl w:val="nil"/>
                  </w:tcBorders>
                  <w:noWrap w:val="0"/>
                  <w:vAlign w:val="center"/>
                </w:tcPr>
                <w:p w14:paraId="1908C86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5.3</w:t>
                  </w:r>
                </w:p>
              </w:tc>
              <w:tc>
                <w:tcPr>
                  <w:tcW w:w="617" w:type="pct"/>
                  <w:tcBorders>
                    <w:tl2br w:val="nil"/>
                    <w:tr2bl w:val="nil"/>
                  </w:tcBorders>
                  <w:noWrap w:val="0"/>
                  <w:vAlign w:val="center"/>
                </w:tcPr>
                <w:p w14:paraId="65E2C3C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4.4</w:t>
                  </w:r>
                </w:p>
              </w:tc>
              <w:tc>
                <w:tcPr>
                  <w:tcW w:w="581" w:type="pct"/>
                  <w:tcBorders>
                    <w:tl2br w:val="nil"/>
                    <w:tr2bl w:val="nil"/>
                  </w:tcBorders>
                  <w:noWrap w:val="0"/>
                  <w:vAlign w:val="center"/>
                </w:tcPr>
                <w:p w14:paraId="2235E58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c>
                <w:tcPr>
                  <w:tcW w:w="610" w:type="pct"/>
                  <w:tcBorders>
                    <w:tl2br w:val="nil"/>
                    <w:tr2bl w:val="nil"/>
                  </w:tcBorders>
                  <w:noWrap w:val="0"/>
                  <w:vAlign w:val="center"/>
                </w:tcPr>
                <w:p w14:paraId="45BC329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12</w:t>
                  </w:r>
                </w:p>
              </w:tc>
              <w:tc>
                <w:tcPr>
                  <w:tcW w:w="566" w:type="pct"/>
                  <w:tcBorders>
                    <w:tl2br w:val="nil"/>
                    <w:tr2bl w:val="nil"/>
                  </w:tcBorders>
                  <w:noWrap w:val="0"/>
                  <w:vAlign w:val="center"/>
                </w:tcPr>
                <w:p w14:paraId="4874290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20</w:t>
                  </w:r>
                </w:p>
              </w:tc>
              <w:tc>
                <w:tcPr>
                  <w:tcW w:w="533" w:type="pct"/>
                  <w:tcBorders>
                    <w:tl2br w:val="nil"/>
                    <w:tr2bl w:val="nil"/>
                  </w:tcBorders>
                  <w:noWrap w:val="0"/>
                  <w:vAlign w:val="center"/>
                </w:tcPr>
                <w:p w14:paraId="4FBC7FF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r>
            <w:tr w14:paraId="0AB363B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6C761243">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含汞废物</w:t>
                  </w:r>
                </w:p>
              </w:tc>
              <w:tc>
                <w:tcPr>
                  <w:tcW w:w="661" w:type="pct"/>
                  <w:tcBorders>
                    <w:tl2br w:val="nil"/>
                    <w:tr2bl w:val="nil"/>
                  </w:tcBorders>
                  <w:noWrap w:val="0"/>
                  <w:vAlign w:val="center"/>
                </w:tcPr>
                <w:p w14:paraId="65C3F30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1.4</w:t>
                  </w:r>
                </w:p>
              </w:tc>
              <w:tc>
                <w:tcPr>
                  <w:tcW w:w="552" w:type="pct"/>
                  <w:tcBorders>
                    <w:tl2br w:val="nil"/>
                    <w:tr2bl w:val="nil"/>
                  </w:tcBorders>
                  <w:noWrap w:val="0"/>
                  <w:vAlign w:val="center"/>
                </w:tcPr>
                <w:p w14:paraId="646ACB4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2.6</w:t>
                  </w:r>
                </w:p>
              </w:tc>
              <w:tc>
                <w:tcPr>
                  <w:tcW w:w="617" w:type="pct"/>
                  <w:tcBorders>
                    <w:tl2br w:val="nil"/>
                    <w:tr2bl w:val="nil"/>
                  </w:tcBorders>
                  <w:noWrap w:val="0"/>
                  <w:vAlign w:val="center"/>
                </w:tcPr>
                <w:p w14:paraId="2EE1C70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2.2</w:t>
                  </w:r>
                </w:p>
              </w:tc>
              <w:tc>
                <w:tcPr>
                  <w:tcW w:w="581" w:type="pct"/>
                  <w:tcBorders>
                    <w:tl2br w:val="nil"/>
                    <w:tr2bl w:val="nil"/>
                  </w:tcBorders>
                  <w:noWrap w:val="0"/>
                  <w:vAlign w:val="center"/>
                </w:tcPr>
                <w:p w14:paraId="52629FF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c>
                <w:tcPr>
                  <w:tcW w:w="610" w:type="pct"/>
                  <w:tcBorders>
                    <w:tl2br w:val="nil"/>
                    <w:tr2bl w:val="nil"/>
                  </w:tcBorders>
                  <w:noWrap w:val="0"/>
                  <w:vAlign w:val="center"/>
                </w:tcPr>
                <w:p w14:paraId="76835FE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w:t>
                  </w:r>
                </w:p>
              </w:tc>
              <w:tc>
                <w:tcPr>
                  <w:tcW w:w="566" w:type="pct"/>
                  <w:tcBorders>
                    <w:tl2br w:val="nil"/>
                    <w:tr2bl w:val="nil"/>
                  </w:tcBorders>
                  <w:noWrap w:val="0"/>
                  <w:vAlign w:val="center"/>
                </w:tcPr>
                <w:p w14:paraId="314DC54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10</w:t>
                  </w:r>
                </w:p>
              </w:tc>
              <w:tc>
                <w:tcPr>
                  <w:tcW w:w="533" w:type="pct"/>
                  <w:tcBorders>
                    <w:tl2br w:val="nil"/>
                    <w:tr2bl w:val="nil"/>
                  </w:tcBorders>
                  <w:noWrap w:val="0"/>
                  <w:vAlign w:val="center"/>
                </w:tcPr>
                <w:p w14:paraId="4E3AE99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r>
            <w:tr w14:paraId="6F6A15D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08B44650">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废铅酸蓄电池</w:t>
                  </w:r>
                </w:p>
              </w:tc>
              <w:tc>
                <w:tcPr>
                  <w:tcW w:w="661" w:type="pct"/>
                  <w:tcBorders>
                    <w:tl2br w:val="nil"/>
                    <w:tr2bl w:val="nil"/>
                  </w:tcBorders>
                  <w:noWrap w:val="0"/>
                  <w:vAlign w:val="center"/>
                </w:tcPr>
                <w:p w14:paraId="4336DA1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1.4</w:t>
                  </w:r>
                </w:p>
              </w:tc>
              <w:tc>
                <w:tcPr>
                  <w:tcW w:w="552" w:type="pct"/>
                  <w:tcBorders>
                    <w:tl2br w:val="nil"/>
                    <w:tr2bl w:val="nil"/>
                  </w:tcBorders>
                  <w:noWrap w:val="0"/>
                  <w:vAlign w:val="center"/>
                </w:tcPr>
                <w:p w14:paraId="37FCE94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c>
                <w:tcPr>
                  <w:tcW w:w="617" w:type="pct"/>
                  <w:tcBorders>
                    <w:tl2br w:val="nil"/>
                    <w:tr2bl w:val="nil"/>
                  </w:tcBorders>
                  <w:noWrap w:val="0"/>
                  <w:vAlign w:val="center"/>
                </w:tcPr>
                <w:p w14:paraId="76C9035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c>
                <w:tcPr>
                  <w:tcW w:w="581" w:type="pct"/>
                  <w:tcBorders>
                    <w:tl2br w:val="nil"/>
                    <w:tr2bl w:val="nil"/>
                  </w:tcBorders>
                  <w:noWrap w:val="0"/>
                  <w:vAlign w:val="center"/>
                </w:tcPr>
                <w:p w14:paraId="1C565E5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c>
                <w:tcPr>
                  <w:tcW w:w="610" w:type="pct"/>
                  <w:tcBorders>
                    <w:tl2br w:val="nil"/>
                    <w:tr2bl w:val="nil"/>
                  </w:tcBorders>
                  <w:noWrap w:val="0"/>
                  <w:vAlign w:val="center"/>
                </w:tcPr>
                <w:p w14:paraId="7C27D01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w:t>
                  </w:r>
                </w:p>
              </w:tc>
              <w:tc>
                <w:tcPr>
                  <w:tcW w:w="566" w:type="pct"/>
                  <w:tcBorders>
                    <w:tl2br w:val="nil"/>
                    <w:tr2bl w:val="nil"/>
                  </w:tcBorders>
                  <w:noWrap w:val="0"/>
                  <w:vAlign w:val="center"/>
                </w:tcPr>
                <w:p w14:paraId="6083BFB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10</w:t>
                  </w:r>
                </w:p>
              </w:tc>
              <w:tc>
                <w:tcPr>
                  <w:tcW w:w="533" w:type="pct"/>
                  <w:tcBorders>
                    <w:tl2br w:val="nil"/>
                    <w:tr2bl w:val="nil"/>
                  </w:tcBorders>
                  <w:noWrap w:val="0"/>
                  <w:vAlign w:val="center"/>
                </w:tcPr>
                <w:p w14:paraId="53B39AC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r>
            <w:tr w14:paraId="6689381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1245E279">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废制冷剂</w:t>
                  </w:r>
                </w:p>
              </w:tc>
              <w:tc>
                <w:tcPr>
                  <w:tcW w:w="661" w:type="pct"/>
                  <w:tcBorders>
                    <w:tl2br w:val="nil"/>
                    <w:tr2bl w:val="nil"/>
                  </w:tcBorders>
                  <w:noWrap w:val="0"/>
                  <w:vAlign w:val="center"/>
                </w:tcPr>
                <w:p w14:paraId="51C0D75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0.7</w:t>
                  </w:r>
                </w:p>
              </w:tc>
              <w:tc>
                <w:tcPr>
                  <w:tcW w:w="552" w:type="pct"/>
                  <w:tcBorders>
                    <w:tl2br w:val="nil"/>
                    <w:tr2bl w:val="nil"/>
                  </w:tcBorders>
                  <w:noWrap w:val="0"/>
                  <w:vAlign w:val="center"/>
                </w:tcPr>
                <w:p w14:paraId="119EF34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w:t>
                  </w:r>
                </w:p>
              </w:tc>
              <w:tc>
                <w:tcPr>
                  <w:tcW w:w="617" w:type="pct"/>
                  <w:tcBorders>
                    <w:tl2br w:val="nil"/>
                    <w:tr2bl w:val="nil"/>
                  </w:tcBorders>
                  <w:noWrap w:val="0"/>
                  <w:vAlign w:val="center"/>
                </w:tcPr>
                <w:p w14:paraId="7971ABB9">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w:t>
                  </w:r>
                </w:p>
              </w:tc>
              <w:tc>
                <w:tcPr>
                  <w:tcW w:w="581" w:type="pct"/>
                  <w:tcBorders>
                    <w:tl2br w:val="nil"/>
                    <w:tr2bl w:val="nil"/>
                  </w:tcBorders>
                  <w:noWrap w:val="0"/>
                  <w:vAlign w:val="center"/>
                </w:tcPr>
                <w:p w14:paraId="102E204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c>
                <w:tcPr>
                  <w:tcW w:w="610" w:type="pct"/>
                  <w:tcBorders>
                    <w:tl2br w:val="nil"/>
                    <w:tr2bl w:val="nil"/>
                  </w:tcBorders>
                  <w:noWrap w:val="0"/>
                  <w:vAlign w:val="center"/>
                </w:tcPr>
                <w:p w14:paraId="2A9BFB7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w:t>
                  </w:r>
                </w:p>
              </w:tc>
              <w:tc>
                <w:tcPr>
                  <w:tcW w:w="566" w:type="pct"/>
                  <w:tcBorders>
                    <w:tl2br w:val="nil"/>
                    <w:tr2bl w:val="nil"/>
                  </w:tcBorders>
                  <w:noWrap w:val="0"/>
                  <w:vAlign w:val="center"/>
                </w:tcPr>
                <w:p w14:paraId="3012939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6</w:t>
                  </w:r>
                </w:p>
              </w:tc>
              <w:tc>
                <w:tcPr>
                  <w:tcW w:w="533" w:type="pct"/>
                  <w:tcBorders>
                    <w:tl2br w:val="nil"/>
                    <w:tr2bl w:val="nil"/>
                  </w:tcBorders>
                  <w:noWrap w:val="0"/>
                  <w:vAlign w:val="center"/>
                </w:tcPr>
                <w:p w14:paraId="3D4CEC9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r>
            <w:tr w14:paraId="2276AE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3534666F">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废旧动力蓄电池</w:t>
                  </w:r>
                </w:p>
              </w:tc>
              <w:tc>
                <w:tcPr>
                  <w:tcW w:w="661" w:type="pct"/>
                  <w:tcBorders>
                    <w:tl2br w:val="nil"/>
                    <w:tr2bl w:val="nil"/>
                  </w:tcBorders>
                  <w:noWrap w:val="0"/>
                  <w:vAlign w:val="center"/>
                </w:tcPr>
                <w:p w14:paraId="0774EF3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c>
                <w:tcPr>
                  <w:tcW w:w="552" w:type="pct"/>
                  <w:tcBorders>
                    <w:tl2br w:val="nil"/>
                    <w:tr2bl w:val="nil"/>
                  </w:tcBorders>
                  <w:noWrap w:val="0"/>
                  <w:vAlign w:val="center"/>
                </w:tcPr>
                <w:p w14:paraId="2B0E98E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176</w:t>
                  </w:r>
                </w:p>
              </w:tc>
              <w:tc>
                <w:tcPr>
                  <w:tcW w:w="617" w:type="pct"/>
                  <w:tcBorders>
                    <w:tl2br w:val="nil"/>
                    <w:tr2bl w:val="nil"/>
                  </w:tcBorders>
                  <w:noWrap w:val="0"/>
                  <w:vAlign w:val="center"/>
                </w:tcPr>
                <w:p w14:paraId="66C99DF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132</w:t>
                  </w:r>
                </w:p>
              </w:tc>
              <w:tc>
                <w:tcPr>
                  <w:tcW w:w="581" w:type="pct"/>
                  <w:tcBorders>
                    <w:tl2br w:val="nil"/>
                    <w:tr2bl w:val="nil"/>
                  </w:tcBorders>
                  <w:noWrap w:val="0"/>
                  <w:vAlign w:val="center"/>
                </w:tcPr>
                <w:p w14:paraId="672CDF69">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c>
                <w:tcPr>
                  <w:tcW w:w="610" w:type="pct"/>
                  <w:tcBorders>
                    <w:tl2br w:val="nil"/>
                    <w:tr2bl w:val="nil"/>
                  </w:tcBorders>
                  <w:noWrap w:val="0"/>
                  <w:vAlign w:val="center"/>
                </w:tcPr>
                <w:p w14:paraId="3F5C7C1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c>
                <w:tcPr>
                  <w:tcW w:w="566" w:type="pct"/>
                  <w:tcBorders>
                    <w:tl2br w:val="nil"/>
                    <w:tr2bl w:val="nil"/>
                  </w:tcBorders>
                  <w:noWrap w:val="0"/>
                  <w:vAlign w:val="center"/>
                </w:tcPr>
                <w:p w14:paraId="483164A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0</w:t>
                  </w:r>
                </w:p>
              </w:tc>
              <w:tc>
                <w:tcPr>
                  <w:tcW w:w="533" w:type="pct"/>
                  <w:tcBorders>
                    <w:tl2br w:val="nil"/>
                    <w:tr2bl w:val="nil"/>
                  </w:tcBorders>
                  <w:noWrap w:val="0"/>
                  <w:vAlign w:val="center"/>
                </w:tcPr>
                <w:p w14:paraId="1711B87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w:t>
                  </w:r>
                </w:p>
              </w:tc>
            </w:tr>
            <w:tr w14:paraId="3DAA33D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4E91E04C">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废弃车用电子零部件</w:t>
                  </w:r>
                </w:p>
              </w:tc>
              <w:tc>
                <w:tcPr>
                  <w:tcW w:w="661" w:type="pct"/>
                  <w:tcBorders>
                    <w:tl2br w:val="nil"/>
                    <w:tr2bl w:val="nil"/>
                  </w:tcBorders>
                  <w:noWrap w:val="0"/>
                  <w:vAlign w:val="center"/>
                </w:tcPr>
                <w:p w14:paraId="6564CFB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1.4</w:t>
                  </w:r>
                </w:p>
              </w:tc>
              <w:tc>
                <w:tcPr>
                  <w:tcW w:w="552" w:type="pct"/>
                  <w:tcBorders>
                    <w:tl2br w:val="nil"/>
                    <w:tr2bl w:val="nil"/>
                  </w:tcBorders>
                  <w:noWrap w:val="0"/>
                  <w:vAlign w:val="center"/>
                </w:tcPr>
                <w:p w14:paraId="160D136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2.6</w:t>
                  </w:r>
                </w:p>
              </w:tc>
              <w:tc>
                <w:tcPr>
                  <w:tcW w:w="617" w:type="pct"/>
                  <w:tcBorders>
                    <w:tl2br w:val="nil"/>
                    <w:tr2bl w:val="nil"/>
                  </w:tcBorders>
                  <w:noWrap w:val="0"/>
                  <w:vAlign w:val="center"/>
                </w:tcPr>
                <w:p w14:paraId="362825A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2.2</w:t>
                  </w:r>
                </w:p>
              </w:tc>
              <w:tc>
                <w:tcPr>
                  <w:tcW w:w="581" w:type="pct"/>
                  <w:tcBorders>
                    <w:tl2br w:val="nil"/>
                    <w:tr2bl w:val="nil"/>
                  </w:tcBorders>
                  <w:noWrap w:val="0"/>
                  <w:vAlign w:val="center"/>
                </w:tcPr>
                <w:p w14:paraId="052E96C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c>
                <w:tcPr>
                  <w:tcW w:w="610" w:type="pct"/>
                  <w:tcBorders>
                    <w:tl2br w:val="nil"/>
                    <w:tr2bl w:val="nil"/>
                  </w:tcBorders>
                  <w:noWrap w:val="0"/>
                  <w:vAlign w:val="center"/>
                </w:tcPr>
                <w:p w14:paraId="4CD2889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w:t>
                  </w:r>
                </w:p>
              </w:tc>
              <w:tc>
                <w:tcPr>
                  <w:tcW w:w="566" w:type="pct"/>
                  <w:tcBorders>
                    <w:tl2br w:val="nil"/>
                    <w:tr2bl w:val="nil"/>
                  </w:tcBorders>
                  <w:noWrap w:val="0"/>
                  <w:vAlign w:val="center"/>
                </w:tcPr>
                <w:p w14:paraId="7D7B5AA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10</w:t>
                  </w:r>
                </w:p>
              </w:tc>
              <w:tc>
                <w:tcPr>
                  <w:tcW w:w="533" w:type="pct"/>
                  <w:tcBorders>
                    <w:tl2br w:val="nil"/>
                    <w:tr2bl w:val="nil"/>
                  </w:tcBorders>
                  <w:noWrap w:val="0"/>
                  <w:vAlign w:val="center"/>
                </w:tcPr>
                <w:p w14:paraId="416DED1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r>
            <w:tr w14:paraId="1BF5EFA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374BE4B7">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废安全气囊（引爆后）</w:t>
                  </w:r>
                </w:p>
              </w:tc>
              <w:tc>
                <w:tcPr>
                  <w:tcW w:w="661" w:type="pct"/>
                  <w:tcBorders>
                    <w:tl2br w:val="nil"/>
                    <w:tr2bl w:val="nil"/>
                  </w:tcBorders>
                  <w:noWrap w:val="0"/>
                  <w:vAlign w:val="center"/>
                </w:tcPr>
                <w:p w14:paraId="78A1D29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1.2</w:t>
                  </w:r>
                </w:p>
              </w:tc>
              <w:tc>
                <w:tcPr>
                  <w:tcW w:w="552" w:type="pct"/>
                  <w:tcBorders>
                    <w:tl2br w:val="nil"/>
                    <w:tr2bl w:val="nil"/>
                  </w:tcBorders>
                  <w:noWrap w:val="0"/>
                  <w:vAlign w:val="center"/>
                </w:tcPr>
                <w:p w14:paraId="154C384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2.2</w:t>
                  </w:r>
                </w:p>
              </w:tc>
              <w:tc>
                <w:tcPr>
                  <w:tcW w:w="617" w:type="pct"/>
                  <w:tcBorders>
                    <w:tl2br w:val="nil"/>
                    <w:tr2bl w:val="nil"/>
                  </w:tcBorders>
                  <w:noWrap w:val="0"/>
                  <w:vAlign w:val="center"/>
                </w:tcPr>
                <w:p w14:paraId="51BDE7E1">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1.8</w:t>
                  </w:r>
                </w:p>
              </w:tc>
              <w:tc>
                <w:tcPr>
                  <w:tcW w:w="581" w:type="pct"/>
                  <w:tcBorders>
                    <w:tl2br w:val="nil"/>
                    <w:tr2bl w:val="nil"/>
                  </w:tcBorders>
                  <w:noWrap w:val="0"/>
                  <w:vAlign w:val="center"/>
                </w:tcPr>
                <w:p w14:paraId="355CD0F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6.4</w:t>
                  </w:r>
                </w:p>
              </w:tc>
              <w:tc>
                <w:tcPr>
                  <w:tcW w:w="610" w:type="pct"/>
                  <w:tcBorders>
                    <w:tl2br w:val="nil"/>
                    <w:tr2bl w:val="nil"/>
                  </w:tcBorders>
                  <w:noWrap w:val="0"/>
                  <w:vAlign w:val="center"/>
                </w:tcPr>
                <w:p w14:paraId="7CB42A1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w:t>
                  </w:r>
                </w:p>
              </w:tc>
              <w:tc>
                <w:tcPr>
                  <w:tcW w:w="566" w:type="pct"/>
                  <w:tcBorders>
                    <w:tl2br w:val="nil"/>
                    <w:tr2bl w:val="nil"/>
                  </w:tcBorders>
                  <w:noWrap w:val="0"/>
                  <w:vAlign w:val="center"/>
                </w:tcPr>
                <w:p w14:paraId="44F65F4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8</w:t>
                  </w:r>
                </w:p>
              </w:tc>
              <w:tc>
                <w:tcPr>
                  <w:tcW w:w="533" w:type="pct"/>
                  <w:tcBorders>
                    <w:tl2br w:val="nil"/>
                    <w:tr2bl w:val="nil"/>
                  </w:tcBorders>
                  <w:noWrap w:val="0"/>
                  <w:vAlign w:val="center"/>
                </w:tcPr>
                <w:p w14:paraId="6EE3867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6.4</w:t>
                  </w:r>
                </w:p>
              </w:tc>
            </w:tr>
            <w:tr w14:paraId="34C5F0B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017BF5EE">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海绵及座椅材料</w:t>
                  </w:r>
                </w:p>
              </w:tc>
              <w:tc>
                <w:tcPr>
                  <w:tcW w:w="661" w:type="pct"/>
                  <w:tcBorders>
                    <w:tl2br w:val="nil"/>
                    <w:tr2bl w:val="nil"/>
                  </w:tcBorders>
                  <w:noWrap w:val="0"/>
                  <w:vAlign w:val="center"/>
                </w:tcPr>
                <w:p w14:paraId="1F03E92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2.8</w:t>
                  </w:r>
                </w:p>
              </w:tc>
              <w:tc>
                <w:tcPr>
                  <w:tcW w:w="552" w:type="pct"/>
                  <w:tcBorders>
                    <w:tl2br w:val="nil"/>
                    <w:tr2bl w:val="nil"/>
                  </w:tcBorders>
                  <w:noWrap w:val="0"/>
                  <w:vAlign w:val="center"/>
                </w:tcPr>
                <w:p w14:paraId="0802660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5.3</w:t>
                  </w:r>
                </w:p>
              </w:tc>
              <w:tc>
                <w:tcPr>
                  <w:tcW w:w="617" w:type="pct"/>
                  <w:tcBorders>
                    <w:tl2br w:val="nil"/>
                    <w:tr2bl w:val="nil"/>
                  </w:tcBorders>
                  <w:noWrap w:val="0"/>
                  <w:vAlign w:val="center"/>
                </w:tcPr>
                <w:p w14:paraId="526A9BA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4.4</w:t>
                  </w:r>
                </w:p>
              </w:tc>
              <w:tc>
                <w:tcPr>
                  <w:tcW w:w="581" w:type="pct"/>
                  <w:tcBorders>
                    <w:tl2br w:val="nil"/>
                    <w:tr2bl w:val="nil"/>
                  </w:tcBorders>
                  <w:noWrap w:val="0"/>
                  <w:vAlign w:val="center"/>
                </w:tcPr>
                <w:p w14:paraId="0392C25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c>
                <w:tcPr>
                  <w:tcW w:w="610" w:type="pct"/>
                  <w:tcBorders>
                    <w:tl2br w:val="nil"/>
                    <w:tr2bl w:val="nil"/>
                  </w:tcBorders>
                  <w:noWrap w:val="0"/>
                  <w:vAlign w:val="center"/>
                </w:tcPr>
                <w:p w14:paraId="256798F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12</w:t>
                  </w:r>
                </w:p>
              </w:tc>
              <w:tc>
                <w:tcPr>
                  <w:tcW w:w="566" w:type="pct"/>
                  <w:tcBorders>
                    <w:tl2br w:val="nil"/>
                    <w:tr2bl w:val="nil"/>
                  </w:tcBorders>
                  <w:noWrap w:val="0"/>
                  <w:vAlign w:val="center"/>
                </w:tcPr>
                <w:p w14:paraId="29F3E4D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20</w:t>
                  </w:r>
                </w:p>
              </w:tc>
              <w:tc>
                <w:tcPr>
                  <w:tcW w:w="533" w:type="pct"/>
                  <w:tcBorders>
                    <w:tl2br w:val="nil"/>
                    <w:tr2bl w:val="nil"/>
                  </w:tcBorders>
                  <w:noWrap w:val="0"/>
                  <w:vAlign w:val="center"/>
                </w:tcPr>
                <w:p w14:paraId="2B2CDEC1">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r>
            <w:tr w14:paraId="75B42E8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28A9E697">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内饰材料</w:t>
                  </w:r>
                </w:p>
              </w:tc>
              <w:tc>
                <w:tcPr>
                  <w:tcW w:w="661" w:type="pct"/>
                  <w:tcBorders>
                    <w:tl2br w:val="nil"/>
                    <w:tr2bl w:val="nil"/>
                  </w:tcBorders>
                  <w:noWrap w:val="0"/>
                  <w:vAlign w:val="center"/>
                </w:tcPr>
                <w:p w14:paraId="3F57CA59">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2.8</w:t>
                  </w:r>
                </w:p>
              </w:tc>
              <w:tc>
                <w:tcPr>
                  <w:tcW w:w="552" w:type="pct"/>
                  <w:tcBorders>
                    <w:tl2br w:val="nil"/>
                    <w:tr2bl w:val="nil"/>
                  </w:tcBorders>
                  <w:noWrap w:val="0"/>
                  <w:vAlign w:val="center"/>
                </w:tcPr>
                <w:p w14:paraId="5A36760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5.3</w:t>
                  </w:r>
                </w:p>
              </w:tc>
              <w:tc>
                <w:tcPr>
                  <w:tcW w:w="617" w:type="pct"/>
                  <w:tcBorders>
                    <w:tl2br w:val="nil"/>
                    <w:tr2bl w:val="nil"/>
                  </w:tcBorders>
                  <w:noWrap w:val="0"/>
                  <w:vAlign w:val="center"/>
                </w:tcPr>
                <w:p w14:paraId="0D5751D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4.4</w:t>
                  </w:r>
                </w:p>
              </w:tc>
              <w:tc>
                <w:tcPr>
                  <w:tcW w:w="581" w:type="pct"/>
                  <w:tcBorders>
                    <w:tl2br w:val="nil"/>
                    <w:tr2bl w:val="nil"/>
                  </w:tcBorders>
                  <w:noWrap w:val="0"/>
                  <w:vAlign w:val="center"/>
                </w:tcPr>
                <w:p w14:paraId="2D85261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c>
                <w:tcPr>
                  <w:tcW w:w="610" w:type="pct"/>
                  <w:tcBorders>
                    <w:tl2br w:val="nil"/>
                    <w:tr2bl w:val="nil"/>
                  </w:tcBorders>
                  <w:noWrap w:val="0"/>
                  <w:vAlign w:val="center"/>
                </w:tcPr>
                <w:p w14:paraId="24C64B3D">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12</w:t>
                  </w:r>
                </w:p>
              </w:tc>
              <w:tc>
                <w:tcPr>
                  <w:tcW w:w="566" w:type="pct"/>
                  <w:tcBorders>
                    <w:tl2br w:val="nil"/>
                    <w:tr2bl w:val="nil"/>
                  </w:tcBorders>
                  <w:noWrap w:val="0"/>
                  <w:vAlign w:val="center"/>
                </w:tcPr>
                <w:p w14:paraId="0B1A428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20</w:t>
                  </w:r>
                </w:p>
              </w:tc>
              <w:tc>
                <w:tcPr>
                  <w:tcW w:w="533" w:type="pct"/>
                  <w:tcBorders>
                    <w:tl2br w:val="nil"/>
                    <w:tr2bl w:val="nil"/>
                  </w:tcBorders>
                  <w:noWrap w:val="0"/>
                  <w:vAlign w:val="center"/>
                </w:tcPr>
                <w:p w14:paraId="6C2ED268">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r>
            <w:tr w14:paraId="09F693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7EE3D027">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安全带及相关纺织品</w:t>
                  </w:r>
                </w:p>
              </w:tc>
              <w:tc>
                <w:tcPr>
                  <w:tcW w:w="661" w:type="pct"/>
                  <w:tcBorders>
                    <w:tl2br w:val="nil"/>
                    <w:tr2bl w:val="nil"/>
                  </w:tcBorders>
                  <w:noWrap w:val="0"/>
                  <w:vAlign w:val="center"/>
                </w:tcPr>
                <w:p w14:paraId="2F8A137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1.4</w:t>
                  </w:r>
                </w:p>
              </w:tc>
              <w:tc>
                <w:tcPr>
                  <w:tcW w:w="552" w:type="pct"/>
                  <w:tcBorders>
                    <w:tl2br w:val="nil"/>
                    <w:tr2bl w:val="nil"/>
                  </w:tcBorders>
                  <w:noWrap w:val="0"/>
                  <w:vAlign w:val="center"/>
                </w:tcPr>
                <w:p w14:paraId="27084AC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2.6</w:t>
                  </w:r>
                </w:p>
              </w:tc>
              <w:tc>
                <w:tcPr>
                  <w:tcW w:w="617" w:type="pct"/>
                  <w:tcBorders>
                    <w:tl2br w:val="nil"/>
                    <w:tr2bl w:val="nil"/>
                  </w:tcBorders>
                  <w:noWrap w:val="0"/>
                  <w:vAlign w:val="center"/>
                </w:tcPr>
                <w:p w14:paraId="49B3EA0A">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2.2</w:t>
                  </w:r>
                </w:p>
              </w:tc>
              <w:tc>
                <w:tcPr>
                  <w:tcW w:w="581" w:type="pct"/>
                  <w:tcBorders>
                    <w:tl2br w:val="nil"/>
                    <w:tr2bl w:val="nil"/>
                  </w:tcBorders>
                  <w:noWrap w:val="0"/>
                  <w:vAlign w:val="center"/>
                </w:tcPr>
                <w:p w14:paraId="395FF48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c>
                <w:tcPr>
                  <w:tcW w:w="610" w:type="pct"/>
                  <w:tcBorders>
                    <w:tl2br w:val="nil"/>
                    <w:tr2bl w:val="nil"/>
                  </w:tcBorders>
                  <w:noWrap w:val="0"/>
                  <w:vAlign w:val="center"/>
                </w:tcPr>
                <w:p w14:paraId="6D3222C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6</w:t>
                  </w:r>
                </w:p>
              </w:tc>
              <w:tc>
                <w:tcPr>
                  <w:tcW w:w="566" w:type="pct"/>
                  <w:tcBorders>
                    <w:tl2br w:val="nil"/>
                    <w:tr2bl w:val="nil"/>
                  </w:tcBorders>
                  <w:noWrap w:val="0"/>
                  <w:vAlign w:val="center"/>
                </w:tcPr>
                <w:p w14:paraId="01956C0B">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10</w:t>
                  </w:r>
                </w:p>
              </w:tc>
              <w:tc>
                <w:tcPr>
                  <w:tcW w:w="533" w:type="pct"/>
                  <w:tcBorders>
                    <w:tl2br w:val="nil"/>
                    <w:tr2bl w:val="nil"/>
                  </w:tcBorders>
                  <w:noWrap w:val="0"/>
                  <w:vAlign w:val="center"/>
                </w:tcPr>
                <w:p w14:paraId="5947DAE6">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8</w:t>
                  </w:r>
                </w:p>
              </w:tc>
            </w:tr>
            <w:tr w14:paraId="7459276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1DCF5A43">
                  <w:pPr>
                    <w:widowControl w:val="0"/>
                    <w:adjustRightInd/>
                    <w:snapToGrid/>
                    <w:spacing w:after="0"/>
                    <w:jc w:val="center"/>
                    <w:rPr>
                      <w:rFonts w:hint="eastAsia"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轻质物料</w:t>
                  </w:r>
                </w:p>
              </w:tc>
              <w:tc>
                <w:tcPr>
                  <w:tcW w:w="661" w:type="pct"/>
                  <w:tcBorders>
                    <w:tl2br w:val="nil"/>
                    <w:tr2bl w:val="nil"/>
                  </w:tcBorders>
                  <w:noWrap w:val="0"/>
                  <w:vAlign w:val="center"/>
                </w:tcPr>
                <w:p w14:paraId="29B3989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0.7</w:t>
                  </w:r>
                </w:p>
              </w:tc>
              <w:tc>
                <w:tcPr>
                  <w:tcW w:w="552" w:type="pct"/>
                  <w:tcBorders>
                    <w:tl2br w:val="nil"/>
                    <w:tr2bl w:val="nil"/>
                  </w:tcBorders>
                  <w:noWrap w:val="0"/>
                  <w:vAlign w:val="center"/>
                </w:tcPr>
                <w:p w14:paraId="76A8EF9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1.3</w:t>
                  </w:r>
                </w:p>
              </w:tc>
              <w:tc>
                <w:tcPr>
                  <w:tcW w:w="617" w:type="pct"/>
                  <w:tcBorders>
                    <w:tl2br w:val="nil"/>
                    <w:tr2bl w:val="nil"/>
                  </w:tcBorders>
                  <w:noWrap w:val="0"/>
                  <w:vAlign w:val="center"/>
                </w:tcPr>
                <w:p w14:paraId="3221A657">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1.1</w:t>
                  </w:r>
                </w:p>
              </w:tc>
              <w:tc>
                <w:tcPr>
                  <w:tcW w:w="581" w:type="pct"/>
                  <w:tcBorders>
                    <w:tl2br w:val="nil"/>
                    <w:tr2bl w:val="nil"/>
                  </w:tcBorders>
                  <w:noWrap w:val="0"/>
                  <w:vAlign w:val="center"/>
                </w:tcPr>
                <w:p w14:paraId="6D51AF3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c>
                <w:tcPr>
                  <w:tcW w:w="610" w:type="pct"/>
                  <w:tcBorders>
                    <w:tl2br w:val="nil"/>
                    <w:tr2bl w:val="nil"/>
                  </w:tcBorders>
                  <w:noWrap w:val="0"/>
                  <w:vAlign w:val="center"/>
                </w:tcPr>
                <w:p w14:paraId="2381985F">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3</w:t>
                  </w:r>
                </w:p>
              </w:tc>
              <w:tc>
                <w:tcPr>
                  <w:tcW w:w="566" w:type="pct"/>
                  <w:tcBorders>
                    <w:tl2br w:val="nil"/>
                    <w:tr2bl w:val="nil"/>
                  </w:tcBorders>
                  <w:noWrap w:val="0"/>
                  <w:vAlign w:val="center"/>
                </w:tcPr>
                <w:p w14:paraId="110FD3D2">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6</w:t>
                  </w:r>
                </w:p>
              </w:tc>
              <w:tc>
                <w:tcPr>
                  <w:tcW w:w="533" w:type="pct"/>
                  <w:tcBorders>
                    <w:tl2br w:val="nil"/>
                    <w:tr2bl w:val="nil"/>
                  </w:tcBorders>
                  <w:noWrap w:val="0"/>
                  <w:vAlign w:val="center"/>
                </w:tcPr>
                <w:p w14:paraId="1E0E0ED1">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4.8</w:t>
                  </w:r>
                </w:p>
              </w:tc>
            </w:tr>
            <w:tr w14:paraId="5021903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77" w:type="pct"/>
                  <w:tcBorders>
                    <w:tl2br w:val="nil"/>
                    <w:tr2bl w:val="nil"/>
                  </w:tcBorders>
                  <w:noWrap w:val="0"/>
                  <w:vAlign w:val="center"/>
                </w:tcPr>
                <w:p w14:paraId="54E89925">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不可利用废物</w:t>
                  </w:r>
                </w:p>
              </w:tc>
              <w:tc>
                <w:tcPr>
                  <w:tcW w:w="661" w:type="pct"/>
                  <w:tcBorders>
                    <w:tl2br w:val="nil"/>
                    <w:tr2bl w:val="nil"/>
                  </w:tcBorders>
                  <w:noWrap w:val="0"/>
                  <w:vAlign w:val="center"/>
                </w:tcPr>
                <w:p w14:paraId="54346934">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1.6</w:t>
                  </w:r>
                </w:p>
              </w:tc>
              <w:tc>
                <w:tcPr>
                  <w:tcW w:w="552" w:type="pct"/>
                  <w:tcBorders>
                    <w:tl2br w:val="nil"/>
                    <w:tr2bl w:val="nil"/>
                  </w:tcBorders>
                  <w:noWrap w:val="0"/>
                  <w:vAlign w:val="center"/>
                </w:tcPr>
                <w:p w14:paraId="6D3DE0A1">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2.9</w:t>
                  </w:r>
                </w:p>
              </w:tc>
              <w:tc>
                <w:tcPr>
                  <w:tcW w:w="617" w:type="pct"/>
                  <w:tcBorders>
                    <w:tl2br w:val="nil"/>
                    <w:tr2bl w:val="nil"/>
                  </w:tcBorders>
                  <w:noWrap w:val="0"/>
                  <w:vAlign w:val="center"/>
                </w:tcPr>
                <w:p w14:paraId="43C6352C">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2.9</w:t>
                  </w:r>
                </w:p>
              </w:tc>
              <w:tc>
                <w:tcPr>
                  <w:tcW w:w="581" w:type="pct"/>
                  <w:tcBorders>
                    <w:tl2br w:val="nil"/>
                    <w:tr2bl w:val="nil"/>
                  </w:tcBorders>
                  <w:noWrap w:val="0"/>
                  <w:vAlign w:val="center"/>
                </w:tcPr>
                <w:p w14:paraId="7A97A37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9.6</w:t>
                  </w:r>
                </w:p>
              </w:tc>
              <w:tc>
                <w:tcPr>
                  <w:tcW w:w="610" w:type="pct"/>
                  <w:tcBorders>
                    <w:tl2br w:val="nil"/>
                    <w:tr2bl w:val="nil"/>
                  </w:tcBorders>
                  <w:noWrap w:val="0"/>
                  <w:vAlign w:val="center"/>
                </w:tcPr>
                <w:p w14:paraId="603C09E3">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7</w:t>
                  </w:r>
                </w:p>
              </w:tc>
              <w:tc>
                <w:tcPr>
                  <w:tcW w:w="566" w:type="pct"/>
                  <w:tcBorders>
                    <w:tl2br w:val="nil"/>
                    <w:tr2bl w:val="nil"/>
                  </w:tcBorders>
                  <w:noWrap w:val="0"/>
                  <w:vAlign w:val="center"/>
                </w:tcPr>
                <w:p w14:paraId="0A5BD24E">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default" w:ascii="Times New Roman" w:hAnsi="Times New Roman" w:eastAsia="宋体" w:cs="Times New Roman"/>
                      <w:kern w:val="2"/>
                      <w:sz w:val="18"/>
                      <w:szCs w:val="18"/>
                      <w:vertAlign w:val="baseline"/>
                      <w:lang w:val="en-US" w:eastAsia="zh-CN"/>
                    </w:rPr>
                    <w:t>12</w:t>
                  </w:r>
                </w:p>
              </w:tc>
              <w:tc>
                <w:tcPr>
                  <w:tcW w:w="533" w:type="pct"/>
                  <w:tcBorders>
                    <w:tl2br w:val="nil"/>
                    <w:tr2bl w:val="nil"/>
                  </w:tcBorders>
                  <w:noWrap w:val="0"/>
                  <w:vAlign w:val="center"/>
                </w:tcPr>
                <w:p w14:paraId="2B5CC2F0">
                  <w:pPr>
                    <w:widowControl w:val="0"/>
                    <w:adjustRightInd/>
                    <w:snapToGrid/>
                    <w:spacing w:after="0"/>
                    <w:jc w:val="center"/>
                    <w:rPr>
                      <w:rFonts w:hint="default" w:ascii="Times New Roman" w:hAnsi="Times New Roman" w:eastAsia="宋体" w:cs="Times New Roman"/>
                      <w:kern w:val="2"/>
                      <w:sz w:val="18"/>
                      <w:szCs w:val="18"/>
                      <w:vertAlign w:val="baseline"/>
                      <w:lang w:val="en-US" w:eastAsia="zh-CN"/>
                    </w:rPr>
                  </w:pPr>
                  <w:r>
                    <w:rPr>
                      <w:rFonts w:hint="eastAsia" w:ascii="Times New Roman" w:hAnsi="Times New Roman" w:eastAsia="宋体" w:cs="Times New Roman"/>
                      <w:kern w:val="2"/>
                      <w:sz w:val="18"/>
                      <w:szCs w:val="18"/>
                      <w:vertAlign w:val="baseline"/>
                      <w:lang w:val="en-US" w:eastAsia="zh-CN"/>
                    </w:rPr>
                    <w:t>9.6</w:t>
                  </w:r>
                </w:p>
              </w:tc>
            </w:tr>
          </w:tbl>
          <w:p w14:paraId="08595F87">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rPr>
              <w:t>（5）主要产品及产能</w:t>
            </w:r>
          </w:p>
          <w:p w14:paraId="485E5C04">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rPr>
              <w:t>本项目产品方案为报废汽车拆解下来的各种可回收的物资，包括汽车拆解过程产生的钢铁、有色金属、塑料、橡胶、玻璃、零部件等材料。本项目不对变速器、电子元器件、蓄电池、动力蓄电池、尾气净化装置、发动机等进行深度拆解。汽车拆解所得的部分固体废物也是项目的主要产品，包括钢铁、有色金属、塑料、玻璃、总成和可回收再利用零部件等。发动机拆解后的产品都包括在汽车拆解的主要产品中，因此发动机拆解产品不再单独列出。建设单位将各类固体废物分类、分区收集暂存后，根据其用途、性质进行外售综合利用或委托有资质单位处置，项目产品方案详见表2-</w:t>
            </w:r>
            <w:r>
              <w:rPr>
                <w:rFonts w:hint="eastAsia" w:ascii="Times New Roman" w:hAnsi="Times New Roman" w:eastAsia="宋体" w:cs="Times New Roman"/>
                <w:color w:val="auto"/>
                <w:spacing w:val="-2"/>
                <w:kern w:val="2"/>
                <w:sz w:val="24"/>
                <w:szCs w:val="24"/>
                <w:lang w:val="en-US" w:eastAsia="zh-CN"/>
              </w:rPr>
              <w:t>5</w:t>
            </w:r>
            <w:r>
              <w:rPr>
                <w:rFonts w:hint="default" w:ascii="Times New Roman" w:hAnsi="Times New Roman" w:eastAsia="宋体" w:cs="Times New Roman"/>
                <w:color w:val="auto"/>
                <w:spacing w:val="-2"/>
                <w:kern w:val="2"/>
                <w:sz w:val="24"/>
                <w:szCs w:val="24"/>
              </w:rPr>
              <w:t>。</w:t>
            </w:r>
          </w:p>
          <w:p w14:paraId="406A6B14">
            <w:pPr>
              <w:widowControl w:val="0"/>
              <w:adjustRightInd w:val="0"/>
              <w:snapToGrid w:val="0"/>
              <w:spacing w:before="120" w:beforeLines="50" w:after="0"/>
              <w:ind w:firstLine="422" w:firstLineChars="200"/>
              <w:jc w:val="center"/>
              <w:rPr>
                <w:rFonts w:hint="eastAsia" w:ascii="Times New Roman" w:hAnsi="Times New Roman" w:eastAsia="宋体" w:cs="Times New Roman"/>
                <w:b/>
                <w:iCs/>
                <w:kern w:val="2"/>
                <w:sz w:val="21"/>
                <w:szCs w:val="21"/>
                <w:u w:val="none"/>
              </w:rPr>
            </w:pPr>
            <w:r>
              <w:rPr>
                <w:rFonts w:hint="eastAsia" w:ascii="Times New Roman" w:hAnsi="Times New Roman" w:eastAsia="宋体" w:cs="Times New Roman"/>
                <w:b/>
                <w:iCs/>
                <w:kern w:val="2"/>
                <w:sz w:val="21"/>
                <w:szCs w:val="21"/>
                <w:u w:val="none"/>
              </w:rPr>
              <w:t>表</w:t>
            </w:r>
            <w:r>
              <w:rPr>
                <w:rFonts w:hint="eastAsia" w:ascii="Times New Roman" w:hAnsi="Times New Roman" w:eastAsia="宋体" w:cs="Times New Roman"/>
                <w:b/>
                <w:iCs/>
                <w:kern w:val="2"/>
                <w:sz w:val="21"/>
                <w:szCs w:val="21"/>
                <w:u w:val="none"/>
                <w:lang w:val="en-US" w:eastAsia="zh-CN"/>
              </w:rPr>
              <w:t>2-5</w:t>
            </w:r>
            <w:r>
              <w:rPr>
                <w:rFonts w:hint="eastAsia" w:ascii="Times New Roman" w:hAnsi="Times New Roman" w:eastAsia="宋体" w:cs="Times New Roman"/>
                <w:b/>
                <w:iCs/>
                <w:kern w:val="2"/>
                <w:sz w:val="21"/>
                <w:szCs w:val="21"/>
                <w:u w:val="none"/>
              </w:rPr>
              <w:t xml:space="preserve">      </w:t>
            </w:r>
            <w:r>
              <w:rPr>
                <w:rFonts w:hint="eastAsia" w:ascii="Times New Roman" w:hAnsi="Times New Roman" w:eastAsia="宋体" w:cs="Times New Roman"/>
                <w:b/>
                <w:iCs/>
                <w:kern w:val="2"/>
                <w:sz w:val="21"/>
                <w:szCs w:val="21"/>
                <w:u w:val="none"/>
                <w:lang w:val="en-US" w:eastAsia="zh-CN"/>
              </w:rPr>
              <w:t>主要产品及产能</w:t>
            </w:r>
            <w:r>
              <w:rPr>
                <w:rFonts w:hint="eastAsia" w:ascii="Times New Roman" w:hAnsi="Times New Roman" w:eastAsia="宋体" w:cs="Times New Roman"/>
                <w:b/>
                <w:iCs/>
                <w:kern w:val="2"/>
                <w:sz w:val="21"/>
                <w:szCs w:val="21"/>
                <w:u w:val="none"/>
              </w:rPr>
              <w:t>一览表</w:t>
            </w:r>
          </w:p>
          <w:tbl>
            <w:tblPr>
              <w:tblStyle w:val="11"/>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058"/>
              <w:gridCol w:w="1870"/>
              <w:gridCol w:w="3357"/>
              <w:gridCol w:w="2018"/>
            </w:tblGrid>
            <w:tr w14:paraId="3C4B423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1832422E">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序号</w:t>
                  </w:r>
                </w:p>
              </w:tc>
              <w:tc>
                <w:tcPr>
                  <w:tcW w:w="3147" w:type="pct"/>
                  <w:gridSpan w:val="2"/>
                  <w:tcBorders>
                    <w:tl2br w:val="nil"/>
                    <w:tr2bl w:val="nil"/>
                  </w:tcBorders>
                  <w:noWrap w:val="0"/>
                  <w:vAlign w:val="center"/>
                </w:tcPr>
                <w:p w14:paraId="27818F8E">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产品种类</w:t>
                  </w:r>
                </w:p>
              </w:tc>
              <w:tc>
                <w:tcPr>
                  <w:tcW w:w="1215" w:type="pct"/>
                  <w:tcBorders>
                    <w:tl2br w:val="nil"/>
                    <w:tr2bl w:val="nil"/>
                  </w:tcBorders>
                  <w:noWrap w:val="0"/>
                  <w:vAlign w:val="center"/>
                </w:tcPr>
                <w:p w14:paraId="3BD11ECF">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数量（t/a）</w:t>
                  </w:r>
                </w:p>
              </w:tc>
            </w:tr>
            <w:tr w14:paraId="11763D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662A6DA5">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w:t>
                  </w:r>
                </w:p>
              </w:tc>
              <w:tc>
                <w:tcPr>
                  <w:tcW w:w="1126" w:type="pct"/>
                  <w:tcBorders>
                    <w:tl2br w:val="nil"/>
                    <w:tr2bl w:val="nil"/>
                  </w:tcBorders>
                  <w:noWrap w:val="0"/>
                  <w:vAlign w:val="center"/>
                </w:tcPr>
                <w:p w14:paraId="12BC1602">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钢铁</w:t>
                  </w:r>
                </w:p>
              </w:tc>
              <w:tc>
                <w:tcPr>
                  <w:tcW w:w="2020" w:type="pct"/>
                  <w:tcBorders>
                    <w:tl2br w:val="nil"/>
                    <w:tr2bl w:val="nil"/>
                  </w:tcBorders>
                  <w:noWrap w:val="0"/>
                  <w:vAlign w:val="center"/>
                </w:tcPr>
                <w:p w14:paraId="3EFA48ED">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车门、车身、悬架、前后桥、消声器、螺丝、轴承、不具备再制造条件的总成等</w:t>
                  </w:r>
                </w:p>
              </w:tc>
              <w:tc>
                <w:tcPr>
                  <w:tcW w:w="1215" w:type="pct"/>
                  <w:tcBorders>
                    <w:tl2br w:val="nil"/>
                    <w:tr2bl w:val="nil"/>
                  </w:tcBorders>
                  <w:noWrap w:val="0"/>
                  <w:vAlign w:val="center"/>
                </w:tcPr>
                <w:p w14:paraId="105211AE">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16305</w:t>
                  </w:r>
                </w:p>
              </w:tc>
            </w:tr>
            <w:tr w14:paraId="535B0A5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3BB6E719">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2</w:t>
                  </w:r>
                </w:p>
              </w:tc>
              <w:tc>
                <w:tcPr>
                  <w:tcW w:w="1126" w:type="pct"/>
                  <w:tcBorders>
                    <w:tl2br w:val="nil"/>
                    <w:tr2bl w:val="nil"/>
                  </w:tcBorders>
                  <w:noWrap w:val="0"/>
                  <w:vAlign w:val="center"/>
                </w:tcPr>
                <w:p w14:paraId="6A935ACF">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有色金属</w:t>
                  </w:r>
                </w:p>
              </w:tc>
              <w:tc>
                <w:tcPr>
                  <w:tcW w:w="2020" w:type="pct"/>
                  <w:tcBorders>
                    <w:tl2br w:val="nil"/>
                    <w:tr2bl w:val="nil"/>
                  </w:tcBorders>
                  <w:noWrap w:val="0"/>
                  <w:vAlign w:val="center"/>
                </w:tcPr>
                <w:p w14:paraId="7B3BBA79">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变速器、散热器，其他有色金属</w:t>
                  </w:r>
                </w:p>
              </w:tc>
              <w:tc>
                <w:tcPr>
                  <w:tcW w:w="1215" w:type="pct"/>
                  <w:tcBorders>
                    <w:tl2br w:val="nil"/>
                    <w:tr2bl w:val="nil"/>
                  </w:tcBorders>
                  <w:noWrap w:val="0"/>
                  <w:vAlign w:val="center"/>
                </w:tcPr>
                <w:p w14:paraId="7C54C453">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1827.3</w:t>
                  </w:r>
                </w:p>
              </w:tc>
            </w:tr>
            <w:tr w14:paraId="73310D9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4933A920">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3</w:t>
                  </w:r>
                </w:p>
              </w:tc>
              <w:tc>
                <w:tcPr>
                  <w:tcW w:w="3147" w:type="pct"/>
                  <w:gridSpan w:val="2"/>
                  <w:tcBorders>
                    <w:tl2br w:val="nil"/>
                    <w:tr2bl w:val="nil"/>
                  </w:tcBorders>
                  <w:noWrap w:val="0"/>
                  <w:vAlign w:val="center"/>
                </w:tcPr>
                <w:p w14:paraId="6E36DED9">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玻璃</w:t>
                  </w:r>
                </w:p>
              </w:tc>
              <w:tc>
                <w:tcPr>
                  <w:tcW w:w="1215" w:type="pct"/>
                  <w:tcBorders>
                    <w:tl2br w:val="nil"/>
                    <w:tr2bl w:val="nil"/>
                  </w:tcBorders>
                  <w:noWrap w:val="0"/>
                  <w:vAlign w:val="center"/>
                </w:tcPr>
                <w:p w14:paraId="5E820F17">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745.2</w:t>
                  </w:r>
                </w:p>
              </w:tc>
            </w:tr>
            <w:tr w14:paraId="609E652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61123696">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4</w:t>
                  </w:r>
                </w:p>
              </w:tc>
              <w:tc>
                <w:tcPr>
                  <w:tcW w:w="1126" w:type="pct"/>
                  <w:tcBorders>
                    <w:tl2br w:val="nil"/>
                    <w:tr2bl w:val="nil"/>
                  </w:tcBorders>
                  <w:noWrap w:val="0"/>
                  <w:vAlign w:val="center"/>
                </w:tcPr>
                <w:p w14:paraId="343ABE11">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橡胶（轮胎等）</w:t>
                  </w:r>
                </w:p>
              </w:tc>
              <w:tc>
                <w:tcPr>
                  <w:tcW w:w="2020" w:type="pct"/>
                  <w:tcBorders>
                    <w:tl2br w:val="nil"/>
                    <w:tr2bl w:val="nil"/>
                  </w:tcBorders>
                  <w:noWrap w:val="0"/>
                  <w:vAlign w:val="center"/>
                </w:tcPr>
                <w:p w14:paraId="6DAA5737">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轮胎及减震橡胶块、密封条，其他橡胶制品</w:t>
                  </w:r>
                </w:p>
              </w:tc>
              <w:tc>
                <w:tcPr>
                  <w:tcW w:w="1215" w:type="pct"/>
                  <w:tcBorders>
                    <w:tl2br w:val="nil"/>
                    <w:tr2bl w:val="nil"/>
                  </w:tcBorders>
                  <w:noWrap w:val="0"/>
                  <w:vAlign w:val="center"/>
                </w:tcPr>
                <w:p w14:paraId="4AF4ED43">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1832.8</w:t>
                  </w:r>
                </w:p>
              </w:tc>
            </w:tr>
            <w:tr w14:paraId="180D47B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1F35D3FF">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5</w:t>
                  </w:r>
                </w:p>
              </w:tc>
              <w:tc>
                <w:tcPr>
                  <w:tcW w:w="1126" w:type="pct"/>
                  <w:tcBorders>
                    <w:tl2br w:val="nil"/>
                    <w:tr2bl w:val="nil"/>
                  </w:tcBorders>
                  <w:noWrap w:val="0"/>
                  <w:vAlign w:val="center"/>
                </w:tcPr>
                <w:p w14:paraId="18FEDA60">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塑料</w:t>
                  </w:r>
                </w:p>
              </w:tc>
              <w:tc>
                <w:tcPr>
                  <w:tcW w:w="2020" w:type="pct"/>
                  <w:tcBorders>
                    <w:tl2br w:val="nil"/>
                    <w:tr2bl w:val="nil"/>
                  </w:tcBorders>
                  <w:noWrap w:val="0"/>
                  <w:vAlign w:val="center"/>
                </w:tcPr>
                <w:p w14:paraId="22D80726">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保险杠、仪表盘等</w:t>
                  </w:r>
                </w:p>
              </w:tc>
              <w:tc>
                <w:tcPr>
                  <w:tcW w:w="1215" w:type="pct"/>
                  <w:tcBorders>
                    <w:tl2br w:val="nil"/>
                    <w:tr2bl w:val="nil"/>
                  </w:tcBorders>
                  <w:noWrap w:val="0"/>
                  <w:vAlign w:val="center"/>
                </w:tcPr>
                <w:p w14:paraId="7C39784D">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2534.5</w:t>
                  </w:r>
                </w:p>
              </w:tc>
            </w:tr>
            <w:tr w14:paraId="6830F32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5BF9730F">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6</w:t>
                  </w:r>
                </w:p>
              </w:tc>
              <w:tc>
                <w:tcPr>
                  <w:tcW w:w="3147" w:type="pct"/>
                  <w:gridSpan w:val="2"/>
                  <w:tcBorders>
                    <w:tl2br w:val="nil"/>
                    <w:tr2bl w:val="nil"/>
                  </w:tcBorders>
                  <w:noWrap w:val="0"/>
                  <w:vAlign w:val="center"/>
                </w:tcPr>
                <w:p w14:paraId="6CE67102">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五大总成</w:t>
                  </w:r>
                </w:p>
              </w:tc>
              <w:tc>
                <w:tcPr>
                  <w:tcW w:w="1215" w:type="pct"/>
                  <w:tcBorders>
                    <w:tl2br w:val="nil"/>
                    <w:tr2bl w:val="nil"/>
                  </w:tcBorders>
                  <w:noWrap w:val="0"/>
                  <w:vAlign w:val="center"/>
                </w:tcPr>
                <w:p w14:paraId="18FA0D59">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10683</w:t>
                  </w:r>
                </w:p>
              </w:tc>
            </w:tr>
            <w:tr w14:paraId="3F6F294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37" w:type="pct"/>
                  <w:tcBorders>
                    <w:tl2br w:val="nil"/>
                    <w:tr2bl w:val="nil"/>
                  </w:tcBorders>
                  <w:noWrap w:val="0"/>
                  <w:vAlign w:val="center"/>
                </w:tcPr>
                <w:p w14:paraId="5720E18C">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7</w:t>
                  </w:r>
                </w:p>
              </w:tc>
              <w:tc>
                <w:tcPr>
                  <w:tcW w:w="3147" w:type="pct"/>
                  <w:gridSpan w:val="2"/>
                  <w:tcBorders>
                    <w:tl2br w:val="nil"/>
                    <w:tr2bl w:val="nil"/>
                  </w:tcBorders>
                  <w:noWrap w:val="0"/>
                  <w:vAlign w:val="center"/>
                </w:tcPr>
                <w:p w14:paraId="4D78C26E">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回用件</w:t>
                  </w:r>
                </w:p>
              </w:tc>
              <w:tc>
                <w:tcPr>
                  <w:tcW w:w="1215" w:type="pct"/>
                  <w:tcBorders>
                    <w:tl2br w:val="nil"/>
                    <w:tr2bl w:val="nil"/>
                  </w:tcBorders>
                  <w:noWrap w:val="0"/>
                  <w:vAlign w:val="center"/>
                </w:tcPr>
                <w:p w14:paraId="6127B4CF">
                  <w:pPr>
                    <w:widowControl w:val="0"/>
                    <w:adjustRightInd/>
                    <w:snapToGrid/>
                    <w:spacing w:after="0"/>
                    <w:jc w:val="center"/>
                    <w:rPr>
                      <w:rFonts w:hint="default" w:ascii="Times New Roman" w:hAnsi="Times New Roman" w:eastAsia="宋体" w:cs="Times New Roman"/>
                      <w:kern w:val="2"/>
                      <w:sz w:val="21"/>
                      <w:szCs w:val="24"/>
                      <w:vertAlign w:val="baseline"/>
                      <w:lang w:val="en-US" w:eastAsia="zh-CN"/>
                    </w:rPr>
                  </w:pPr>
                  <w:r>
                    <w:rPr>
                      <w:rFonts w:hint="eastAsia" w:ascii="Times New Roman" w:hAnsi="Times New Roman" w:eastAsia="宋体" w:cs="Times New Roman"/>
                      <w:kern w:val="2"/>
                      <w:sz w:val="21"/>
                      <w:szCs w:val="24"/>
                      <w:vertAlign w:val="baseline"/>
                      <w:lang w:val="en-US" w:eastAsia="zh-CN"/>
                    </w:rPr>
                    <w:t>1567</w:t>
                  </w:r>
                </w:p>
              </w:tc>
            </w:tr>
          </w:tbl>
          <w:p w14:paraId="0150EEC8">
            <w:pPr>
              <w:spacing w:after="0"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lang w:val="en-US" w:eastAsia="zh-CN"/>
              </w:rPr>
              <w:t>4</w:t>
            </w:r>
            <w:r>
              <w:rPr>
                <w:rFonts w:hint="eastAsia" w:ascii="宋体" w:hAnsi="宋体" w:eastAsia="宋体" w:cs="宋体"/>
                <w:b/>
                <w:bCs/>
                <w:sz w:val="24"/>
                <w:szCs w:val="24"/>
              </w:rPr>
              <w:t>、公用设施</w:t>
            </w:r>
          </w:p>
          <w:p w14:paraId="6FCC9DA8">
            <w:pPr>
              <w:pStyle w:val="18"/>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①给水</w:t>
            </w:r>
          </w:p>
          <w:p w14:paraId="03705A93">
            <w:pPr>
              <w:pStyle w:val="18"/>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项目运营期主要用水为员工生活用水以及地面清洁用水。其中员工生活用水量为</w:t>
            </w:r>
            <w:r>
              <w:rPr>
                <w:rFonts w:hint="default" w:ascii="Times New Roman" w:hAnsi="Times New Roman" w:eastAsia="宋体" w:cs="Times New Roman"/>
                <w:color w:val="000000"/>
                <w:sz w:val="24"/>
                <w:szCs w:val="24"/>
                <w:highlight w:val="none"/>
                <w:u w:val="none" w:color="auto"/>
                <w:lang w:val="en-US" w:eastAsia="zh-CN"/>
              </w:rPr>
              <w:t>1.0</w:t>
            </w:r>
            <w:r>
              <w:rPr>
                <w:rFonts w:hint="eastAsia" w:ascii="Times New Roman" w:hAnsi="Times New Roman" w:eastAsia="宋体" w:cs="Times New Roman"/>
                <w:color w:val="000000"/>
                <w:sz w:val="24"/>
                <w:szCs w:val="24"/>
                <w:highlight w:val="none"/>
                <w:u w:val="none" w:color="auto"/>
                <w:lang w:val="en-US" w:eastAsia="zh-CN"/>
              </w:rPr>
              <w:t>5</w:t>
            </w:r>
            <w:r>
              <w:rPr>
                <w:rFonts w:hint="default" w:ascii="Times New Roman" w:hAnsi="Times New Roman" w:eastAsia="宋体" w:cs="Times New Roman"/>
                <w:color w:val="000000"/>
                <w:sz w:val="24"/>
                <w:szCs w:val="24"/>
                <w:highlight w:val="none"/>
                <w:u w:val="none" w:color="auto"/>
                <w:lang w:val="en-US" w:eastAsia="zh-CN"/>
              </w:rPr>
              <w:t>t/d</w:t>
            </w:r>
            <w:r>
              <w:rPr>
                <w:rFonts w:hint="eastAsia" w:ascii="Times New Roman" w:hAnsi="Times New Roman" w:eastAsia="宋体" w:cs="Times New Roman"/>
                <w:color w:val="000000"/>
                <w:sz w:val="24"/>
                <w:szCs w:val="24"/>
                <w:highlight w:val="none"/>
                <w:u w:val="none" w:color="auto"/>
                <w:lang w:val="en-US" w:eastAsia="zh-CN"/>
              </w:rPr>
              <w:t>（</w:t>
            </w:r>
            <w:r>
              <w:rPr>
                <w:rFonts w:hint="default" w:ascii="Times New Roman" w:hAnsi="Times New Roman" w:eastAsia="宋体" w:cs="Times New Roman"/>
                <w:color w:val="000000"/>
                <w:sz w:val="24"/>
                <w:szCs w:val="24"/>
                <w:highlight w:val="none"/>
                <w:u w:val="none" w:color="auto"/>
                <w:lang w:val="en-US" w:eastAsia="zh-CN"/>
              </w:rPr>
              <w:t>3</w:t>
            </w:r>
            <w:r>
              <w:rPr>
                <w:rFonts w:hint="eastAsia" w:ascii="Times New Roman" w:hAnsi="Times New Roman" w:eastAsia="宋体" w:cs="Times New Roman"/>
                <w:color w:val="000000"/>
                <w:sz w:val="24"/>
                <w:szCs w:val="24"/>
                <w:highlight w:val="none"/>
                <w:u w:val="none" w:color="auto"/>
                <w:lang w:val="en-US" w:eastAsia="zh-CN"/>
              </w:rPr>
              <w:t>15</w:t>
            </w:r>
            <w:r>
              <w:rPr>
                <w:rFonts w:hint="default" w:ascii="Times New Roman" w:hAnsi="Times New Roman" w:eastAsia="宋体" w:cs="Times New Roman"/>
                <w:color w:val="000000"/>
                <w:sz w:val="24"/>
                <w:szCs w:val="24"/>
                <w:highlight w:val="none"/>
                <w:u w:val="none" w:color="auto"/>
                <w:lang w:val="en-US" w:eastAsia="zh-CN"/>
              </w:rPr>
              <w:t>t/a</w:t>
            </w:r>
            <w:r>
              <w:rPr>
                <w:rFonts w:hint="eastAsia" w:ascii="Times New Roman" w:hAnsi="Times New Roman" w:eastAsia="宋体" w:cs="Times New Roman"/>
                <w:color w:val="000000"/>
                <w:sz w:val="24"/>
                <w:szCs w:val="24"/>
                <w:highlight w:val="none"/>
                <w:u w:val="none" w:color="auto"/>
                <w:lang w:val="en-US" w:eastAsia="zh-CN"/>
              </w:rPr>
              <w:t>）</w:t>
            </w:r>
            <w:r>
              <w:rPr>
                <w:rFonts w:hint="default" w:ascii="Times New Roman" w:hAnsi="Times New Roman" w:eastAsia="宋体" w:cs="Times New Roman"/>
                <w:color w:val="auto"/>
                <w:spacing w:val="-2"/>
                <w:kern w:val="2"/>
                <w:sz w:val="24"/>
                <w:szCs w:val="24"/>
                <w:lang w:val="en-US" w:eastAsia="zh-CN" w:bidi="ar-SA"/>
              </w:rPr>
              <w:t>；地面清洁用水量为</w:t>
            </w:r>
            <w:r>
              <w:rPr>
                <w:rFonts w:hint="eastAsia" w:ascii="Times New Roman" w:hAnsi="Times New Roman" w:eastAsia="宋体" w:cs="Times New Roman"/>
                <w:color w:val="000000"/>
                <w:sz w:val="24"/>
                <w:szCs w:val="24"/>
                <w:highlight w:val="none"/>
                <w:u w:val="none" w:color="auto"/>
                <w:lang w:val="en-US" w:eastAsia="zh-CN"/>
              </w:rPr>
              <w:t>215t/a</w:t>
            </w:r>
            <w:r>
              <w:rPr>
                <w:rFonts w:hint="default" w:ascii="Times New Roman" w:hAnsi="Times New Roman" w:eastAsia="宋体" w:cs="Times New Roman"/>
                <w:color w:val="auto"/>
                <w:spacing w:val="-2"/>
                <w:kern w:val="2"/>
                <w:sz w:val="24"/>
                <w:szCs w:val="24"/>
                <w:lang w:val="en-US" w:eastAsia="zh-CN" w:bidi="ar-SA"/>
              </w:rPr>
              <w:t>。</w:t>
            </w:r>
          </w:p>
          <w:p w14:paraId="17C210F6">
            <w:pPr>
              <w:pStyle w:val="18"/>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②排水</w:t>
            </w:r>
          </w:p>
          <w:p w14:paraId="3F693C27">
            <w:pPr>
              <w:widowControl w:val="0"/>
              <w:adjustRightInd w:val="0"/>
              <w:snapToGrid w:val="0"/>
              <w:spacing w:after="0" w:line="360" w:lineRule="auto"/>
              <w:ind w:firstLine="472" w:firstLineChars="200"/>
              <w:jc w:val="both"/>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项目排水主要为生活污水、地面清洁废水以及初期雨水，生活污水产生量为</w:t>
            </w:r>
            <w:r>
              <w:rPr>
                <w:rFonts w:hint="default" w:ascii="Times New Roman" w:hAnsi="Times New Roman" w:eastAsia="宋体" w:cs="Times New Roman"/>
                <w:color w:val="000000"/>
                <w:sz w:val="24"/>
                <w:szCs w:val="24"/>
                <w:highlight w:val="none"/>
                <w:u w:val="none" w:color="auto"/>
                <w:lang w:val="en-US" w:eastAsia="zh-CN"/>
              </w:rPr>
              <w:t>0.8</w:t>
            </w:r>
            <w:r>
              <w:rPr>
                <w:rFonts w:hint="eastAsia" w:ascii="Times New Roman" w:hAnsi="Times New Roman" w:eastAsia="宋体" w:cs="Times New Roman"/>
                <w:color w:val="000000"/>
                <w:sz w:val="24"/>
                <w:szCs w:val="24"/>
                <w:highlight w:val="none"/>
                <w:u w:val="none" w:color="auto"/>
                <w:lang w:val="en-US" w:eastAsia="zh-CN"/>
              </w:rPr>
              <w:t>4</w:t>
            </w:r>
            <w:r>
              <w:rPr>
                <w:rFonts w:hint="default" w:ascii="Times New Roman" w:hAnsi="Times New Roman" w:eastAsia="宋体" w:cs="Times New Roman"/>
                <w:color w:val="000000"/>
                <w:sz w:val="24"/>
                <w:szCs w:val="24"/>
                <w:highlight w:val="none"/>
                <w:u w:val="none" w:color="auto"/>
                <w:lang w:val="en-US" w:eastAsia="zh-CN"/>
              </w:rPr>
              <w:t>t/d</w:t>
            </w:r>
            <w:r>
              <w:rPr>
                <w:rFonts w:hint="eastAsia" w:ascii="Times New Roman" w:hAnsi="Times New Roman" w:eastAsia="宋体" w:cs="Times New Roman"/>
                <w:color w:val="000000"/>
                <w:sz w:val="24"/>
                <w:szCs w:val="24"/>
                <w:highlight w:val="none"/>
                <w:u w:val="none" w:color="auto"/>
                <w:lang w:val="en-US" w:eastAsia="zh-CN"/>
              </w:rPr>
              <w:t>（</w:t>
            </w:r>
            <w:r>
              <w:rPr>
                <w:rFonts w:hint="default" w:ascii="Times New Roman" w:hAnsi="Times New Roman" w:eastAsia="宋体" w:cs="Times New Roman"/>
                <w:color w:val="000000"/>
                <w:sz w:val="24"/>
                <w:szCs w:val="24"/>
                <w:highlight w:val="none"/>
                <w:u w:val="none" w:color="auto"/>
                <w:lang w:val="en-US" w:eastAsia="zh-CN"/>
              </w:rPr>
              <w:t>2</w:t>
            </w:r>
            <w:r>
              <w:rPr>
                <w:rFonts w:hint="eastAsia" w:ascii="Times New Roman" w:hAnsi="Times New Roman" w:eastAsia="宋体" w:cs="Times New Roman"/>
                <w:color w:val="000000"/>
                <w:sz w:val="24"/>
                <w:szCs w:val="24"/>
                <w:highlight w:val="none"/>
                <w:u w:val="none" w:color="auto"/>
                <w:lang w:val="en-US" w:eastAsia="zh-CN"/>
              </w:rPr>
              <w:t>52</w:t>
            </w:r>
            <w:r>
              <w:rPr>
                <w:rFonts w:hint="default" w:ascii="Times New Roman" w:hAnsi="Times New Roman" w:eastAsia="宋体" w:cs="Times New Roman"/>
                <w:color w:val="000000"/>
                <w:sz w:val="24"/>
                <w:szCs w:val="24"/>
                <w:highlight w:val="none"/>
                <w:u w:val="none" w:color="auto"/>
                <w:lang w:val="en-US" w:eastAsia="zh-CN"/>
              </w:rPr>
              <w:t>t/a</w:t>
            </w:r>
            <w:r>
              <w:rPr>
                <w:rFonts w:hint="eastAsia" w:ascii="Times New Roman" w:hAnsi="Times New Roman" w:eastAsia="宋体" w:cs="Times New Roman"/>
                <w:color w:val="000000"/>
                <w:sz w:val="24"/>
                <w:szCs w:val="24"/>
                <w:highlight w:val="none"/>
                <w:u w:val="none" w:color="auto"/>
                <w:lang w:val="en-US" w:eastAsia="zh-CN"/>
              </w:rPr>
              <w:t>）</w:t>
            </w:r>
            <w:r>
              <w:rPr>
                <w:rFonts w:hint="default" w:ascii="Times New Roman" w:hAnsi="Times New Roman" w:eastAsia="宋体" w:cs="Times New Roman"/>
                <w:color w:val="auto"/>
                <w:spacing w:val="-2"/>
                <w:kern w:val="2"/>
                <w:sz w:val="24"/>
                <w:szCs w:val="24"/>
                <w:lang w:val="en-US" w:eastAsia="zh-CN" w:bidi="ar-SA"/>
              </w:rPr>
              <w:t>，地面清洁废水产生量为</w:t>
            </w:r>
            <w:r>
              <w:rPr>
                <w:rFonts w:hint="eastAsia" w:ascii="Times New Roman" w:hAnsi="Times New Roman" w:eastAsia="宋体" w:cs="Times New Roman"/>
                <w:color w:val="000000"/>
                <w:sz w:val="24"/>
                <w:szCs w:val="24"/>
                <w:highlight w:val="none"/>
                <w:u w:val="none" w:color="auto"/>
                <w:lang w:val="en-US" w:eastAsia="zh-CN"/>
              </w:rPr>
              <w:t>172</w:t>
            </w:r>
            <w:r>
              <w:rPr>
                <w:rFonts w:hint="default" w:ascii="Times New Roman" w:hAnsi="Times New Roman" w:eastAsia="宋体" w:cs="Times New Roman"/>
                <w:color w:val="000000"/>
                <w:sz w:val="24"/>
                <w:szCs w:val="24"/>
                <w:highlight w:val="none"/>
                <w:u w:val="none" w:color="auto"/>
                <w:lang w:val="en-US" w:eastAsia="zh-CN"/>
              </w:rPr>
              <w:t>t/a</w:t>
            </w:r>
            <w:r>
              <w:rPr>
                <w:rFonts w:hint="default" w:ascii="Times New Roman" w:hAnsi="Times New Roman" w:eastAsia="宋体" w:cs="Times New Roman"/>
                <w:color w:val="auto"/>
                <w:spacing w:val="-2"/>
                <w:kern w:val="2"/>
                <w:sz w:val="24"/>
                <w:szCs w:val="24"/>
                <w:lang w:val="en-US" w:eastAsia="zh-CN" w:bidi="ar-SA"/>
              </w:rPr>
              <w:t>，项目验收期间暂未产生初期雨水。</w:t>
            </w:r>
          </w:p>
          <w:p w14:paraId="33AC4D97">
            <w:pPr>
              <w:spacing w:after="0" w:line="360" w:lineRule="auto"/>
              <w:ind w:firstLine="482" w:firstLineChars="200"/>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5、</w:t>
            </w:r>
            <w:r>
              <w:rPr>
                <w:rFonts w:hint="default" w:ascii="Times New Roman" w:hAnsi="Times New Roman" w:eastAsia="宋体" w:cs="Times New Roman"/>
                <w:b/>
                <w:bCs/>
                <w:sz w:val="24"/>
                <w:szCs w:val="24"/>
              </w:rPr>
              <w:t>劳动定员及工作制度</w:t>
            </w:r>
          </w:p>
          <w:p w14:paraId="5D5C8340">
            <w:pPr>
              <w:spacing w:after="0" w:line="360" w:lineRule="auto"/>
              <w:ind w:firstLine="480" w:firstLineChars="200"/>
              <w:rPr>
                <w:rFonts w:hint="eastAsia" w:ascii="宋体" w:hAnsi="宋体" w:eastAsia="宋体" w:cs="宋体"/>
                <w:sz w:val="24"/>
                <w:szCs w:val="24"/>
              </w:rPr>
            </w:pPr>
            <w:r>
              <w:rPr>
                <w:rFonts w:hint="default" w:ascii="Times New Roman" w:hAnsi="Times New Roman" w:eastAsia="宋体" w:cs="Times New Roman"/>
                <w:sz w:val="24"/>
                <w:szCs w:val="24"/>
              </w:rPr>
              <w:t>本项目工作人员</w:t>
            </w:r>
            <w:r>
              <w:rPr>
                <w:rFonts w:hint="eastAsia" w:ascii="Times New Roman" w:hAnsi="Times New Roman" w:eastAsia="宋体" w:cs="Times New Roman"/>
                <w:sz w:val="24"/>
                <w:szCs w:val="24"/>
                <w:lang w:val="en-US" w:eastAsia="zh-CN"/>
              </w:rPr>
              <w:t>21</w:t>
            </w:r>
            <w:r>
              <w:rPr>
                <w:rFonts w:hint="default" w:ascii="Times New Roman" w:hAnsi="Times New Roman" w:eastAsia="宋体" w:cs="Times New Roman"/>
                <w:sz w:val="24"/>
                <w:szCs w:val="24"/>
              </w:rPr>
              <w:t>人，全年工作300天，</w:t>
            </w:r>
            <w:r>
              <w:rPr>
                <w:rFonts w:hint="eastAsia" w:ascii="Times New Roman" w:hAnsi="Times New Roman" w:eastAsia="宋体" w:cs="Times New Roman"/>
                <w:sz w:val="24"/>
                <w:szCs w:val="24"/>
                <w:lang w:val="en-US" w:eastAsia="zh-CN"/>
              </w:rPr>
              <w:t>一</w:t>
            </w:r>
            <w:r>
              <w:rPr>
                <w:rFonts w:hint="default" w:ascii="Times New Roman" w:hAnsi="Times New Roman" w:eastAsia="宋体" w:cs="Times New Roman"/>
                <w:sz w:val="24"/>
                <w:szCs w:val="24"/>
              </w:rPr>
              <w:t>班制，每班每天工作8小时。</w:t>
            </w:r>
          </w:p>
          <w:p w14:paraId="1913F72A">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6、主要工艺流程及产物环节</w:t>
            </w:r>
          </w:p>
          <w:p w14:paraId="4F6BFDC2">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1、拆解深度及技术要求</w:t>
            </w:r>
          </w:p>
          <w:p w14:paraId="27872E3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拆解深度：本项目仅涉及到机动车辆的初拆解，拆解产物不再进行进一步的拆分、破碎和回收再造。具体如下：</w:t>
            </w:r>
          </w:p>
          <w:p w14:paraId="7D26C6A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①发动机、方向机、变速器、前后桥、车架等部件和其他零部件，按照《报废机动车回收管理办法》（中华人民共和国国务院令第 715 号），具备再制造条件的，按照国家有关规定出售给具有再制造能力的企业经过再制造予以循环利用；不具备再制造条件的，采用破坏性拆除，拆卸下的部件采用多功能拆车机破坏为废钢，不涉及部件的修复与再造；②蓄电池、尾气净化装置、废电路板、废电子电器等采用整体拆除，从汽车上拆卸下来后，不在进行内部拆解，委托有相应资质单位处置；③拆解下的油箱、淋水箱、油管等部件不进一步清洗，避免生锈，仅进行人工擦拭。④拆解下来的外壳、大梁等金属物品直接外售，不进一步熔炼。</w:t>
            </w:r>
          </w:p>
          <w:p w14:paraId="2499B96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拆解的一般技术要求：根据《报废机动车回收拆解企业技术规范》（GB22128-2019），对报废机动车的拆解提出了技术要求：①应按照机动车生产企业所提供的拆解手册进行合理拆解，没有拆解手册的，参照同类其他车辆的规定拆解。②报废机动车拆解时，应当使用合适的工具、设备与工艺，尽可能保证零部件的可再利用性以及材料可回收利用性。③拆解过程中相关设备使用及报废机动车主要固体废物的拆解方法可参见GB22128-2019中表C1和表B1。</w:t>
            </w:r>
          </w:p>
          <w:p w14:paraId="09344CCC">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2、拆解工艺流程及产污环节分析</w:t>
            </w:r>
          </w:p>
          <w:p w14:paraId="448AF2F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根据《报废机动车回收拆解企业技术规范》（GB22128-2019）及《报废机动车拆解企业污染控制技术规范》（HJ348-2022），结合本项目实际情况报废机动车拆解总流程如下：</w:t>
            </w:r>
          </w:p>
          <w:p w14:paraId="281ADC40">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报废传统燃油机动车拆解工艺流程：</w:t>
            </w:r>
          </w:p>
          <w:p w14:paraId="0808DE2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1</w:t>
            </w:r>
            <w:r>
              <w:rPr>
                <w:rFonts w:hint="eastAsia" w:ascii="Times New Roman" w:hAnsi="Times New Roman" w:eastAsia="宋体" w:cs="Times New Roman"/>
                <w:color w:val="auto"/>
                <w:spacing w:val="-2"/>
                <w:kern w:val="2"/>
                <w:sz w:val="24"/>
                <w:szCs w:val="24"/>
                <w:lang w:val="en-US" w:eastAsia="zh-CN" w:bidi="ar-SA"/>
              </w:rPr>
              <w:t>、检查和登记</w:t>
            </w:r>
          </w:p>
          <w:p w14:paraId="7CC00C0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报废机动车入厂后，首先应进行登记和检查，主要内容及流程如下：</w:t>
            </w:r>
          </w:p>
          <w:p w14:paraId="7FAAF7D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（1）检查报废机动车发动机、散热器、变速器、差速器、油箱等总成部件的密封、破损情况。对于出现泄漏的总成部件，应采用适当的方式收集泄漏的液体或封住泄漏处，防止废液渗入地下。</w:t>
            </w:r>
          </w:p>
          <w:p w14:paraId="5765B58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对报废机动车进行登记注册并拍照，将其主要信息录入电脑数据库并在车身醒目位置贴上显示信息的标签。录入的主要信息包括：报废机动车车主（单位或个人）名称、证件号码、牌照号码、车型、品牌型号、车身颜色、重量、发动机号、车辆识别代号（或车架号）、出厂年份、接收或收购日期。</w:t>
            </w:r>
          </w:p>
          <w:p w14:paraId="62F07BF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（3）将报废机动车的机动车登记证书、号牌、行驶证交公安机关交通管理部门办理注销登记。</w:t>
            </w:r>
          </w:p>
          <w:p w14:paraId="5B2CB1A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（4）向报废机动车车主发放《报废汽车回收证明》及有关注销书面材料。</w:t>
            </w:r>
          </w:p>
          <w:p w14:paraId="12AC8A8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w:t>
            </w:r>
            <w:r>
              <w:rPr>
                <w:rFonts w:hint="eastAsia" w:ascii="Times New Roman" w:hAnsi="Times New Roman" w:eastAsia="宋体" w:cs="Times New Roman"/>
                <w:color w:val="auto"/>
                <w:spacing w:val="-2"/>
                <w:kern w:val="2"/>
                <w:sz w:val="24"/>
                <w:szCs w:val="24"/>
                <w:lang w:val="en-US" w:eastAsia="zh-CN" w:bidi="ar-SA"/>
              </w:rPr>
              <w:t>、报废机动车拆解预处理</w:t>
            </w:r>
          </w:p>
          <w:p w14:paraId="1891924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（1）在室内拆解预处理平台上使用专用工具排空存留在车内的废液（汽油、柴油、发动机机油、液压油、风窗玻璃清洗液、防冻液等），并使用专用容器分类回收。</w:t>
            </w:r>
          </w:p>
          <w:p w14:paraId="4D23A9AD">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汽车预处理在预处理区预处理平台上进行预处理，预处理平台主要包括地面的废液泄漏收集装置、汽车举升设备及配套的废液抽取设备，废液抽取时首先将汽车举升，然后使用废液抽取设备抽取报废机动车内残留的各种废液，收集废液的各容器暂存于危险废物贮存库，分类贮存和标识，避免混合、混放。</w:t>
            </w:r>
          </w:p>
          <w:p w14:paraId="6A915AA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废气、噪声、固废产生。废液排空过程中主要废气污染物为挥发性有机物，以非甲烷总烃作为污染物控制项目；抽取过程产生的废液主要包括废有机溶剂与含有机溶剂废物（风窗玻璃清洗液、防冻液等）和废矿物油与含矿物油废物（汽油、柴油、发动机机油、液压油、润滑油等），均属于危险废物。</w:t>
            </w:r>
          </w:p>
          <w:p w14:paraId="332D138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（2）拆除铅酸蓄电池</w:t>
            </w:r>
          </w:p>
          <w:p w14:paraId="0E11D81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关闭电器总开关，拆除铅酸蓄电池和蓄电池接线，拆除蓄电池时，底部用耐酸性的容器收集，如发生泄漏，及时将破损的废铅蓄电池送至危废暂存库内铅蓄电池收集箱内储存，破损的电解液不会泄漏到地面。贮存场地不得有明火，暂存时避免阳光直射、高温、潮湿，不同种类铅酸蓄电池采用分类贮存、同一种类采用正、负极隔离贮存，分类放置在不同塑料槽或铁质容器回收箱内，回收箱贴警示标签，注明废铅酸蓄电池的类别、危险危害性及贮存起始时间，并做好废铅酸蓄电池种类、数量（或重量）特性、形态等记录。</w:t>
            </w:r>
          </w:p>
          <w:p w14:paraId="69F5A01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产污分析：该工序会有噪声、固废产生。拆解过程产生的废铅酸蓄电池属于危险废物。</w:t>
            </w:r>
          </w:p>
          <w:p w14:paraId="6491969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（3）用专门设备回收机动车空调制冷剂</w:t>
            </w:r>
          </w:p>
          <w:p w14:paraId="3E9F708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在拆除空调单元前应首先对空调制冷剂进行回收，暂存于专用容器中，避免环境污染，其余空调单元作为一般工业固废分类处置。制冷剂回收：在车用空调压缩机拆解之前，采用制冷剂回收机真空抽取压缩机中的制冷剂。制冷剂回收系统与压缩机系统连接处密闭效果好，制冷剂无外泄。回收过程电子计量、精确控制，回收完毕自动停机。标配20kg大容量储液罐，以收贮回收的制冷剂。此步骤将制冷剂直接回收，送往有资质单位进行处理处置。</w:t>
            </w:r>
          </w:p>
          <w:p w14:paraId="19D22F7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产污分析：该工序会有噪声、固废产生。使用冷媒回收机回收空调制冷剂，制冷剂属于一般工业固废。</w:t>
            </w:r>
          </w:p>
          <w:p w14:paraId="528A1E1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（4）拆除油箱</w:t>
            </w:r>
          </w:p>
          <w:p w14:paraId="3F25453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将排空残油的油箱从报废机动车上拆卸下来，用抹布擦除外表面附着的残留油污。</w:t>
            </w:r>
          </w:p>
          <w:p w14:paraId="281B8AC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产污分析：该工序会有噪声、固废产生。拆解过程产生的油箱属于拆解产品，可回收利用；废弃的含油抹布属于危险废物。</w:t>
            </w:r>
          </w:p>
          <w:p w14:paraId="216E1EE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（5）拆除机油滤清器</w:t>
            </w:r>
          </w:p>
          <w:p w14:paraId="1EFA0F2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从报废机动车上拆除机油滤清器，在本厂内不进行进一步的破碎、清洗、分拣。</w:t>
            </w:r>
          </w:p>
          <w:p w14:paraId="7B4B2EC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产污分析：该工序会有噪声、固废产生。机油滤清器为过滤介质，属于危险废物。</w:t>
            </w:r>
          </w:p>
          <w:p w14:paraId="1934929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（6）拆除安全气囊组件后引爆</w:t>
            </w:r>
          </w:p>
          <w:p w14:paraId="323421BC">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本项目在引爆区东北角设有一个箱式专用设备，专门用于安全气囊的引爆，从报废汽机动车拆下的气囊置于引爆容器内，使用电子引爆器进行引爆，引爆容器为封闭箱式装置，可起到阻隔噪音的作用，且可有效保证车间内操作人员安全。安全气囊引爆室应做好安全防范、降噪、防逸尘等措施。</w:t>
            </w:r>
          </w:p>
          <w:p w14:paraId="6562F9CD">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安全气囊主要化学成分包括：叠氮化钠(</w:t>
            </w:r>
            <w:r>
              <w:rPr>
                <w:rFonts w:hint="default" w:ascii="Times New Roman" w:hAnsi="Times New Roman" w:eastAsia="宋体" w:cs="Times New Roman"/>
                <w:color w:val="auto"/>
                <w:spacing w:val="-2"/>
                <w:kern w:val="2"/>
                <w:sz w:val="24"/>
                <w:szCs w:val="24"/>
                <w:lang w:val="en-US" w:eastAsia="zh-CN" w:bidi="ar-SA"/>
              </w:rPr>
              <w:t>NaN3</w:t>
            </w:r>
            <w:r>
              <w:rPr>
                <w:rFonts w:hint="eastAsia" w:ascii="Times New Roman" w:hAnsi="Times New Roman" w:eastAsia="宋体" w:cs="Times New Roman"/>
                <w:color w:val="auto"/>
                <w:spacing w:val="-2"/>
                <w:kern w:val="2"/>
                <w:sz w:val="24"/>
                <w:szCs w:val="24"/>
                <w:lang w:val="en-US" w:eastAsia="zh-CN" w:bidi="ar-SA"/>
              </w:rPr>
              <w:t>)、硝酸钾（</w:t>
            </w:r>
            <w:r>
              <w:rPr>
                <w:rFonts w:hint="default" w:ascii="Times New Roman" w:hAnsi="Times New Roman" w:eastAsia="宋体" w:cs="Times New Roman"/>
                <w:color w:val="auto"/>
                <w:spacing w:val="-2"/>
                <w:kern w:val="2"/>
                <w:sz w:val="24"/>
                <w:szCs w:val="24"/>
                <w:lang w:val="en-US" w:eastAsia="zh-CN" w:bidi="ar-SA"/>
              </w:rPr>
              <w:t>KNO3</w:t>
            </w:r>
            <w:r>
              <w:rPr>
                <w:rFonts w:hint="eastAsia" w:ascii="Times New Roman" w:hAnsi="Times New Roman" w:eastAsia="宋体" w:cs="Times New Roman"/>
                <w:color w:val="auto"/>
                <w:spacing w:val="-2"/>
                <w:kern w:val="2"/>
                <w:sz w:val="24"/>
                <w:szCs w:val="24"/>
                <w:lang w:val="en-US" w:eastAsia="zh-CN" w:bidi="ar-SA"/>
              </w:rPr>
              <w:t>）和二氧化硅（</w:t>
            </w:r>
            <w:r>
              <w:rPr>
                <w:rFonts w:hint="default" w:ascii="Times New Roman" w:hAnsi="Times New Roman" w:eastAsia="宋体" w:cs="Times New Roman"/>
                <w:color w:val="auto"/>
                <w:spacing w:val="-2"/>
                <w:kern w:val="2"/>
                <w:sz w:val="24"/>
                <w:szCs w:val="24"/>
                <w:lang w:val="en-US" w:eastAsia="zh-CN" w:bidi="ar-SA"/>
              </w:rPr>
              <w:t>SiO</w:t>
            </w:r>
            <w:r>
              <w:rPr>
                <w:rFonts w:hint="default" w:ascii="Times New Roman" w:hAnsi="Times New Roman" w:eastAsia="宋体" w:cs="Times New Roman"/>
                <w:color w:val="auto"/>
                <w:spacing w:val="-2"/>
                <w:kern w:val="2"/>
                <w:sz w:val="24"/>
                <w:szCs w:val="24"/>
                <w:vertAlign w:val="subscript"/>
                <w:lang w:val="en-US" w:eastAsia="zh-CN" w:bidi="ar-SA"/>
              </w:rPr>
              <w:t>2</w:t>
            </w:r>
            <w:r>
              <w:rPr>
                <w:rFonts w:hint="eastAsia" w:ascii="Times New Roman" w:hAnsi="Times New Roman" w:eastAsia="宋体" w:cs="Times New Roman"/>
                <w:color w:val="auto"/>
                <w:spacing w:val="-2"/>
                <w:kern w:val="2"/>
                <w:sz w:val="24"/>
                <w:szCs w:val="24"/>
                <w:lang w:val="en-US" w:eastAsia="zh-CN" w:bidi="ar-SA"/>
              </w:rPr>
              <w:t>），主要工作原理是受到碰撞时安全气囊内的叠氮钠发生反应生成大量的氨气和钠（</w:t>
            </w:r>
            <w:r>
              <w:rPr>
                <w:rFonts w:hint="default" w:ascii="Times New Roman" w:hAnsi="Times New Roman" w:eastAsia="宋体" w:cs="Times New Roman"/>
                <w:color w:val="auto"/>
                <w:spacing w:val="-2"/>
                <w:kern w:val="2"/>
                <w:sz w:val="24"/>
                <w:szCs w:val="24"/>
                <w:lang w:val="en-US" w:eastAsia="zh-CN" w:bidi="ar-SA"/>
              </w:rPr>
              <w:t>2NaN</w:t>
            </w:r>
            <w:r>
              <w:rPr>
                <w:rFonts w:hint="default" w:ascii="Times New Roman" w:hAnsi="Times New Roman" w:eastAsia="宋体" w:cs="Times New Roman"/>
                <w:color w:val="auto"/>
                <w:spacing w:val="-2"/>
                <w:kern w:val="2"/>
                <w:sz w:val="24"/>
                <w:szCs w:val="24"/>
                <w:vertAlign w:val="subscript"/>
                <w:lang w:val="en-US" w:eastAsia="zh-CN" w:bidi="ar-SA"/>
              </w:rPr>
              <w:t>3</w:t>
            </w:r>
            <w:r>
              <w:rPr>
                <w:rFonts w:hint="eastAsia" w:ascii="Times New Roman" w:hAnsi="Times New Roman" w:eastAsia="宋体" w:cs="Times New Roman"/>
                <w:color w:val="auto"/>
                <w:spacing w:val="-2"/>
                <w:kern w:val="2"/>
                <w:sz w:val="24"/>
                <w:szCs w:val="24"/>
                <w:lang w:val="en-US" w:eastAsia="zh-CN" w:bidi="ar-SA"/>
              </w:rPr>
              <w:t>＝</w:t>
            </w:r>
            <w:r>
              <w:rPr>
                <w:rFonts w:hint="default" w:ascii="Times New Roman" w:hAnsi="Times New Roman" w:eastAsia="宋体" w:cs="Times New Roman"/>
                <w:color w:val="auto"/>
                <w:spacing w:val="-2"/>
                <w:kern w:val="2"/>
                <w:sz w:val="24"/>
                <w:szCs w:val="24"/>
                <w:lang w:val="en-US" w:eastAsia="zh-CN" w:bidi="ar-SA"/>
              </w:rPr>
              <w:t>2Na</w:t>
            </w:r>
            <w:r>
              <w:rPr>
                <w:rFonts w:hint="eastAsia" w:ascii="Times New Roman" w:hAnsi="Times New Roman" w:eastAsia="宋体" w:cs="Times New Roman"/>
                <w:color w:val="auto"/>
                <w:spacing w:val="-2"/>
                <w:kern w:val="2"/>
                <w:sz w:val="24"/>
                <w:szCs w:val="24"/>
                <w:lang w:val="en-US" w:eastAsia="zh-CN" w:bidi="ar-SA"/>
              </w:rPr>
              <w:t>＋</w:t>
            </w:r>
            <w:r>
              <w:rPr>
                <w:rFonts w:hint="default" w:ascii="Times New Roman" w:hAnsi="Times New Roman" w:eastAsia="宋体" w:cs="Times New Roman"/>
                <w:color w:val="auto"/>
                <w:spacing w:val="-2"/>
                <w:kern w:val="2"/>
                <w:sz w:val="24"/>
                <w:szCs w:val="24"/>
                <w:lang w:val="en-US" w:eastAsia="zh-CN" w:bidi="ar-SA"/>
              </w:rPr>
              <w:t>3N</w:t>
            </w:r>
            <w:r>
              <w:rPr>
                <w:rFonts w:hint="default" w:ascii="Times New Roman" w:hAnsi="Times New Roman" w:eastAsia="宋体" w:cs="Times New Roman"/>
                <w:color w:val="auto"/>
                <w:spacing w:val="-2"/>
                <w:kern w:val="2"/>
                <w:sz w:val="24"/>
                <w:szCs w:val="24"/>
                <w:vertAlign w:val="subscript"/>
                <w:lang w:val="en-US" w:eastAsia="zh-CN" w:bidi="ar-SA"/>
              </w:rPr>
              <w:t>2</w:t>
            </w:r>
            <w:r>
              <w:rPr>
                <w:rFonts w:hint="eastAsia" w:ascii="Times New Roman" w:hAnsi="Times New Roman" w:eastAsia="宋体" w:cs="Times New Roman"/>
                <w:color w:val="auto"/>
                <w:spacing w:val="-2"/>
                <w:kern w:val="2"/>
                <w:sz w:val="24"/>
                <w:szCs w:val="24"/>
                <w:lang w:val="en-US" w:eastAsia="zh-CN" w:bidi="ar-SA"/>
              </w:rPr>
              <w:t>↑），金属钠和硝酸钾反应释放出更多的氮气并形成氧化钾和氧化钠，然后与二氧化硅结合，形成无害的硅酸钠玻璃，氮气则充入气囊。</w:t>
            </w:r>
          </w:p>
          <w:p w14:paraId="77536D2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产污分析：该工序会有噪声、固废产生。叠氢化钠一经引爆非常完全，不会剩余。引爆后的安全气囊只剩尼龙材质，属于一般工业固废。</w:t>
            </w:r>
          </w:p>
          <w:p w14:paraId="1E8853E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（7）拆除催化系统</w:t>
            </w:r>
          </w:p>
          <w:p w14:paraId="7E9F95B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从报废机动车上拆除催化系统。</w:t>
            </w:r>
          </w:p>
          <w:p w14:paraId="132DFA3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产污分析：该工序会有噪声、固废产生，固废主要为催化转化器、选择性催化还原装置、柴油颗粒物捕集器、废尾气催化剂等，其中废尾气催化剂属于危险废物。</w:t>
            </w:r>
          </w:p>
          <w:p w14:paraId="71CE947D">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3</w:t>
            </w:r>
            <w:r>
              <w:rPr>
                <w:rFonts w:hint="eastAsia" w:ascii="Times New Roman" w:hAnsi="Times New Roman" w:eastAsia="宋体" w:cs="Times New Roman"/>
                <w:color w:val="auto"/>
                <w:spacing w:val="-2"/>
                <w:kern w:val="2"/>
                <w:sz w:val="24"/>
                <w:szCs w:val="24"/>
                <w:lang w:val="en-US" w:eastAsia="zh-CN" w:bidi="ar-SA"/>
              </w:rPr>
              <w:t>、报废机动车贮存</w:t>
            </w:r>
          </w:p>
          <w:p w14:paraId="1659E0D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经预处理后未拆解的传统燃料机动车按照车型大小分别放置在报废机动车贮存区指定区域。停放时应注意：</w:t>
            </w:r>
          </w:p>
          <w:p w14:paraId="7899F85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（1）所有车辆应避免侧放、倒放。</w:t>
            </w:r>
          </w:p>
          <w:p w14:paraId="02878DC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（2）机动车如需叠放，应使上下车辆的重心尽量重合，且不应超过</w:t>
            </w:r>
            <w:r>
              <w:rPr>
                <w:rFonts w:hint="default" w:ascii="Times New Roman" w:hAnsi="Times New Roman" w:eastAsia="宋体" w:cs="Times New Roman"/>
                <w:color w:val="auto"/>
                <w:spacing w:val="-2"/>
                <w:kern w:val="2"/>
                <w:sz w:val="24"/>
                <w:szCs w:val="24"/>
                <w:lang w:val="en-US" w:eastAsia="zh-CN" w:bidi="ar-SA"/>
              </w:rPr>
              <w:t>3</w:t>
            </w:r>
            <w:r>
              <w:rPr>
                <w:rFonts w:hint="eastAsia" w:ascii="Times New Roman" w:hAnsi="Times New Roman" w:eastAsia="宋体" w:cs="Times New Roman"/>
                <w:color w:val="auto"/>
                <w:spacing w:val="-2"/>
                <w:kern w:val="2"/>
                <w:sz w:val="24"/>
                <w:szCs w:val="24"/>
                <w:lang w:val="en-US" w:eastAsia="zh-CN" w:bidi="ar-SA"/>
              </w:rPr>
              <w:t>层。</w:t>
            </w:r>
            <w:r>
              <w:rPr>
                <w:rFonts w:hint="default" w:ascii="Times New Roman" w:hAnsi="Times New Roman" w:eastAsia="宋体" w:cs="Times New Roman"/>
                <w:color w:val="auto"/>
                <w:spacing w:val="-2"/>
                <w:kern w:val="2"/>
                <w:sz w:val="24"/>
                <w:szCs w:val="24"/>
                <w:lang w:val="en-US" w:eastAsia="zh-CN" w:bidi="ar-SA"/>
              </w:rPr>
              <w:t>2</w:t>
            </w:r>
            <w:r>
              <w:rPr>
                <w:rFonts w:hint="eastAsia" w:ascii="Times New Roman" w:hAnsi="Times New Roman" w:eastAsia="宋体" w:cs="Times New Roman"/>
                <w:color w:val="auto"/>
                <w:spacing w:val="-2"/>
                <w:kern w:val="2"/>
                <w:sz w:val="24"/>
                <w:szCs w:val="24"/>
                <w:lang w:val="en-US" w:eastAsia="zh-CN" w:bidi="ar-SA"/>
              </w:rPr>
              <w:t>层和</w:t>
            </w:r>
            <w:r>
              <w:rPr>
                <w:rFonts w:hint="default" w:ascii="Times New Roman" w:hAnsi="Times New Roman" w:eastAsia="宋体" w:cs="Times New Roman"/>
                <w:color w:val="auto"/>
                <w:spacing w:val="-2"/>
                <w:kern w:val="2"/>
                <w:sz w:val="24"/>
                <w:szCs w:val="24"/>
                <w:lang w:val="en-US" w:eastAsia="zh-CN" w:bidi="ar-SA"/>
              </w:rPr>
              <w:t>3</w:t>
            </w:r>
            <w:r>
              <w:rPr>
                <w:rFonts w:hint="eastAsia" w:ascii="Times New Roman" w:hAnsi="Times New Roman" w:eastAsia="宋体" w:cs="Times New Roman"/>
                <w:color w:val="auto"/>
                <w:spacing w:val="-2"/>
                <w:kern w:val="2"/>
                <w:sz w:val="24"/>
                <w:szCs w:val="24"/>
                <w:lang w:val="en-US" w:eastAsia="zh-CN" w:bidi="ar-SA"/>
              </w:rPr>
              <w:t>层叠放时，高度分别不应超过</w:t>
            </w:r>
            <w:r>
              <w:rPr>
                <w:rFonts w:hint="default" w:ascii="Times New Roman" w:hAnsi="Times New Roman" w:eastAsia="宋体" w:cs="Times New Roman"/>
                <w:color w:val="auto"/>
                <w:spacing w:val="-2"/>
                <w:kern w:val="2"/>
                <w:sz w:val="24"/>
                <w:szCs w:val="24"/>
                <w:lang w:val="en-US" w:eastAsia="zh-CN" w:bidi="ar-SA"/>
              </w:rPr>
              <w:t>3m</w:t>
            </w:r>
            <w:r>
              <w:rPr>
                <w:rFonts w:hint="eastAsia" w:ascii="Times New Roman" w:hAnsi="Times New Roman" w:eastAsia="宋体" w:cs="Times New Roman"/>
                <w:color w:val="auto"/>
                <w:spacing w:val="-2"/>
                <w:kern w:val="2"/>
                <w:sz w:val="24"/>
                <w:szCs w:val="24"/>
                <w:lang w:val="en-US" w:eastAsia="zh-CN" w:bidi="ar-SA"/>
              </w:rPr>
              <w:t>和</w:t>
            </w:r>
            <w:r>
              <w:rPr>
                <w:rFonts w:hint="default" w:ascii="Times New Roman" w:hAnsi="Times New Roman" w:eastAsia="宋体" w:cs="Times New Roman"/>
                <w:color w:val="auto"/>
                <w:spacing w:val="-2"/>
                <w:kern w:val="2"/>
                <w:sz w:val="24"/>
                <w:szCs w:val="24"/>
                <w:lang w:val="en-US" w:eastAsia="zh-CN" w:bidi="ar-SA"/>
              </w:rPr>
              <w:t>4.5m</w:t>
            </w:r>
            <w:r>
              <w:rPr>
                <w:rFonts w:hint="eastAsia" w:ascii="Times New Roman" w:hAnsi="Times New Roman" w:eastAsia="宋体" w:cs="Times New Roman"/>
                <w:color w:val="auto"/>
                <w:spacing w:val="-2"/>
                <w:kern w:val="2"/>
                <w:sz w:val="24"/>
                <w:szCs w:val="24"/>
                <w:lang w:val="en-US" w:eastAsia="zh-CN" w:bidi="ar-SA"/>
              </w:rPr>
              <w:t>。大型车辆应单层平置。采用框架结构存放的，要保证安全性，并易于装卸。</w:t>
            </w:r>
          </w:p>
          <w:p w14:paraId="79ED3149">
            <w:pPr>
              <w:pStyle w:val="18"/>
              <w:adjustRightInd w:val="0"/>
              <w:spacing w:before="0" w:beforeLines="0" w:after="0" w:afterLines="0" w:line="360" w:lineRule="auto"/>
              <w:ind w:firstLine="480"/>
              <w:rPr>
                <w:rFonts w:hint="eastAsia" w:ascii="Times New Roman" w:hAnsi="Times New Roman" w:eastAsia="宋体" w:cs="Times New Roman"/>
                <w:b w:val="0"/>
                <w:bCs w:val="0"/>
                <w:color w:val="auto"/>
                <w:spacing w:val="-2"/>
                <w:kern w:val="2"/>
                <w:sz w:val="24"/>
                <w:szCs w:val="24"/>
                <w:lang w:val="en-US" w:eastAsia="zh-CN" w:bidi="ar-SA"/>
              </w:rPr>
            </w:pPr>
            <w:r>
              <w:rPr>
                <w:rFonts w:hint="default" w:ascii="Times New Roman" w:hAnsi="Times New Roman" w:eastAsia="宋体" w:cs="Times New Roman"/>
                <w:b w:val="0"/>
                <w:bCs w:val="0"/>
                <w:color w:val="auto"/>
                <w:spacing w:val="-2"/>
                <w:kern w:val="2"/>
                <w:sz w:val="24"/>
                <w:szCs w:val="24"/>
                <w:lang w:val="en-US" w:eastAsia="zh-CN" w:bidi="ar-SA"/>
              </w:rPr>
              <w:t>4</w:t>
            </w:r>
            <w:r>
              <w:rPr>
                <w:rFonts w:hint="eastAsia" w:ascii="Times New Roman" w:hAnsi="Times New Roman" w:eastAsia="宋体" w:cs="Times New Roman"/>
                <w:b w:val="0"/>
                <w:bCs w:val="0"/>
                <w:color w:val="auto"/>
                <w:spacing w:val="-2"/>
                <w:kern w:val="2"/>
                <w:sz w:val="24"/>
                <w:szCs w:val="24"/>
                <w:lang w:val="en-US" w:eastAsia="zh-CN" w:bidi="ar-SA"/>
              </w:rPr>
              <w:t>、报废机动车拆解（大、中型车、小型车）</w:t>
            </w:r>
          </w:p>
          <w:p w14:paraId="31691E19">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拆解技术要求：</w:t>
            </w:r>
          </w:p>
          <w:p w14:paraId="0EE53438">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（1）拆除玻璃</w:t>
            </w:r>
          </w:p>
          <w:p w14:paraId="490D167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（2）拆除消声器、转向锁总成、停车装置、倒车雷达及电子控制模块</w:t>
            </w:r>
          </w:p>
          <w:p w14:paraId="2968985D">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（3）拆除车轮并拆下轮胎</w:t>
            </w:r>
          </w:p>
          <w:p w14:paraId="74375A4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（4）拆除能有效回收含铜、铝、镁的金属部件</w:t>
            </w:r>
          </w:p>
          <w:p w14:paraId="530FC70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（5）拆除能有效回收的大型塑料件（保险杠、仪表板、液体容器等）</w:t>
            </w:r>
          </w:p>
          <w:p w14:paraId="63AD52F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（6）拆除橡胶制品部件</w:t>
            </w:r>
          </w:p>
          <w:p w14:paraId="5183F81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（7）拆除有关总成和其他零部件，并符合相关法规要求。</w:t>
            </w:r>
          </w:p>
          <w:p w14:paraId="7E4F99C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本项目报废机动车拆解将在封闭式拆解车间进行，报废电动汽车设置单独的动力蓄电池拆卸预处理、拆卸工序，拆除废旧动力蓄电池后进入小型车拆解线进行其他的预处理和拆解。</w:t>
            </w:r>
          </w:p>
          <w:p w14:paraId="5F17046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大、中型车（货车）：</w:t>
            </w:r>
          </w:p>
          <w:p w14:paraId="17156BB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（1）车身拆解</w:t>
            </w:r>
          </w:p>
          <w:p w14:paraId="08C8282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车身的拆解主要分为外饰拆解、内饰拆解、车身解体三大部分。车身拆解应按照由表及里、由附件到主机、并遵循先由整车拆成总成，由总成拆成部件，再由部件拆成零件的原则进行。</w:t>
            </w:r>
          </w:p>
          <w:p w14:paraId="5E27853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①外饰拆解</w:t>
            </w:r>
          </w:p>
          <w:p w14:paraId="446D90E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1</w:t>
            </w:r>
            <w:r>
              <w:rPr>
                <w:rFonts w:hint="eastAsia" w:ascii="Times New Roman" w:hAnsi="Times New Roman" w:eastAsia="宋体" w:cs="Times New Roman"/>
                <w:color w:val="auto"/>
                <w:spacing w:val="-2"/>
                <w:kern w:val="2"/>
                <w:sz w:val="24"/>
                <w:szCs w:val="24"/>
                <w:lang w:val="en-US" w:eastAsia="zh-CN" w:bidi="ar-SA"/>
              </w:rPr>
              <w:t>）拆除轮胎</w:t>
            </w:r>
          </w:p>
          <w:p w14:paraId="16F1DCE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用重型风炮将轮胎固定螺母取下，然后用千斤顶将车辆升起，直到轮胎离地，最后用撬棍将轮胎撬下并集中贮存。</w:t>
            </w:r>
          </w:p>
          <w:p w14:paraId="73DDD43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w:t>
            </w:r>
            <w:r>
              <w:rPr>
                <w:rFonts w:hint="eastAsia" w:ascii="Times New Roman" w:hAnsi="Times New Roman" w:eastAsia="宋体" w:cs="Times New Roman"/>
                <w:color w:val="auto"/>
                <w:spacing w:val="-2"/>
                <w:kern w:val="2"/>
                <w:sz w:val="24"/>
                <w:szCs w:val="24"/>
                <w:lang w:val="en-US" w:eastAsia="zh-CN" w:bidi="ar-SA"/>
              </w:rPr>
              <w:t>）拆除外部件</w:t>
            </w:r>
          </w:p>
          <w:p w14:paraId="00ADDC08">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用气动螺丝刀拆除车灯、保险杠、后视镜、轮毂罩等。</w:t>
            </w:r>
          </w:p>
          <w:p w14:paraId="3CA42D5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②内饰拆解、车身解体</w:t>
            </w:r>
          </w:p>
          <w:p w14:paraId="7DB0EB69">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1</w:t>
            </w:r>
            <w:r>
              <w:rPr>
                <w:rFonts w:hint="eastAsia" w:ascii="Times New Roman" w:hAnsi="Times New Roman" w:eastAsia="宋体" w:cs="Times New Roman"/>
                <w:color w:val="auto"/>
                <w:spacing w:val="-2"/>
                <w:kern w:val="2"/>
                <w:sz w:val="24"/>
                <w:szCs w:val="24"/>
                <w:lang w:val="en-US" w:eastAsia="zh-CN" w:bidi="ar-SA"/>
              </w:rPr>
              <w:t>）拆解驾驶室</w:t>
            </w:r>
          </w:p>
          <w:p w14:paraId="7B3F2E9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a</w:t>
            </w:r>
            <w:r>
              <w:rPr>
                <w:rFonts w:hint="eastAsia" w:ascii="Times New Roman" w:hAnsi="Times New Roman" w:eastAsia="宋体" w:cs="Times New Roman"/>
                <w:color w:val="auto"/>
                <w:spacing w:val="-2"/>
                <w:kern w:val="2"/>
                <w:sz w:val="24"/>
                <w:szCs w:val="24"/>
                <w:lang w:val="en-US" w:eastAsia="zh-CN" w:bidi="ar-SA"/>
              </w:rPr>
              <w:t>）用气扳机或扳手将各种储液壶拆除并贮存；</w:t>
            </w:r>
          </w:p>
          <w:p w14:paraId="4BBF7E9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b</w:t>
            </w:r>
            <w:r>
              <w:rPr>
                <w:rFonts w:hint="eastAsia" w:ascii="Times New Roman" w:hAnsi="Times New Roman" w:eastAsia="宋体" w:cs="Times New Roman"/>
                <w:color w:val="auto"/>
                <w:spacing w:val="-2"/>
                <w:kern w:val="2"/>
                <w:sz w:val="24"/>
                <w:szCs w:val="24"/>
                <w:lang w:val="en-US" w:eastAsia="zh-CN" w:bidi="ar-SA"/>
              </w:rPr>
              <w:t>）用气扳机或扳手将后桥的螺栓拆除，保证后桥与大梁已经分离；</w:t>
            </w:r>
          </w:p>
          <w:p w14:paraId="17AA5A79">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c</w:t>
            </w:r>
            <w:r>
              <w:rPr>
                <w:rFonts w:hint="eastAsia" w:ascii="Times New Roman" w:hAnsi="Times New Roman" w:eastAsia="宋体" w:cs="Times New Roman"/>
                <w:color w:val="auto"/>
                <w:spacing w:val="-2"/>
                <w:kern w:val="2"/>
                <w:sz w:val="24"/>
                <w:szCs w:val="24"/>
                <w:lang w:val="en-US" w:eastAsia="zh-CN" w:bidi="ar-SA"/>
              </w:rPr>
              <w:t>）用气扳机或扳手将传动轴的螺栓拆除，保证传动轴与其他部件分离；</w:t>
            </w:r>
          </w:p>
          <w:p w14:paraId="3A6C721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d</w:t>
            </w:r>
            <w:r>
              <w:rPr>
                <w:rFonts w:hint="eastAsia" w:ascii="Times New Roman" w:hAnsi="Times New Roman" w:eastAsia="宋体" w:cs="Times New Roman"/>
                <w:color w:val="auto"/>
                <w:spacing w:val="-2"/>
                <w:kern w:val="2"/>
                <w:sz w:val="24"/>
                <w:szCs w:val="24"/>
                <w:lang w:val="en-US" w:eastAsia="zh-CN" w:bidi="ar-SA"/>
              </w:rPr>
              <w:t>）用拆车钳将驾驶室拆除，其中驾驶室壳体包括：顶盖、前围板、侧围板、后围板、车门等；</w:t>
            </w:r>
          </w:p>
          <w:p w14:paraId="5F1D4D9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e</w:t>
            </w:r>
            <w:r>
              <w:rPr>
                <w:rFonts w:hint="eastAsia" w:ascii="Times New Roman" w:hAnsi="Times New Roman" w:eastAsia="宋体" w:cs="Times New Roman"/>
                <w:color w:val="auto"/>
                <w:spacing w:val="-2"/>
                <w:kern w:val="2"/>
                <w:sz w:val="24"/>
                <w:szCs w:val="24"/>
                <w:lang w:val="en-US" w:eastAsia="zh-CN" w:bidi="ar-SA"/>
              </w:rPr>
              <w:t>）拆除车辆的中控台、方向机总成。</w:t>
            </w:r>
          </w:p>
          <w:p w14:paraId="3A29513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w:t>
            </w:r>
            <w:r>
              <w:rPr>
                <w:rFonts w:hint="eastAsia" w:ascii="Times New Roman" w:hAnsi="Times New Roman" w:eastAsia="宋体" w:cs="Times New Roman"/>
                <w:color w:val="auto"/>
                <w:spacing w:val="-2"/>
                <w:kern w:val="2"/>
                <w:sz w:val="24"/>
                <w:szCs w:val="24"/>
                <w:lang w:val="en-US" w:eastAsia="zh-CN" w:bidi="ar-SA"/>
              </w:rPr>
              <w:t>）拆解后车厢（若有）</w:t>
            </w:r>
          </w:p>
          <w:p w14:paraId="430E7AC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用拆车钳将车厢拆除。</w:t>
            </w:r>
          </w:p>
          <w:p w14:paraId="3E1B1AD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（2）底盘系统拆解</w:t>
            </w:r>
          </w:p>
          <w:p w14:paraId="40AB215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①拆除减震器等</w:t>
            </w:r>
          </w:p>
          <w:p w14:paraId="33591E5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用气动扳手和手持液压大力剪拆除减震器。如果螺丝因为锈蚀了很难拆解掉，这时用配备的等离子切割机直接切割开来。</w:t>
            </w:r>
          </w:p>
          <w:p w14:paraId="71F5698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②拆除发动机仓里的配件、管束、线束。</w:t>
            </w:r>
          </w:p>
          <w:p w14:paraId="7365560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用气动扳手和气动螺丝刀把发动机仓里除发动机外所有的配件拆除；</w:t>
            </w:r>
          </w:p>
          <w:p w14:paraId="422571F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③拆除发动机、变速箱总成及前后桥、悬架、传动轴</w:t>
            </w:r>
          </w:p>
          <w:p w14:paraId="27458F2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1</w:t>
            </w:r>
            <w:r>
              <w:rPr>
                <w:rFonts w:hint="eastAsia" w:ascii="Times New Roman" w:hAnsi="Times New Roman" w:eastAsia="宋体" w:cs="Times New Roman"/>
                <w:color w:val="auto"/>
                <w:spacing w:val="-2"/>
                <w:kern w:val="2"/>
                <w:sz w:val="24"/>
                <w:szCs w:val="24"/>
                <w:lang w:val="en-US" w:eastAsia="zh-CN" w:bidi="ar-SA"/>
              </w:rPr>
              <w:t>）用气扳机或扳手将固定发动机和变速箱总成的螺栓拆除；</w:t>
            </w:r>
          </w:p>
          <w:p w14:paraId="623DFBD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w:t>
            </w:r>
            <w:r>
              <w:rPr>
                <w:rFonts w:hint="eastAsia" w:ascii="Times New Roman" w:hAnsi="Times New Roman" w:eastAsia="宋体" w:cs="Times New Roman"/>
                <w:color w:val="auto"/>
                <w:spacing w:val="-2"/>
                <w:kern w:val="2"/>
                <w:sz w:val="24"/>
                <w:szCs w:val="24"/>
                <w:lang w:val="en-US" w:eastAsia="zh-CN" w:bidi="ar-SA"/>
              </w:rPr>
              <w:t>）用气扳机将固定前桥的螺栓拆除，如果螺丝因为锈蚀了很难拆解掉，这时用配备的等离子切割机直接切割开来，方便又节约时间，提高了工作效率；</w:t>
            </w:r>
          </w:p>
          <w:p w14:paraId="0D789E2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3</w:t>
            </w:r>
            <w:r>
              <w:rPr>
                <w:rFonts w:hint="eastAsia" w:ascii="Times New Roman" w:hAnsi="Times New Roman" w:eastAsia="宋体" w:cs="Times New Roman"/>
                <w:color w:val="auto"/>
                <w:spacing w:val="-2"/>
                <w:kern w:val="2"/>
                <w:sz w:val="24"/>
                <w:szCs w:val="24"/>
                <w:lang w:val="en-US" w:eastAsia="zh-CN" w:bidi="ar-SA"/>
              </w:rPr>
              <w:t>）用拆车钳将发动机连带变速箱一起取出；</w:t>
            </w:r>
          </w:p>
          <w:p w14:paraId="19195D6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4</w:t>
            </w:r>
            <w:r>
              <w:rPr>
                <w:rFonts w:hint="eastAsia" w:ascii="Times New Roman" w:hAnsi="Times New Roman" w:eastAsia="宋体" w:cs="Times New Roman"/>
                <w:color w:val="auto"/>
                <w:spacing w:val="-2"/>
                <w:kern w:val="2"/>
                <w:sz w:val="24"/>
                <w:szCs w:val="24"/>
                <w:lang w:val="en-US" w:eastAsia="zh-CN" w:bidi="ar-SA"/>
              </w:rPr>
              <w:t>）用拆车钳将前后桥、悬架、传动轴取出。</w:t>
            </w:r>
          </w:p>
          <w:p w14:paraId="60AFD9D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（3）剪断大梁</w:t>
            </w:r>
          </w:p>
          <w:p w14:paraId="669949B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①用拆车钳将车架大梁拆解断开，确保大梁已经报废；</w:t>
            </w:r>
          </w:p>
          <w:p w14:paraId="577C679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②用拆车钳将废料夹持到转运车上。</w:t>
            </w:r>
          </w:p>
          <w:p w14:paraId="4F16C362">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大、中型车（客车）：</w:t>
            </w:r>
          </w:p>
          <w:p w14:paraId="442C914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（1）车身拆解</w:t>
            </w:r>
          </w:p>
          <w:p w14:paraId="47B81D99">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①外饰拆解</w:t>
            </w:r>
          </w:p>
          <w:p w14:paraId="1BD3B8B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主要包括玻璃、轮胎、车灯、保险杠、后视镜、轮毂罩等外部件。采用非破坏性拆解，拆解方法及所用工具参照上述货车的拆解。</w:t>
            </w:r>
          </w:p>
          <w:p w14:paraId="1918ACCB">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②内饰拆解</w:t>
            </w:r>
          </w:p>
          <w:p w14:paraId="65E9FD4D">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拆除车辆的座椅、线束、电器件、顶棚内饰。</w:t>
            </w:r>
          </w:p>
          <w:p w14:paraId="2FB3B25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大客车内饰件的拆除与大货车不同的是大客车内有很多座椅、行李架、地毯等非金属件，回收利用价值也相对较高，对这些非金属件应用气动扳手和气动螺丝刀人工拆卸并加以利用。</w:t>
            </w:r>
          </w:p>
          <w:p w14:paraId="189AA3B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③车身解体</w:t>
            </w:r>
          </w:p>
          <w:p w14:paraId="77891BB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用压车架钳压臂从大客车车窗中伸进去，用钳压臂上的按压齿固定车身，然后用拆车钳把车身侧面车体面板撕扯解体下来，露出车梁后，然后用压车架钳压臂前端的固定爪伸入车梁内，用固定爪固定车梁，利用拆车钳夹住车顶，然后利用动臂和斗杆的复合动作把车身和车梁分离，从而实现公交车、中巴、大巴等有车梁类交通工具的快速解体。</w:t>
            </w:r>
          </w:p>
          <w:p w14:paraId="4C7AEE4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（2）底盘拆解</w:t>
            </w:r>
          </w:p>
          <w:p w14:paraId="6D5AB42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底盘拆解包括传动系统、行驶系统、转向系统、制动系统及底盘附件五大部分的拆解。将各大总成采用整体拆解，各部件采用无损拆解或准破坏性拆解。拆解方法及所用工具参照大型货车的拆解。</w:t>
            </w:r>
          </w:p>
          <w:p w14:paraId="2ACCE51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（3）剪断大梁</w:t>
            </w:r>
          </w:p>
          <w:p w14:paraId="730E6D4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①用拆车钳将车架大梁拆解断开，确保大梁已经报废；</w:t>
            </w:r>
          </w:p>
          <w:p w14:paraId="2AFC924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②用拆车钳将废料夹持到转运车上。</w:t>
            </w:r>
          </w:p>
          <w:p w14:paraId="6D14A91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产污分析：该工序会有废气、噪声、固废产生。本项目在拆解、切割过程中均会有粉尘产生；拆除后产生的能够再使用的零部件经清洁、气吹等处理后送入回用件贮存区，钢材（车门、车身、悬架、前后桥、消声器、螺丝、轴承、不具备再制造条件的总成等）、有色金属（变速器、散热器，其他有色金属）、玻璃、橡胶（轮胎及减震橡胶块、密封条其他橡胶制品）、塑料（保险杠、仪表盘等）、五大总成同回用件作为拆解产品回收利用；拆解过程产生的废有机溶剂与含有机溶剂废物、废矿物油与含矿物油废物、废尾气催化剂、废电路板、含汞废物均属于危险废物；拆解过程产生的废制冷剂、废弃车用电子零部件、废安全气囊（引爆后）、海绵及座椅材料、内饰材料、安全带及相关纺织品、轻质物料、不可利用废物均属于一般工业固体废物。</w:t>
            </w:r>
          </w:p>
          <w:p w14:paraId="3E8B1357">
            <w:pPr>
              <w:pStyle w:val="18"/>
              <w:adjustRightInd w:val="0"/>
              <w:spacing w:before="0" w:beforeLines="0" w:after="0" w:afterLines="0" w:line="360" w:lineRule="auto"/>
              <w:ind w:firstLine="480"/>
              <w:rPr>
                <w:rFonts w:hint="eastAsia" w:ascii="Times New Roman" w:hAnsi="Times New Roman" w:eastAsia="宋体" w:cs="Times New Roman"/>
                <w:b/>
                <w:bCs/>
                <w:color w:val="auto"/>
                <w:spacing w:val="-2"/>
                <w:kern w:val="2"/>
                <w:sz w:val="24"/>
                <w:szCs w:val="24"/>
                <w:lang w:val="en-US" w:eastAsia="zh-CN" w:bidi="ar-SA"/>
              </w:rPr>
            </w:pPr>
            <w:r>
              <w:rPr>
                <w:rFonts w:hint="eastAsia" w:ascii="Times New Roman" w:hAnsi="Times New Roman" w:eastAsia="宋体" w:cs="Times New Roman"/>
                <w:b/>
                <w:bCs/>
                <w:color w:val="auto"/>
                <w:spacing w:val="-2"/>
                <w:kern w:val="2"/>
                <w:sz w:val="24"/>
                <w:szCs w:val="24"/>
                <w:lang w:val="en-US" w:eastAsia="zh-CN" w:bidi="ar-SA"/>
              </w:rPr>
              <w:t>报废电动汽车拆解工艺流程：</w:t>
            </w:r>
          </w:p>
          <w:p w14:paraId="61606654">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根据《报废机动车回收拆解企业技术规范》（GB22128-2019），纯电动车辆对动力蓄电池的预处理及拆解有单独要求，纯电动车辆及混动车辆拆除动力蓄电池后车体的其他预处理和拆解要求同燃油车辆。动力蓄电池的预处理及拆解工序具体如下：</w:t>
            </w:r>
          </w:p>
          <w:p w14:paraId="0068721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①检查车身有无漏液、有无带电。</w:t>
            </w:r>
          </w:p>
          <w:p w14:paraId="08B6880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②检查动力电池布局和安装位置，确认诊断接口是否完好。</w:t>
            </w:r>
          </w:p>
          <w:p w14:paraId="67A80DB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 xml:space="preserve">③对动力电池电压、温度等参数进行检测，评估其安全状态。 </w:t>
            </w:r>
          </w:p>
          <w:p w14:paraId="54BE9A1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④断开动力电池电源高压回路。</w:t>
            </w:r>
          </w:p>
          <w:p w14:paraId="0331825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⑤从车身取下动力电池，放置动力蓄电池贮存区储存。</w:t>
            </w:r>
          </w:p>
          <w:p w14:paraId="027A6AD6">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由于新能源汽车的动力电池里面的高压电有380-650多伏，故在拆解时必须遵守电气电路的安全规程。作业人员必须持证（电工特种作业操作证）上岗，并穿戴个人安全防护用品，同时配备安全监护员，进行作业。</w:t>
            </w:r>
          </w:p>
          <w:p w14:paraId="717C1BD1">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作业前准备：</w:t>
            </w:r>
          </w:p>
          <w:p w14:paraId="63AC9F1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A、检查并穿戴个人安全防护用品。</w:t>
            </w:r>
          </w:p>
          <w:p w14:paraId="231593A6">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B、检查并调校设备仪器。</w:t>
            </w:r>
          </w:p>
          <w:p w14:paraId="0FEF366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C、检查绝缘用工具。</w:t>
            </w:r>
          </w:p>
          <w:p w14:paraId="1236FF40">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D、检查举升机。</w:t>
            </w:r>
          </w:p>
          <w:p w14:paraId="36EAA6B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E、检查动力电池举升机。</w:t>
            </w:r>
          </w:p>
          <w:p w14:paraId="7992277C">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F、检测绝缘垫对地绝缘性能。</w:t>
            </w:r>
          </w:p>
          <w:p w14:paraId="18EC614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车辆安全预拆步骤如下：</w:t>
            </w:r>
          </w:p>
          <w:p w14:paraId="4E30E33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A、地面上铺好绝缘垫，待车辆进入预拆工位后，设置安全隔离，放置安全警示牌，并实施车辆防护。</w:t>
            </w:r>
          </w:p>
          <w:p w14:paraId="65A255E7">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B、断开12V蓄电池负极线，负极线缆用绝缘胶布包好，蓄电池负极桩头用盖子或绝缘胶布包好。</w:t>
            </w:r>
          </w:p>
          <w:p w14:paraId="4A296E85">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C、断开维修开关，用绝缘胶布将维修开关接口封好，将车辆放置10min，对电动汽车的高压电容器进行放电。</w:t>
            </w:r>
          </w:p>
          <w:p w14:paraId="613646B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断开动力蓄电池的高低压电：</w:t>
            </w:r>
          </w:p>
          <w:p w14:paraId="4ED6839A">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A、举升车辆，检查动力电池底板并拆下动力电池线束护板。</w:t>
            </w:r>
          </w:p>
          <w:p w14:paraId="77FAF1F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B、先断开低压控制线束，再断开动力电池插件。</w:t>
            </w:r>
          </w:p>
          <w:p w14:paraId="3B82176E">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C、断开动力蓄电池母线后，需要对动力电池的母线进行验电，如果母线有残余电荷需用放电设备对高压负载端进行放电，确保动力蓄电池母线无电。</w:t>
            </w:r>
          </w:p>
          <w:p w14:paraId="513EE263">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动力电池拆卸：</w:t>
            </w:r>
          </w:p>
          <w:p w14:paraId="0937681C">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A、推入动力电池举升车。</w:t>
            </w:r>
          </w:p>
          <w:p w14:paraId="1E9EEF69">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B、调整电池举升车，使之托住动力电池底部，拆卸动力电池。动力蓄电池拆卸区地面应做绝缘处理，应设有高压警示、区域隔离及危险识别标志，并设有防腐防渗专用容器，用于收集动力蓄电池等破损时泄漏出的电解液、冷却液等有毒有害液体。</w:t>
            </w:r>
          </w:p>
          <w:p w14:paraId="498383B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C、放下动力电池，检查动力电池外观，登记电池包编码，填写电池信息单随单移入动力电池库房存放，并做好电池溯源管理台账记录。</w:t>
            </w:r>
          </w:p>
          <w:p w14:paraId="7FE247FF">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⑥使用防静电专门设备回收车内空调制冷剂。</w:t>
            </w:r>
          </w:p>
          <w:p w14:paraId="04A613C2">
            <w:pPr>
              <w:pStyle w:val="18"/>
              <w:adjustRightInd w:val="0"/>
              <w:spacing w:before="0" w:beforeLines="0" w:after="0" w:afterLines="0" w:line="360" w:lineRule="auto"/>
              <w:ind w:firstLine="480"/>
              <w:rPr>
                <w:rFonts w:hint="eastAsia"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电动汽车动力电池拆除后参照燃油车拆解流程拆解。</w:t>
            </w:r>
          </w:p>
          <w:p w14:paraId="3D9DE277">
            <w:pPr>
              <w:pStyle w:val="18"/>
              <w:adjustRightInd w:val="0"/>
              <w:spacing w:before="0" w:beforeLines="0" w:after="0" w:afterLines="0" w:line="360" w:lineRule="auto"/>
              <w:ind w:firstLine="480"/>
              <w:rPr>
                <w:rFonts w:hint="default" w:ascii="Times New Roman" w:hAnsi="Times New Roman" w:eastAsia="宋体" w:cs="Times New Roman"/>
                <w:color w:val="auto"/>
                <w:spacing w:val="-2"/>
                <w:kern w:val="2"/>
                <w:sz w:val="24"/>
                <w:szCs w:val="24"/>
                <w:lang w:val="en-US" w:eastAsia="zh-CN" w:bidi="ar-SA"/>
              </w:rPr>
            </w:pPr>
            <w:r>
              <w:rPr>
                <w:rFonts w:hint="eastAsia" w:ascii="Times New Roman" w:hAnsi="Times New Roman" w:eastAsia="宋体" w:cs="Times New Roman"/>
                <w:color w:val="auto"/>
                <w:spacing w:val="-2"/>
                <w:kern w:val="2"/>
                <w:sz w:val="24"/>
                <w:szCs w:val="24"/>
                <w:lang w:val="en-US" w:eastAsia="zh-CN" w:bidi="ar-SA"/>
              </w:rPr>
              <w:t>工艺流程图详见图1、图2。</w:t>
            </w:r>
          </w:p>
          <w:p w14:paraId="10FD913C">
            <w:pPr>
              <w:jc w:val="center"/>
              <w:rPr>
                <w:rFonts w:hint="default" w:ascii="Times New Roman" w:hAnsi="Times New Roman" w:eastAsia="宋体" w:cs="Times New Roman"/>
                <w:b w:val="0"/>
                <w:bCs w:val="0"/>
                <w:color w:val="000000"/>
                <w:sz w:val="24"/>
                <w:szCs w:val="24"/>
                <w:highlight w:val="none"/>
                <w:u w:val="none" w:color="auto"/>
                <w:lang w:val="en-US" w:eastAsia="zh-CN"/>
              </w:rPr>
            </w:pPr>
            <w:r>
              <w:rPr>
                <w:rFonts w:hint="default" w:ascii="Times New Roman" w:hAnsi="Times New Roman" w:eastAsia="宋体" w:cs="Times New Roman"/>
                <w:b w:val="0"/>
                <w:bCs w:val="0"/>
                <w:color w:val="000000"/>
                <w:sz w:val="24"/>
                <w:szCs w:val="24"/>
                <w:highlight w:val="none"/>
                <w:u w:val="none" w:color="auto"/>
                <w:lang w:val="en-US" w:eastAsia="zh-CN"/>
              </w:rPr>
              <w:drawing>
                <wp:inline distT="0" distB="0" distL="114300" distR="114300">
                  <wp:extent cx="5042535" cy="5913120"/>
                  <wp:effectExtent l="0" t="0" r="1905" b="0"/>
                  <wp:docPr id="2" name="图片 3"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图片"/>
                          <pic:cNvPicPr>
                            <a:picLocks noChangeAspect="1"/>
                          </pic:cNvPicPr>
                        </pic:nvPicPr>
                        <pic:blipFill>
                          <a:blip r:embed="rId6"/>
                          <a:stretch>
                            <a:fillRect/>
                          </a:stretch>
                        </pic:blipFill>
                        <pic:spPr>
                          <a:xfrm>
                            <a:off x="0" y="0"/>
                            <a:ext cx="5042535" cy="5913120"/>
                          </a:xfrm>
                          <a:prstGeom prst="rect">
                            <a:avLst/>
                          </a:prstGeom>
                          <a:noFill/>
                          <a:ln>
                            <a:noFill/>
                          </a:ln>
                        </pic:spPr>
                      </pic:pic>
                    </a:graphicData>
                  </a:graphic>
                </wp:inline>
              </w:drawing>
            </w:r>
          </w:p>
          <w:p w14:paraId="538C212F">
            <w:pPr>
              <w:jc w:val="center"/>
              <w:rPr>
                <w:rFonts w:hint="default" w:ascii="Times New Roman" w:hAnsi="Times New Roman" w:cs="Times New Roman"/>
                <w:sz w:val="21"/>
                <w:szCs w:val="21"/>
                <w:u w:val="none"/>
              </w:rPr>
            </w:pPr>
            <w:r>
              <w:rPr>
                <w:rFonts w:hint="default" w:ascii="Times New Roman" w:hAnsi="Times New Roman" w:cs="Times New Roman"/>
                <w:b/>
                <w:bCs/>
                <w:iCs/>
                <w:sz w:val="21"/>
                <w:szCs w:val="21"/>
                <w:u w:val="none"/>
              </w:rPr>
              <w:t>图</w:t>
            </w:r>
            <w:r>
              <w:rPr>
                <w:rFonts w:hint="eastAsia" w:ascii="Times New Roman" w:hAnsi="Times New Roman" w:cs="Times New Roman"/>
                <w:b/>
                <w:bCs/>
                <w:iCs/>
                <w:sz w:val="21"/>
                <w:szCs w:val="21"/>
                <w:u w:val="none"/>
                <w:lang w:val="en-US" w:eastAsia="zh-CN"/>
              </w:rPr>
              <w:t>1</w:t>
            </w:r>
            <w:r>
              <w:rPr>
                <w:rFonts w:hint="default" w:ascii="Times New Roman" w:hAnsi="Times New Roman" w:cs="Times New Roman"/>
                <w:b/>
                <w:bCs/>
                <w:iCs/>
                <w:sz w:val="21"/>
                <w:szCs w:val="21"/>
                <w:u w:val="none"/>
              </w:rPr>
              <w:t xml:space="preserve">   报废机动车（传统燃料汽车）拆解工艺流程及产排污节点示意图</w:t>
            </w:r>
          </w:p>
          <w:p w14:paraId="5F902F0A">
            <w:pPr>
              <w:jc w:val="center"/>
              <w:rPr>
                <w:rFonts w:hint="default" w:ascii="Times New Roman" w:hAnsi="Times New Roman" w:cs="Times New Roman"/>
                <w:sz w:val="24"/>
                <w:szCs w:val="24"/>
                <w:u w:val="none"/>
              </w:rPr>
            </w:pPr>
          </w:p>
          <w:p w14:paraId="1DDA48D9">
            <w:pPr>
              <w:rPr>
                <w:rFonts w:hint="eastAsia" w:ascii="宋体" w:hAnsi="宋体" w:cs="宋体"/>
                <w:u w:val="single"/>
              </w:rPr>
            </w:pPr>
            <w:r>
              <w:rPr>
                <w:rFonts w:hint="eastAsia" w:ascii="宋体" w:hAnsi="宋体" w:cs="宋体"/>
              </w:rPr>
              <mc:AlternateContent>
                <mc:Choice Requires="wps">
                  <w:drawing>
                    <wp:anchor distT="0" distB="0" distL="114300" distR="114300" simplePos="0" relativeHeight="251660288" behindDoc="0" locked="0" layoutInCell="1" allowOverlap="1">
                      <wp:simplePos x="0" y="0"/>
                      <wp:positionH relativeFrom="column">
                        <wp:posOffset>4337685</wp:posOffset>
                      </wp:positionH>
                      <wp:positionV relativeFrom="paragraph">
                        <wp:posOffset>6417310</wp:posOffset>
                      </wp:positionV>
                      <wp:extent cx="608965" cy="2089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8965" cy="208915"/>
                              </a:xfrm>
                              <a:prstGeom prst="rect">
                                <a:avLst/>
                              </a:prstGeom>
                              <a:noFill/>
                              <a:ln>
                                <a:noFill/>
                              </a:ln>
                            </wps:spPr>
                            <wps:txbx>
                              <w:txbxContent>
                                <w:p w14:paraId="43D99545">
                                  <w:pPr>
                                    <w:rPr>
                                      <w:color w:val="D99594"/>
                                      <w:sz w:val="15"/>
                                      <w:szCs w:val="15"/>
                                    </w:rPr>
                                  </w:pPr>
                                  <w:r>
                                    <w:rPr>
                                      <w:rFonts w:hint="eastAsia"/>
                                      <w:color w:val="D99594"/>
                                      <w:sz w:val="15"/>
                                      <w:szCs w:val="15"/>
                                    </w:rPr>
                                    <w:t>N噪声</w:t>
                                  </w:r>
                                </w:p>
                              </w:txbxContent>
                            </wps:txbx>
                            <wps:bodyPr upright="1"/>
                          </wps:wsp>
                        </a:graphicData>
                      </a:graphic>
                    </wp:anchor>
                  </w:drawing>
                </mc:Choice>
                <mc:Fallback>
                  <w:pict>
                    <v:shape id="_x0000_s1026" o:spid="_x0000_s1026" o:spt="202" type="#_x0000_t202" style="position:absolute;left:0pt;margin-left:341.55pt;margin-top:505.3pt;height:16.45pt;width:47.95pt;z-index:251660288;mso-width-relative:page;mso-height-relative:page;" filled="f" stroked="f" coordsize="21600,21600" o:gfxdata="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O9orlvZAAAA&#10;DQEAAA8AAAAAAAAAAQAgAAAAIgAAAGRycy9kb3ducmV2LnhtbFBLAQIUABQAAAAIAIdO4kDKicu7&#10;qgEAAE0DAAAOAAAAAAAAAAEAIAAAACgBAABkcnMvZTJvRG9jLnhtbFBLBQYAAAAABgAGAFkBAABE&#10;BQAAAAA=&#10;">
                      <v:fill on="f" focussize="0,0"/>
                      <v:stroke on="f"/>
                      <v:imagedata o:title=""/>
                      <o:lock v:ext="edit" aspectratio="f"/>
                      <v:textbox>
                        <w:txbxContent>
                          <w:p w14:paraId="43D99545">
                            <w:pPr>
                              <w:rPr>
                                <w:color w:val="D99594"/>
                                <w:sz w:val="15"/>
                                <w:szCs w:val="15"/>
                              </w:rPr>
                            </w:pPr>
                            <w:r>
                              <w:rPr>
                                <w:rFonts w:hint="eastAsia"/>
                                <w:color w:val="D99594"/>
                                <w:sz w:val="15"/>
                                <w:szCs w:val="15"/>
                              </w:rPr>
                              <w:t>N噪声</w:t>
                            </w:r>
                          </w:p>
                        </w:txbxContent>
                      </v:textbox>
                    </v:shape>
                  </w:pict>
                </mc:Fallback>
              </mc:AlternateContent>
            </w:r>
          </w:p>
          <w:p w14:paraId="71BD1DCE">
            <w:pPr>
              <w:widowControl w:val="0"/>
              <w:adjustRightInd w:val="0"/>
              <w:snapToGrid w:val="0"/>
              <w:spacing w:after="0" w:line="360" w:lineRule="auto"/>
              <w:jc w:val="center"/>
              <w:rPr>
                <w:rFonts w:hint="default" w:ascii="Times New Roman" w:hAnsi="Times New Roman" w:eastAsia="宋体" w:cs="Times New Roman"/>
                <w:b w:val="0"/>
                <w:bCs w:val="0"/>
                <w:color w:val="000000"/>
                <w:sz w:val="24"/>
                <w:szCs w:val="24"/>
                <w:highlight w:val="none"/>
                <w:u w:val="none" w:color="auto"/>
                <w:lang w:val="en-US" w:eastAsia="zh-CN"/>
              </w:rPr>
            </w:pPr>
            <w:r>
              <w:rPr>
                <w:rFonts w:hint="default" w:ascii="Times New Roman" w:hAnsi="Times New Roman" w:eastAsia="宋体" w:cs="Times New Roman"/>
                <w:b w:val="0"/>
                <w:bCs w:val="0"/>
                <w:color w:val="000000"/>
                <w:sz w:val="24"/>
                <w:szCs w:val="24"/>
                <w:highlight w:val="none"/>
                <w:u w:val="none" w:color="auto"/>
                <w:lang w:val="en-US" w:eastAsia="zh-CN"/>
              </w:rPr>
              <w:drawing>
                <wp:inline distT="0" distB="0" distL="114300" distR="114300">
                  <wp:extent cx="5033645" cy="5544820"/>
                  <wp:effectExtent l="0" t="0" r="10795" b="2540"/>
                  <wp:docPr id="3" name="图片 4"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图片"/>
                          <pic:cNvPicPr>
                            <a:picLocks noChangeAspect="1"/>
                          </pic:cNvPicPr>
                        </pic:nvPicPr>
                        <pic:blipFill>
                          <a:blip r:embed="rId7"/>
                          <a:stretch>
                            <a:fillRect/>
                          </a:stretch>
                        </pic:blipFill>
                        <pic:spPr>
                          <a:xfrm>
                            <a:off x="0" y="0"/>
                            <a:ext cx="5033645" cy="5544820"/>
                          </a:xfrm>
                          <a:prstGeom prst="rect">
                            <a:avLst/>
                          </a:prstGeom>
                          <a:noFill/>
                          <a:ln>
                            <a:noFill/>
                          </a:ln>
                        </pic:spPr>
                      </pic:pic>
                    </a:graphicData>
                  </a:graphic>
                </wp:inline>
              </w:drawing>
            </w:r>
          </w:p>
          <w:p w14:paraId="3CEBCE8E">
            <w:pPr>
              <w:widowControl w:val="0"/>
              <w:adjustRightInd w:val="0"/>
              <w:snapToGrid w:val="0"/>
              <w:spacing w:after="0" w:line="360" w:lineRule="auto"/>
              <w:jc w:val="center"/>
              <w:rPr>
                <w:rFonts w:hint="default" w:ascii="Times New Roman" w:hAnsi="Times New Roman" w:cs="Times New Roman"/>
                <w:b/>
                <w:bCs/>
                <w:iCs/>
                <w:sz w:val="21"/>
                <w:szCs w:val="21"/>
                <w:u w:val="none"/>
              </w:rPr>
            </w:pPr>
            <w:r>
              <w:rPr>
                <w:rFonts w:hint="default" w:ascii="Times New Roman" w:hAnsi="Times New Roman" w:cs="Times New Roman"/>
                <w:b/>
                <w:bCs/>
                <w:iCs/>
                <w:sz w:val="21"/>
                <w:szCs w:val="21"/>
                <w:u w:val="none"/>
              </w:rPr>
              <w:t>图</w:t>
            </w:r>
            <w:r>
              <w:rPr>
                <w:rFonts w:hint="default" w:ascii="Times New Roman" w:hAnsi="Times New Roman" w:cs="Times New Roman"/>
                <w:b/>
                <w:bCs/>
                <w:iCs/>
                <w:sz w:val="21"/>
                <w:szCs w:val="21"/>
                <w:u w:val="none"/>
                <w:lang w:val="en-US" w:eastAsia="zh-CN"/>
              </w:rPr>
              <w:t>2</w:t>
            </w:r>
            <w:r>
              <w:rPr>
                <w:rFonts w:hint="default" w:ascii="Times New Roman" w:hAnsi="Times New Roman" w:cs="Times New Roman"/>
                <w:b/>
                <w:bCs/>
                <w:iCs/>
                <w:sz w:val="21"/>
                <w:szCs w:val="21"/>
                <w:u w:val="none"/>
              </w:rPr>
              <w:t xml:space="preserve">    报废机动车（电动汽车）拆解工艺流程及产排污节点示意图</w:t>
            </w:r>
          </w:p>
          <w:p w14:paraId="3C1A31E9">
            <w:pPr>
              <w:pStyle w:val="20"/>
              <w:spacing w:line="240" w:lineRule="auto"/>
              <w:ind w:firstLine="472" w:firstLineChars="200"/>
              <w:jc w:val="both"/>
              <w:rPr>
                <w:rFonts w:hint="default" w:ascii="Times New Roman" w:hAnsi="Times New Roman" w:eastAsia="宋体" w:cs="Times New Roman"/>
                <w:color w:val="auto"/>
                <w:spacing w:val="-2"/>
                <w:kern w:val="2"/>
                <w:sz w:val="24"/>
                <w:szCs w:val="24"/>
                <w:lang w:val="en-US" w:eastAsia="zh-CN" w:bidi="ar-SA"/>
              </w:rPr>
            </w:pPr>
            <w:r>
              <w:rPr>
                <w:rFonts w:hint="default" w:ascii="Times New Roman" w:hAnsi="Times New Roman" w:eastAsia="宋体" w:cs="Times New Roman"/>
                <w:color w:val="auto"/>
                <w:spacing w:val="-2"/>
                <w:kern w:val="2"/>
                <w:sz w:val="24"/>
                <w:szCs w:val="24"/>
                <w:lang w:val="en-US" w:eastAsia="zh-CN" w:bidi="ar-SA"/>
              </w:rPr>
              <w:t>2、重大变动情况</w:t>
            </w:r>
          </w:p>
          <w:p w14:paraId="2F7C1070">
            <w:pPr>
              <w:widowControl w:val="0"/>
              <w:adjustRightInd w:val="0"/>
              <w:snapToGrid w:val="0"/>
              <w:spacing w:after="0" w:line="360" w:lineRule="auto"/>
              <w:ind w:firstLine="472" w:firstLineChars="200"/>
              <w:jc w:val="both"/>
              <w:rPr>
                <w:rFonts w:hint="default" w:ascii="Times New Roman" w:hAnsi="Times New Roman" w:eastAsia="宋体" w:cs="Times New Roman"/>
                <w:color w:val="auto"/>
                <w:spacing w:val="-2"/>
                <w:kern w:val="2"/>
                <w:sz w:val="24"/>
                <w:szCs w:val="24"/>
                <w:lang w:val="en-US" w:eastAsia="zh-CN"/>
              </w:rPr>
            </w:pPr>
            <w:r>
              <w:rPr>
                <w:rFonts w:hint="default" w:ascii="Times New Roman" w:hAnsi="Times New Roman" w:eastAsia="宋体" w:cs="Times New Roman"/>
                <w:color w:val="auto"/>
                <w:spacing w:val="-2"/>
                <w:kern w:val="2"/>
                <w:sz w:val="24"/>
                <w:szCs w:val="24"/>
                <w:lang w:val="en-US" w:eastAsia="zh-CN" w:bidi="ar-SA"/>
              </w:rPr>
              <w:t>根据现场踏查，对</w:t>
            </w:r>
            <w:r>
              <w:rPr>
                <w:rFonts w:hint="default" w:ascii="Times New Roman" w:hAnsi="Times New Roman" w:eastAsia="宋体" w:cs="Times New Roman"/>
                <w:color w:val="auto"/>
                <w:spacing w:val="-2"/>
                <w:kern w:val="2"/>
                <w:sz w:val="24"/>
                <w:szCs w:val="24"/>
                <w:lang w:val="en-US" w:eastAsia="zh-CN"/>
              </w:rPr>
              <w:t>比环评时期，建设项目的性质、规模、地点、生产工艺及环境保护措施与环评时期变动情况详见表2-8。</w:t>
            </w:r>
          </w:p>
          <w:p w14:paraId="1E6C90DD">
            <w:pPr>
              <w:widowControl w:val="0"/>
              <w:adjustRightInd/>
              <w:snapToGrid/>
              <w:spacing w:after="0"/>
              <w:jc w:val="center"/>
              <w:rPr>
                <w:rFonts w:hint="default" w:ascii="Times New Roman" w:hAnsi="Times New Roman" w:eastAsia="宋体" w:cs="Times New Roman"/>
                <w:b/>
                <w:bCs/>
                <w:color w:val="auto"/>
                <w:kern w:val="2"/>
                <w:sz w:val="21"/>
                <w:szCs w:val="21"/>
                <w:lang w:val="en-US" w:eastAsia="zh-CN"/>
              </w:rPr>
            </w:pPr>
            <w:r>
              <w:rPr>
                <w:rFonts w:hint="default" w:ascii="Times New Roman" w:hAnsi="Times New Roman" w:eastAsia="宋体" w:cs="Times New Roman"/>
                <w:b/>
                <w:bCs/>
                <w:color w:val="auto"/>
                <w:kern w:val="2"/>
                <w:sz w:val="21"/>
                <w:szCs w:val="21"/>
                <w:lang w:val="en-US" w:eastAsia="zh-CN"/>
              </w:rPr>
              <w:t>表2-8   项目变动情况一览表</w:t>
            </w:r>
          </w:p>
          <w:tbl>
            <w:tblPr>
              <w:tblStyle w:val="11"/>
              <w:tblW w:w="0" w:type="auto"/>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4018"/>
              <w:gridCol w:w="2232"/>
              <w:gridCol w:w="1358"/>
            </w:tblGrid>
            <w:tr w14:paraId="6EC170F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tcBorders>
                    <w:tl2br w:val="nil"/>
                    <w:tr2bl w:val="nil"/>
                  </w:tcBorders>
                  <w:vAlign w:val="center"/>
                </w:tcPr>
                <w:p w14:paraId="36C87BB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序号</w:t>
                  </w:r>
                </w:p>
              </w:tc>
              <w:tc>
                <w:tcPr>
                  <w:tcW w:w="4018" w:type="dxa"/>
                  <w:tcBorders>
                    <w:tl2br w:val="nil"/>
                    <w:tr2bl w:val="nil"/>
                  </w:tcBorders>
                  <w:vAlign w:val="center"/>
                </w:tcPr>
                <w:p w14:paraId="57D17EF0">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环评时期</w:t>
                  </w:r>
                </w:p>
              </w:tc>
              <w:tc>
                <w:tcPr>
                  <w:tcW w:w="2232" w:type="dxa"/>
                  <w:tcBorders>
                    <w:tl2br w:val="nil"/>
                    <w:tr2bl w:val="nil"/>
                  </w:tcBorders>
                  <w:vAlign w:val="center"/>
                </w:tcPr>
                <w:p w14:paraId="3DB183C7">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验收时期</w:t>
                  </w:r>
                </w:p>
              </w:tc>
              <w:tc>
                <w:tcPr>
                  <w:tcW w:w="1358" w:type="dxa"/>
                  <w:tcBorders>
                    <w:tl2br w:val="nil"/>
                    <w:tr2bl w:val="nil"/>
                  </w:tcBorders>
                  <w:vAlign w:val="center"/>
                </w:tcPr>
                <w:p w14:paraId="47E5EEF6">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是否属于重大变动</w:t>
                  </w:r>
                </w:p>
              </w:tc>
            </w:tr>
            <w:tr w14:paraId="5773E85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688" w:type="dxa"/>
                  <w:tcBorders>
                    <w:tl2br w:val="nil"/>
                    <w:tr2bl w:val="nil"/>
                  </w:tcBorders>
                  <w:vAlign w:val="center"/>
                </w:tcPr>
                <w:p w14:paraId="340952B5">
                  <w:pPr>
                    <w:keepNext w:val="0"/>
                    <w:keepLines w:val="0"/>
                    <w:pageBreakBefore w:val="0"/>
                    <w:widowControl/>
                    <w:kinsoku/>
                    <w:wordWrap/>
                    <w:overflowPunct/>
                    <w:topLinePunct w:val="0"/>
                    <w:autoSpaceDE w:val="0"/>
                    <w:autoSpaceDN w:val="0"/>
                    <w:bidi w:val="0"/>
                    <w:adjustRightInd w:val="0"/>
                    <w:snapToGrid w:val="0"/>
                    <w:spacing w:after="0" w:line="240" w:lineRule="auto"/>
                    <w:jc w:val="center"/>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1</w:t>
                  </w:r>
                </w:p>
              </w:tc>
              <w:tc>
                <w:tcPr>
                  <w:tcW w:w="4018" w:type="dxa"/>
                  <w:tcBorders>
                    <w:tl2br w:val="nil"/>
                    <w:tr2bl w:val="nil"/>
                  </w:tcBorders>
                  <w:vAlign w:val="center"/>
                </w:tcPr>
                <w:p w14:paraId="5311188C">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①废油液抽取工序产生的废气（非甲烷总烃）：拟在预处理区设置集气罩，收集拆解预处理、废油液抽取工序产生的废气。收集后的废气经活性炭吸附装置进行处理，处理后经15m高排气筒（DA001）排放，未收集的非甲烷总烃以无组织排放。</w:t>
                  </w:r>
                </w:p>
                <w:p w14:paraId="0A7F415E">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②</w:t>
                  </w:r>
                  <w:r>
                    <w:rPr>
                      <w:rFonts w:hint="eastAsia" w:ascii="Times New Roman" w:hAnsi="Times New Roman" w:eastAsia="宋体" w:cs="Times New Roman"/>
                      <w:color w:val="000000"/>
                      <w:kern w:val="0"/>
                      <w:sz w:val="21"/>
                      <w:szCs w:val="21"/>
                      <w:u w:val="none"/>
                      <w:lang w:val="en-US" w:eastAsia="zh-CN"/>
                    </w:rPr>
                    <w:t>精拆、等离子切割、打包、压块等工序产生的废气（颗粒物）：拟在精拆、等离子切割、打包、压块等工序上方分别加装集气罩，收集后的粉尘由一套布袋除尘器进行处理，处理后的粉尘经15m高排气筒（DA001）排放，未收集的粉尘以无组织排放。</w:t>
                  </w:r>
                </w:p>
                <w:p w14:paraId="2A3F762C">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default" w:ascii="Times New Roman" w:hAnsi="Times New Roman" w:eastAsia="宋体" w:cs="Times New Roman"/>
                      <w:color w:val="000000"/>
                      <w:kern w:val="0"/>
                      <w:sz w:val="21"/>
                      <w:szCs w:val="21"/>
                      <w:u w:val="none"/>
                      <w:lang w:val="en-US" w:eastAsia="zh-CN"/>
                    </w:rPr>
                    <w:t>③</w:t>
                  </w:r>
                  <w:r>
                    <w:rPr>
                      <w:rFonts w:hint="eastAsia" w:ascii="Times New Roman" w:hAnsi="Times New Roman" w:eastAsia="宋体" w:cs="Times New Roman"/>
                      <w:color w:val="000000"/>
                      <w:kern w:val="0"/>
                      <w:sz w:val="21"/>
                      <w:szCs w:val="21"/>
                      <w:u w:val="none"/>
                      <w:lang w:val="en-US" w:eastAsia="zh-CN"/>
                    </w:rPr>
                    <w:t>危险废物贮存库产生的废气（非甲烷总烃、硫酸雾、铅及其化合物）</w:t>
                  </w:r>
                </w:p>
                <w:p w14:paraId="3FEA0F7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危险废物贮存库废油液暂存过程中会产生有机废气（非甲烷总烃）；非正常状况下，危险废物贮存库暂存的废电池破损，电解液泄漏会产生硫酸雾、铅及其化合物。危险废物贮存库产生的废气（非甲烷总烃、硫酸雾、铅及其化合物）由负压收集（收集效率90%）+防酸滤铅网（处理效率80%）+活性炭吸附（处理效率80%）+15排气筒（DA002）排放，未收集的非甲烷总烃、硫酸雾、铅及其化合物以无组织排放。</w:t>
                  </w:r>
                </w:p>
                <w:p w14:paraId="3D48E422">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④安全气囊引爆粉尘：采用密闭式安全气囊引爆装置进行电子引爆引爆粉尘在该密闭装置内进行收集，不对外排放。</w:t>
                  </w:r>
                </w:p>
                <w:p w14:paraId="4912571C">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⑤废空调制冷剂挥发的氟化物：采用密闭式制冷剂回收机对制冷剂进行回收，并收集在密闭容器中，对外无排放。</w:t>
                  </w:r>
                </w:p>
              </w:tc>
              <w:tc>
                <w:tcPr>
                  <w:tcW w:w="2232" w:type="dxa"/>
                  <w:tcBorders>
                    <w:tl2br w:val="nil"/>
                    <w:tr2bl w:val="nil"/>
                  </w:tcBorders>
                  <w:vAlign w:val="center"/>
                </w:tcPr>
                <w:p w14:paraId="340A752B">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项目精拆、剪切、切割、打包压块过程产生的颗粒物经集气罩进行收集（收集效率80%）；拆解预处理、废油液抽取工序产生的有机废气非甲烷总烃经集气罩收集；危废暂存间产生的有机废气通过负压收集（收集效率90%）；危废暂存间内破损铅蓄电池产生的硫酸雾、铅及其化合物经负压收集（收集效率90%）+防酸滤铅网处理（处理效率80%），一并经车间外一套袋式除尘设备（处理效率95%）+二级活性炭吸附装置（处理效率80%）处理后，通过15m高排气筒DA001排放。</w:t>
                  </w:r>
                </w:p>
              </w:tc>
              <w:tc>
                <w:tcPr>
                  <w:tcW w:w="1358" w:type="dxa"/>
                  <w:tcBorders>
                    <w:tl2br w:val="nil"/>
                    <w:tr2bl w:val="nil"/>
                  </w:tcBorders>
                  <w:vAlign w:val="center"/>
                </w:tcPr>
                <w:p w14:paraId="508F922D">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eastAsia"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变动情况：</w:t>
                  </w:r>
                </w:p>
                <w:p w14:paraId="6226F2F4">
                  <w:pPr>
                    <w:keepNext w:val="0"/>
                    <w:keepLines w:val="0"/>
                    <w:pageBreakBefore w:val="0"/>
                    <w:widowControl/>
                    <w:kinsoku/>
                    <w:wordWrap/>
                    <w:overflowPunct/>
                    <w:topLinePunct w:val="0"/>
                    <w:autoSpaceDE w:val="0"/>
                    <w:autoSpaceDN w:val="0"/>
                    <w:bidi w:val="0"/>
                    <w:adjustRightInd w:val="0"/>
                    <w:snapToGrid w:val="0"/>
                    <w:spacing w:after="0" w:line="240" w:lineRule="auto"/>
                    <w:jc w:val="both"/>
                    <w:textAlignment w:val="auto"/>
                    <w:rPr>
                      <w:rFonts w:hint="default" w:ascii="Times New Roman" w:hAnsi="Times New Roman" w:eastAsia="宋体" w:cs="Times New Roman"/>
                      <w:color w:val="000000"/>
                      <w:kern w:val="0"/>
                      <w:sz w:val="21"/>
                      <w:szCs w:val="21"/>
                      <w:u w:val="none"/>
                      <w:lang w:val="en-US" w:eastAsia="zh-CN"/>
                    </w:rPr>
                  </w:pPr>
                  <w:r>
                    <w:rPr>
                      <w:rFonts w:hint="eastAsia" w:ascii="Times New Roman" w:hAnsi="Times New Roman" w:eastAsia="宋体" w:cs="Times New Roman"/>
                      <w:color w:val="000000"/>
                      <w:kern w:val="0"/>
                      <w:sz w:val="21"/>
                      <w:szCs w:val="21"/>
                      <w:u w:val="none"/>
                      <w:lang w:val="en-US" w:eastAsia="zh-CN"/>
                    </w:rPr>
                    <w:t>厂区环评时期建设4个集气罩、2个排气筒，实际建有3个集气罩、1个排气筒，由于废气处理措施不变，污染物种类不变，排放总量也不变，因此不属于重大变动。</w:t>
                  </w:r>
                </w:p>
              </w:tc>
            </w:tr>
          </w:tbl>
          <w:p w14:paraId="2BDFE95C">
            <w:pPr>
              <w:pStyle w:val="19"/>
              <w:widowControl w:val="0"/>
              <w:adjustRightInd w:val="0"/>
              <w:snapToGrid w:val="0"/>
              <w:spacing w:after="0"/>
              <w:ind w:firstLine="480" w:firstLineChars="200"/>
              <w:jc w:val="both"/>
              <w:rPr>
                <w:rFonts w:hint="default"/>
              </w:rPr>
            </w:pPr>
            <w:r>
              <w:rPr>
                <w:rFonts w:hint="default" w:ascii="Times New Roman" w:hAnsi="Times New Roman" w:eastAsia="宋体" w:cs="Times New Roman"/>
                <w:sz w:val="24"/>
                <w:szCs w:val="24"/>
                <w:lang w:val="en-US" w:eastAsia="zh-CN"/>
              </w:rPr>
              <w:t>根据《关于印发污染影响建设项目重大变动清单（试行）的通知》（环办环评函〔2020〕688号）和《吉林省环境保护厅关于加强建设项目重大变动环评管理的通知》（吉环管字〔2016〕10号），本项目变化情况不属于重大变动。</w:t>
            </w:r>
          </w:p>
        </w:tc>
      </w:tr>
    </w:tbl>
    <w:p w14:paraId="6D24974B">
      <w:p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78A37E17">
      <w:pPr>
        <w:spacing w:after="0" w:line="360" w:lineRule="auto"/>
        <w:outlineLvl w:val="0"/>
        <w:rPr>
          <w:rFonts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表三</w:t>
      </w:r>
      <w:r>
        <w:rPr>
          <w:rFonts w:hint="eastAsia" w:asciiTheme="minorEastAsia" w:hAnsiTheme="minorEastAsia" w:eastAsiaTheme="minorEastAsia" w:cstheme="minorEastAsia"/>
          <w:b/>
          <w:color w:val="000000"/>
          <w:sz w:val="24"/>
          <w:szCs w:val="24"/>
          <w:lang w:val="en-US" w:eastAsia="zh-CN"/>
        </w:rPr>
        <w:t xml:space="preserve">  </w:t>
      </w:r>
      <w:r>
        <w:rPr>
          <w:rFonts w:hint="eastAsia" w:asciiTheme="minorEastAsia" w:hAnsiTheme="minorEastAsia" w:eastAsiaTheme="minorEastAsia" w:cstheme="minorEastAsia"/>
          <w:b/>
          <w:color w:val="000000"/>
          <w:sz w:val="24"/>
          <w:szCs w:val="24"/>
        </w:rPr>
        <w:t>产排污概况及治理措施</w:t>
      </w:r>
    </w:p>
    <w:tbl>
      <w:tblPr>
        <w:tblStyle w:val="10"/>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14:paraId="3386F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3" w:hRule="atLeast"/>
          <w:jc w:val="center"/>
        </w:trPr>
        <w:tc>
          <w:tcPr>
            <w:tcW w:w="8924" w:type="dxa"/>
          </w:tcPr>
          <w:p w14:paraId="3F3E516E">
            <w:pPr>
              <w:widowControl w:val="0"/>
              <w:adjustRightInd/>
              <w:snapToGrid/>
              <w:spacing w:after="0" w:line="360" w:lineRule="auto"/>
              <w:ind w:firstLine="480" w:firstLineChars="200"/>
              <w:jc w:val="both"/>
              <w:rPr>
                <w:rFonts w:hint="eastAsia" w:ascii="宋体" w:hAnsi="宋体" w:eastAsia="宋体" w:cs="宋体"/>
                <w:color w:val="auto"/>
                <w:kern w:val="2"/>
                <w:sz w:val="24"/>
                <w:szCs w:val="20"/>
              </w:rPr>
            </w:pPr>
            <w:r>
              <w:rPr>
                <w:rFonts w:hint="eastAsia" w:ascii="宋体" w:hAnsi="宋体" w:eastAsia="宋体" w:cs="宋体"/>
                <w:color w:val="auto"/>
                <w:kern w:val="2"/>
                <w:sz w:val="24"/>
                <w:szCs w:val="20"/>
              </w:rPr>
              <w:t>主要污染源、污染物处理和排放</w:t>
            </w:r>
          </w:p>
          <w:p w14:paraId="0934B796">
            <w:pPr>
              <w:widowControl w:val="0"/>
              <w:adjustRightInd/>
              <w:snapToGrid/>
              <w:spacing w:after="0" w:line="360" w:lineRule="auto"/>
              <w:ind w:firstLine="482" w:firstLineChars="200"/>
              <w:jc w:val="both"/>
              <w:rPr>
                <w:rFonts w:hint="eastAsia" w:ascii="宋体" w:hAnsi="宋体" w:eastAsia="宋体" w:cs="宋体"/>
                <w:b/>
                <w:bCs/>
                <w:color w:val="auto"/>
                <w:kern w:val="2"/>
                <w:sz w:val="24"/>
                <w:szCs w:val="20"/>
              </w:rPr>
            </w:pPr>
            <w:r>
              <w:rPr>
                <w:rFonts w:hint="eastAsia" w:ascii="宋体" w:hAnsi="宋体" w:eastAsia="宋体" w:cs="宋体"/>
                <w:b/>
                <w:bCs/>
                <w:color w:val="auto"/>
                <w:kern w:val="2"/>
                <w:sz w:val="24"/>
                <w:szCs w:val="20"/>
              </w:rPr>
              <w:t>1、废水</w:t>
            </w:r>
          </w:p>
          <w:p w14:paraId="6D375FB2">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default" w:ascii="Times New Roman" w:hAnsi="Times New Roman" w:eastAsia="宋体" w:cs="Times New Roman"/>
                <w:color w:val="auto"/>
                <w:kern w:val="2"/>
                <w:sz w:val="24"/>
                <w:szCs w:val="20"/>
                <w:lang w:val="en-US" w:eastAsia="zh-CN"/>
              </w:rPr>
              <w:t>本项目产生的废水主要包括职工生活污水、地面清洁废水以及贮存区域的初期雨水。厂区实现雨污分流，地面清洁废水与贮存区域的初期雨水排入</w:t>
            </w:r>
            <w:r>
              <w:rPr>
                <w:rFonts w:hint="eastAsia" w:ascii="Times New Roman" w:hAnsi="Times New Roman" w:eastAsia="宋体" w:cs="Times New Roman"/>
                <w:color w:val="auto"/>
                <w:kern w:val="2"/>
                <w:sz w:val="24"/>
                <w:szCs w:val="20"/>
                <w:lang w:val="en-US" w:eastAsia="zh-CN"/>
              </w:rPr>
              <w:t>75</w:t>
            </w:r>
            <w:r>
              <w:rPr>
                <w:rFonts w:hint="default" w:ascii="Times New Roman" w:hAnsi="Times New Roman" w:eastAsia="宋体" w:cs="Times New Roman"/>
                <w:color w:val="auto"/>
                <w:kern w:val="2"/>
                <w:sz w:val="24"/>
                <w:szCs w:val="20"/>
                <w:lang w:val="en-US" w:eastAsia="zh-CN"/>
              </w:rPr>
              <w:t>m</w:t>
            </w:r>
            <w:r>
              <w:rPr>
                <w:rFonts w:hint="default" w:ascii="Times New Roman" w:hAnsi="Times New Roman" w:eastAsia="宋体" w:cs="Times New Roman"/>
                <w:color w:val="auto"/>
                <w:kern w:val="2"/>
                <w:sz w:val="24"/>
                <w:szCs w:val="20"/>
                <w:vertAlign w:val="superscript"/>
                <w:lang w:val="en-US" w:eastAsia="zh-CN"/>
              </w:rPr>
              <w:t>3</w:t>
            </w:r>
            <w:r>
              <w:rPr>
                <w:rFonts w:hint="default" w:ascii="Times New Roman" w:hAnsi="Times New Roman" w:eastAsia="宋体" w:cs="Times New Roman"/>
                <w:color w:val="auto"/>
                <w:kern w:val="2"/>
                <w:sz w:val="24"/>
                <w:szCs w:val="20"/>
                <w:lang w:val="en-US" w:eastAsia="zh-CN"/>
              </w:rPr>
              <w:t>初期雨水池中，经</w:t>
            </w:r>
            <w:r>
              <w:rPr>
                <w:rFonts w:hint="eastAsia" w:ascii="Times New Roman" w:hAnsi="Times New Roman" w:eastAsia="宋体" w:cs="Times New Roman"/>
                <w:color w:val="auto"/>
                <w:kern w:val="2"/>
                <w:sz w:val="24"/>
                <w:szCs w:val="20"/>
                <w:lang w:val="en-US" w:eastAsia="zh-CN"/>
              </w:rPr>
              <w:t>油水分离器</w:t>
            </w:r>
            <w:r>
              <w:rPr>
                <w:rFonts w:hint="default" w:ascii="Times New Roman" w:hAnsi="Times New Roman" w:eastAsia="宋体" w:cs="Times New Roman"/>
                <w:color w:val="auto"/>
                <w:kern w:val="2"/>
                <w:sz w:val="24"/>
                <w:szCs w:val="20"/>
                <w:lang w:val="en-US" w:eastAsia="zh-CN"/>
              </w:rPr>
              <w:t>处理后，与生活污水一起排入市政污水管网，满足《污水综合排放标准》（GB8978-1996）中三级标准，排入</w:t>
            </w:r>
            <w:r>
              <w:rPr>
                <w:rFonts w:hint="eastAsia" w:ascii="Times New Roman" w:hAnsi="Times New Roman" w:eastAsia="宋体" w:cs="Times New Roman"/>
                <w:color w:val="auto"/>
                <w:kern w:val="2"/>
                <w:sz w:val="24"/>
                <w:szCs w:val="20"/>
                <w:lang w:val="en-US" w:eastAsia="zh-CN"/>
              </w:rPr>
              <w:t>长春绿园西新工业集中区污水处理厂处理达标后排入新凯河</w:t>
            </w:r>
            <w:r>
              <w:rPr>
                <w:rFonts w:hint="default" w:ascii="Times New Roman" w:hAnsi="Times New Roman" w:eastAsia="宋体" w:cs="Times New Roman"/>
                <w:color w:val="auto"/>
                <w:kern w:val="2"/>
                <w:sz w:val="24"/>
                <w:szCs w:val="20"/>
                <w:lang w:val="en-US" w:eastAsia="zh-CN"/>
              </w:rPr>
              <w:t>。</w:t>
            </w:r>
          </w:p>
          <w:p w14:paraId="30A90238">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default" w:ascii="Times New Roman" w:hAnsi="Times New Roman" w:eastAsia="宋体" w:cs="Times New Roman"/>
                <w:color w:val="auto"/>
                <w:kern w:val="2"/>
                <w:sz w:val="24"/>
                <w:szCs w:val="20"/>
                <w:lang w:val="en-US" w:eastAsia="zh-CN"/>
              </w:rPr>
              <w:t>2、废气</w:t>
            </w:r>
          </w:p>
          <w:p w14:paraId="1C732BD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宋体" w:hAnsi="宋体" w:eastAsia="宋体" w:cs="宋体"/>
                <w:color w:val="auto"/>
                <w:kern w:val="2"/>
                <w:sz w:val="24"/>
                <w:szCs w:val="24"/>
                <w:lang w:val="en-US" w:eastAsia="zh-CN"/>
              </w:rPr>
              <w:t>本项目产生的废气主要为拆解预处理、废油液抽取工序产生的有机废气、精拆、等离子切割、打包、压块等工</w:t>
            </w:r>
            <w:r>
              <w:rPr>
                <w:rFonts w:hint="eastAsia" w:ascii="Times New Roman" w:hAnsi="Times New Roman" w:eastAsia="宋体" w:cs="Times New Roman"/>
                <w:color w:val="auto"/>
                <w:kern w:val="2"/>
                <w:sz w:val="24"/>
                <w:szCs w:val="24"/>
                <w:lang w:val="en-US" w:eastAsia="zh-CN"/>
              </w:rPr>
              <w:t>序产生的颗粒物以及危废暂存间产生的废气。</w:t>
            </w:r>
            <w:r>
              <w:rPr>
                <w:rFonts w:hint="eastAsia" w:ascii="Times New Roman" w:hAnsi="Times New Roman" w:eastAsia="宋体" w:cs="Times New Roman"/>
                <w:color w:val="000000"/>
                <w:kern w:val="0"/>
                <w:sz w:val="24"/>
                <w:szCs w:val="24"/>
                <w:u w:val="none"/>
                <w:lang w:val="en-US" w:eastAsia="zh-CN"/>
              </w:rPr>
              <w:t>精拆、剪切、切割、打包压块过程产生的颗粒物经集气罩进行收集（收集效率80%）；拆解预处理、废油液抽取工序产生的有机废气非甲烷总烃经集气罩收集；危废暂存间产生的有机废气通过负压收集（收集效率90%）；危废暂存间内破损铅蓄电池产生的硫酸雾、铅及其化合物经负压收集（收集效率90%）+防酸滤铅网处理（处理效率80%），一并经车间外一套袋式除尘设备（处理效率95%）+二级活性炭吸附装置（处理效率80%）处理后，通过15m高排气筒DA001排放</w:t>
            </w:r>
            <w:r>
              <w:rPr>
                <w:rFonts w:hint="eastAsia" w:ascii="Times New Roman" w:hAnsi="Times New Roman" w:eastAsia="宋体" w:cs="Times New Roman"/>
                <w:color w:val="auto"/>
                <w:kern w:val="2"/>
                <w:sz w:val="24"/>
                <w:szCs w:val="24"/>
                <w:lang w:val="en-US" w:eastAsia="zh-CN"/>
              </w:rPr>
              <w:t>。</w:t>
            </w:r>
          </w:p>
          <w:p w14:paraId="6A6E0F07">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3、噪声</w:t>
            </w:r>
          </w:p>
          <w:p w14:paraId="477FEB75">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本项目噪声主要来源于设备机械噪声，在采用低噪声设备，经过基础减振，隔声等措施及距离衰减后满足《工业企业厂界环境噪声排放标准》GB12348-2008中2类标准。</w:t>
            </w:r>
          </w:p>
          <w:p w14:paraId="00707E0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4、固体废物</w:t>
            </w:r>
          </w:p>
          <w:p w14:paraId="6E004EA9">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本项目固体废物包括一般固体废物、危险废物和生活垃圾。</w:t>
            </w:r>
          </w:p>
          <w:p w14:paraId="024FD49A">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一般固体废物：</w:t>
            </w:r>
            <w:r>
              <w:rPr>
                <w:rFonts w:hint="eastAsia" w:ascii="Times New Roman" w:hAnsi="Times New Roman" w:eastAsia="宋体" w:cs="Times New Roman"/>
                <w:b w:val="0"/>
                <w:bCs w:val="0"/>
                <w:i w:val="0"/>
                <w:iCs w:val="0"/>
                <w:color w:val="auto"/>
                <w:kern w:val="2"/>
                <w:sz w:val="24"/>
                <w:szCs w:val="24"/>
                <w:u w:val="none" w:color="auto"/>
                <w:lang w:val="en-US" w:eastAsia="zh-CN" w:bidi="ar-SA"/>
              </w:rPr>
              <w:t>废制冷剂、废安全气囊（引爆后）、废旧动力蓄电池、废弃车用电子零部件、海绵及座椅材料、内饰材料、安全带及相关纺织品、轻质物料、不可利用</w:t>
            </w:r>
            <w:r>
              <w:rPr>
                <w:rFonts w:hint="eastAsia" w:ascii="Times New Roman" w:hAnsi="Times New Roman" w:eastAsia="宋体" w:cs="Times New Roman"/>
                <w:b w:val="0"/>
                <w:bCs w:val="0"/>
                <w:i w:val="0"/>
                <w:iCs w:val="0"/>
                <w:color w:val="000000"/>
                <w:kern w:val="2"/>
                <w:sz w:val="24"/>
                <w:szCs w:val="24"/>
                <w:u w:val="none" w:color="auto"/>
                <w:lang w:val="en-US" w:eastAsia="zh-CN" w:bidi="ar-SA"/>
              </w:rPr>
              <w:t>废物（包含拆解过程中产生的无法分离回收利用的碎橡胶、碎塑料、碎玻璃以及其它不可利用垃圾等）、布袋除尘器收集粉尘及废布袋</w:t>
            </w:r>
            <w:r>
              <w:rPr>
                <w:rFonts w:hint="eastAsia" w:ascii="Times New Roman" w:hAnsi="Times New Roman" w:eastAsia="宋体" w:cs="Times New Roman"/>
                <w:color w:val="auto"/>
                <w:kern w:val="2"/>
                <w:sz w:val="24"/>
                <w:szCs w:val="20"/>
                <w:lang w:val="en-US" w:eastAsia="zh-CN"/>
              </w:rPr>
              <w:t>；</w:t>
            </w:r>
          </w:p>
          <w:p w14:paraId="2C04E6E2">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危险废物：主要包括废有机溶剂与含有机溶剂废物、废矿物油与含矿物油废物、废尾气催化剂、废电路板、含汞废物、废铅酸蓄电池、浮油、浮渣和油泥、废活性炭、废防酸滤铅网、发生铅蓄电池破损时产生的铅尘、沾染油污的手套、抹布。</w:t>
            </w:r>
          </w:p>
          <w:p w14:paraId="008C77CB">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产生的废制冷剂采用密闭专用容器收集，暂存于一般工业固体废物贮存区，定期交由具有相应资质的单位利用和处置；废旧动力蓄电池暂存于动力蓄电池贮存区内，定期交售给新能源汽车生产企业建立的动力蓄电池回收服务网点，或符合国家对动力蓄电池梯次利用管理有关要求的梯次利用企业，或者从事废旧动力蓄电池综合利用的企业处置；废弃车用电子零部件分类收集暂存于一般工业固体废物贮存区，定期交由具有相应废弃电器产品处理资格企业、电子废物拆解利用处置单位名录内企业处置；废安全气囊（引爆后）、海绵及座椅材料、内饰材料、安全带及相关纺织品及轻质物料分类收集暂存于一般工业固体废物贮存区，定期交由相应处理能力或经营范围的单位利用和处置；不可利用废物、布袋除尘器收集粉尘袋装，暂存于一般工业固体废物贮存区，定期交由环卫部门统一处理；废布袋定期更换，由厂家回收处理。职工生活垃圾暂存于垃圾箱内，定期交由环卫部门统一处理。废有机溶剂与含有机溶剂废物（风窗玻璃清洗液、防冻液和动力电池冷却液等）、废矿物油与含矿物油废物（汽油、柴油、发动机机油、液压油、润滑油、机油过滤器等）、废尾气催化剂、废电路板、含汞废物、废铅酸蓄电池、浮油、浮渣和油泥、废活性炭、废防酸滤铅网、发生铅蓄电池破损时产生的铅尘及沾染油污的手套和抹布分类收集，暂存于危险废物贮存库，定期交由持有相应类别危险废物经营许可证的单位处理。不会造成二次污染。危险废物处置协议详见附件。</w:t>
            </w:r>
          </w:p>
          <w:p w14:paraId="4467015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bCs/>
                <w:color w:val="auto"/>
                <w:sz w:val="21"/>
                <w:szCs w:val="21"/>
                <w:u w:val="none"/>
                <w:lang w:eastAsia="zh-CN"/>
              </w:rPr>
            </w:pPr>
            <w:r>
              <w:rPr>
                <w:rFonts w:hint="default" w:ascii="Times New Roman" w:hAnsi="Times New Roman" w:eastAsia="宋体" w:cs="Times New Roman"/>
                <w:b/>
                <w:bCs/>
                <w:color w:val="auto"/>
                <w:sz w:val="21"/>
                <w:szCs w:val="21"/>
                <w:u w:val="none"/>
              </w:rPr>
              <w:t>表</w:t>
            </w:r>
            <w:r>
              <w:rPr>
                <w:rFonts w:hint="default" w:ascii="Times New Roman" w:hAnsi="Times New Roman" w:eastAsia="宋体" w:cs="Times New Roman"/>
                <w:b/>
                <w:bCs/>
                <w:color w:val="auto"/>
                <w:sz w:val="21"/>
                <w:szCs w:val="21"/>
                <w:u w:val="none"/>
                <w:lang w:val="en-US" w:eastAsia="zh-CN"/>
              </w:rPr>
              <w:t>3-1</w:t>
            </w:r>
            <w:r>
              <w:rPr>
                <w:rFonts w:hint="default" w:ascii="Times New Roman" w:hAnsi="Times New Roman" w:eastAsia="宋体" w:cs="Times New Roman"/>
                <w:b/>
                <w:bCs/>
                <w:color w:val="auto"/>
                <w:sz w:val="21"/>
                <w:szCs w:val="21"/>
                <w:u w:val="none"/>
              </w:rPr>
              <w:t xml:space="preserve"> </w:t>
            </w:r>
            <w:r>
              <w:rPr>
                <w:rFonts w:hint="default" w:ascii="Times New Roman" w:hAnsi="Times New Roman" w:eastAsia="宋体" w:cs="Times New Roman"/>
                <w:b/>
                <w:bCs/>
                <w:color w:val="auto"/>
                <w:sz w:val="21"/>
                <w:szCs w:val="21"/>
                <w:u w:val="none"/>
                <w:lang w:val="en-US" w:eastAsia="zh-CN"/>
              </w:rPr>
              <w:t xml:space="preserve">  </w:t>
            </w:r>
            <w:r>
              <w:rPr>
                <w:rFonts w:hint="default" w:ascii="Times New Roman" w:hAnsi="Times New Roman" w:eastAsia="宋体" w:cs="Times New Roman"/>
                <w:b/>
                <w:bCs/>
                <w:color w:val="auto"/>
                <w:sz w:val="21"/>
                <w:szCs w:val="21"/>
                <w:u w:val="none"/>
              </w:rPr>
              <w:t>本项目固体废物产生量一览表</w:t>
            </w:r>
            <w:r>
              <w:rPr>
                <w:rFonts w:hint="eastAsia" w:ascii="Times New Roman" w:hAnsi="Times New Roman" w:eastAsia="宋体" w:cs="Times New Roman"/>
                <w:b/>
                <w:bCs/>
                <w:color w:val="auto"/>
                <w:sz w:val="21"/>
                <w:szCs w:val="21"/>
                <w:u w:val="none"/>
                <w:lang w:eastAsia="zh-CN"/>
              </w:rPr>
              <w:t>（</w:t>
            </w:r>
            <w:r>
              <w:rPr>
                <w:rFonts w:hint="eastAsia" w:ascii="Times New Roman" w:hAnsi="Times New Roman" w:eastAsia="宋体" w:cs="Times New Roman"/>
                <w:b/>
                <w:bCs/>
                <w:color w:val="auto"/>
                <w:sz w:val="21"/>
                <w:szCs w:val="21"/>
                <w:u w:val="none"/>
                <w:lang w:val="en-US" w:eastAsia="zh-CN"/>
              </w:rPr>
              <w:t>1</w:t>
            </w:r>
            <w:r>
              <w:rPr>
                <w:rFonts w:hint="eastAsia" w:ascii="Times New Roman" w:hAnsi="Times New Roman" w:eastAsia="宋体" w:cs="Times New Roman"/>
                <w:b/>
                <w:bCs/>
                <w:color w:val="auto"/>
                <w:sz w:val="21"/>
                <w:szCs w:val="21"/>
                <w:u w:val="none"/>
                <w:lang w:eastAsia="zh-CN"/>
              </w:rPr>
              <w:t>）</w:t>
            </w:r>
          </w:p>
          <w:tbl>
            <w:tblPr>
              <w:tblStyle w:val="11"/>
              <w:tblW w:w="4998"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209"/>
              <w:gridCol w:w="1475"/>
              <w:gridCol w:w="1123"/>
              <w:gridCol w:w="1162"/>
              <w:gridCol w:w="951"/>
              <w:gridCol w:w="2785"/>
            </w:tblGrid>
            <w:tr w14:paraId="1A96FD8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tcBorders>
                    <w:tl2br w:val="nil"/>
                    <w:tr2bl w:val="nil"/>
                  </w:tcBorders>
                  <w:noWrap w:val="0"/>
                  <w:vAlign w:val="center"/>
                </w:tcPr>
                <w:p w14:paraId="1FBF410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default" w:ascii="Times New Roman" w:hAnsi="Times New Roman" w:eastAsia="宋体" w:cs="Times New Roman"/>
                      <w:b w:val="0"/>
                      <w:bCs/>
                      <w:color w:val="000000"/>
                      <w:sz w:val="15"/>
                      <w:szCs w:val="15"/>
                      <w:highlight w:val="none"/>
                      <w:u w:val="none"/>
                      <w:lang w:val="en-US" w:eastAsia="zh-CN"/>
                    </w:rPr>
                    <w:t>产生环节</w:t>
                  </w:r>
                </w:p>
              </w:tc>
              <w:tc>
                <w:tcPr>
                  <w:tcW w:w="847" w:type="pct"/>
                  <w:tcBorders>
                    <w:tl2br w:val="nil"/>
                    <w:tr2bl w:val="nil"/>
                  </w:tcBorders>
                  <w:noWrap w:val="0"/>
                  <w:vAlign w:val="center"/>
                </w:tcPr>
                <w:p w14:paraId="0C76DEB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default" w:ascii="Times New Roman" w:hAnsi="Times New Roman" w:eastAsia="宋体" w:cs="Times New Roman"/>
                      <w:b w:val="0"/>
                      <w:bCs/>
                      <w:color w:val="000000"/>
                      <w:sz w:val="15"/>
                      <w:szCs w:val="15"/>
                      <w:highlight w:val="none"/>
                      <w:u w:val="none"/>
                      <w:lang w:val="en-US" w:eastAsia="zh-CN"/>
                    </w:rPr>
                    <w:t>固体废物名称</w:t>
                  </w:r>
                </w:p>
              </w:tc>
              <w:tc>
                <w:tcPr>
                  <w:tcW w:w="645" w:type="pct"/>
                  <w:tcBorders>
                    <w:tl2br w:val="nil"/>
                    <w:tr2bl w:val="nil"/>
                  </w:tcBorders>
                  <w:noWrap w:val="0"/>
                  <w:vAlign w:val="center"/>
                </w:tcPr>
                <w:p w14:paraId="28E2C0F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default" w:ascii="Times New Roman" w:hAnsi="Times New Roman" w:eastAsia="宋体" w:cs="Times New Roman"/>
                      <w:b w:val="0"/>
                      <w:bCs/>
                      <w:color w:val="000000"/>
                      <w:sz w:val="15"/>
                      <w:szCs w:val="15"/>
                      <w:highlight w:val="none"/>
                      <w:u w:val="none"/>
                      <w:lang w:val="en-US" w:eastAsia="zh-CN"/>
                    </w:rPr>
                    <w:t>固废属性</w:t>
                  </w:r>
                </w:p>
              </w:tc>
              <w:tc>
                <w:tcPr>
                  <w:tcW w:w="667" w:type="pct"/>
                  <w:tcBorders>
                    <w:tl2br w:val="nil"/>
                    <w:tr2bl w:val="nil"/>
                  </w:tcBorders>
                  <w:noWrap w:val="0"/>
                  <w:vAlign w:val="center"/>
                </w:tcPr>
                <w:p w14:paraId="2386D32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default" w:ascii="Times New Roman" w:hAnsi="Times New Roman" w:eastAsia="宋体" w:cs="Times New Roman"/>
                      <w:b w:val="0"/>
                      <w:bCs/>
                      <w:color w:val="000000"/>
                      <w:sz w:val="15"/>
                      <w:szCs w:val="15"/>
                      <w:highlight w:val="none"/>
                      <w:u w:val="none"/>
                      <w:lang w:val="en-US" w:eastAsia="zh-CN"/>
                    </w:rPr>
                    <w:t>代码</w:t>
                  </w:r>
                </w:p>
              </w:tc>
              <w:tc>
                <w:tcPr>
                  <w:tcW w:w="546" w:type="pct"/>
                  <w:tcBorders>
                    <w:tl2br w:val="nil"/>
                    <w:tr2bl w:val="nil"/>
                  </w:tcBorders>
                  <w:noWrap w:val="0"/>
                  <w:vAlign w:val="center"/>
                </w:tcPr>
                <w:p w14:paraId="7FF12EE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default" w:ascii="Times New Roman" w:hAnsi="Times New Roman" w:eastAsia="宋体" w:cs="Times New Roman"/>
                      <w:b w:val="0"/>
                      <w:bCs/>
                      <w:color w:val="000000"/>
                      <w:sz w:val="15"/>
                      <w:szCs w:val="15"/>
                      <w:highlight w:val="none"/>
                      <w:u w:val="none"/>
                      <w:lang w:val="en-US" w:eastAsia="zh-CN"/>
                    </w:rPr>
                    <w:t>年产生量（t/a）</w:t>
                  </w:r>
                </w:p>
              </w:tc>
              <w:tc>
                <w:tcPr>
                  <w:tcW w:w="1599" w:type="pct"/>
                  <w:tcBorders>
                    <w:tl2br w:val="nil"/>
                    <w:tr2bl w:val="nil"/>
                  </w:tcBorders>
                  <w:noWrap w:val="0"/>
                  <w:vAlign w:val="center"/>
                </w:tcPr>
                <w:p w14:paraId="32E0B84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处置措施</w:t>
                  </w:r>
                </w:p>
              </w:tc>
            </w:tr>
            <w:tr w14:paraId="033D58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tcBorders>
                    <w:tl2br w:val="nil"/>
                    <w:tr2bl w:val="nil"/>
                  </w:tcBorders>
                  <w:noWrap w:val="0"/>
                  <w:vAlign w:val="center"/>
                </w:tcPr>
                <w:p w14:paraId="2CA0B29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职工生活</w:t>
                  </w:r>
                </w:p>
              </w:tc>
              <w:tc>
                <w:tcPr>
                  <w:tcW w:w="847" w:type="pct"/>
                  <w:tcBorders>
                    <w:tl2br w:val="nil"/>
                    <w:tr2bl w:val="nil"/>
                  </w:tcBorders>
                  <w:noWrap w:val="0"/>
                  <w:vAlign w:val="center"/>
                </w:tcPr>
                <w:p w14:paraId="0BF1C65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生活垃圾</w:t>
                  </w:r>
                </w:p>
              </w:tc>
              <w:tc>
                <w:tcPr>
                  <w:tcW w:w="645" w:type="pct"/>
                  <w:tcBorders>
                    <w:tl2br w:val="nil"/>
                    <w:tr2bl w:val="nil"/>
                  </w:tcBorders>
                  <w:noWrap w:val="0"/>
                  <w:vAlign w:val="center"/>
                </w:tcPr>
                <w:p w14:paraId="0415153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w:t>
                  </w:r>
                </w:p>
              </w:tc>
              <w:tc>
                <w:tcPr>
                  <w:tcW w:w="667" w:type="pct"/>
                  <w:tcBorders>
                    <w:tl2br w:val="nil"/>
                    <w:tr2bl w:val="nil"/>
                  </w:tcBorders>
                  <w:noWrap w:val="0"/>
                  <w:vAlign w:val="center"/>
                </w:tcPr>
                <w:p w14:paraId="48B4222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900-099-S64</w:t>
                  </w:r>
                </w:p>
              </w:tc>
              <w:tc>
                <w:tcPr>
                  <w:tcW w:w="546" w:type="pct"/>
                  <w:tcBorders>
                    <w:tl2br w:val="nil"/>
                    <w:tr2bl w:val="nil"/>
                  </w:tcBorders>
                  <w:noWrap w:val="0"/>
                  <w:vAlign w:val="center"/>
                </w:tcPr>
                <w:p w14:paraId="391F7AE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3.15</w:t>
                  </w:r>
                </w:p>
              </w:tc>
              <w:tc>
                <w:tcPr>
                  <w:tcW w:w="1599" w:type="pct"/>
                  <w:tcBorders>
                    <w:tl2br w:val="nil"/>
                    <w:tr2bl w:val="nil"/>
                  </w:tcBorders>
                  <w:noWrap w:val="0"/>
                  <w:vAlign w:val="center"/>
                </w:tcPr>
                <w:p w14:paraId="3A6D1C2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暂存于垃圾箱内，定期交由环卫部门统一处理</w:t>
                  </w:r>
                </w:p>
              </w:tc>
            </w:tr>
            <w:tr w14:paraId="3FF6A60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restart"/>
                  <w:tcBorders>
                    <w:tl2br w:val="nil"/>
                    <w:tr2bl w:val="nil"/>
                  </w:tcBorders>
                  <w:noWrap w:val="0"/>
                  <w:vAlign w:val="center"/>
                </w:tcPr>
                <w:p w14:paraId="6104AB5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拆解预处理工序</w:t>
                  </w:r>
                </w:p>
              </w:tc>
              <w:tc>
                <w:tcPr>
                  <w:tcW w:w="847" w:type="pct"/>
                  <w:tcBorders>
                    <w:tl2br w:val="nil"/>
                    <w:tr2bl w:val="nil"/>
                  </w:tcBorders>
                  <w:noWrap w:val="0"/>
                  <w:vAlign w:val="center"/>
                </w:tcPr>
                <w:p w14:paraId="277DFAE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废制冷剂</w:t>
                  </w:r>
                </w:p>
              </w:tc>
              <w:tc>
                <w:tcPr>
                  <w:tcW w:w="645" w:type="pct"/>
                  <w:vMerge w:val="restart"/>
                  <w:tcBorders>
                    <w:tl2br w:val="nil"/>
                    <w:tr2bl w:val="nil"/>
                  </w:tcBorders>
                  <w:noWrap w:val="0"/>
                  <w:vAlign w:val="center"/>
                </w:tcPr>
                <w:p w14:paraId="4588039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一般固废</w:t>
                  </w:r>
                </w:p>
              </w:tc>
              <w:tc>
                <w:tcPr>
                  <w:tcW w:w="667" w:type="pct"/>
                  <w:tcBorders>
                    <w:tl2br w:val="nil"/>
                    <w:tr2bl w:val="nil"/>
                  </w:tcBorders>
                  <w:noWrap w:val="0"/>
                  <w:vAlign w:val="center"/>
                </w:tcPr>
                <w:p w14:paraId="531BEA9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900-099-S59</w:t>
                  </w:r>
                </w:p>
              </w:tc>
              <w:tc>
                <w:tcPr>
                  <w:tcW w:w="546" w:type="pct"/>
                  <w:tcBorders>
                    <w:tl2br w:val="nil"/>
                    <w:tr2bl w:val="nil"/>
                  </w:tcBorders>
                  <w:noWrap w:val="0"/>
                  <w:vAlign w:val="center"/>
                </w:tcPr>
                <w:p w14:paraId="7AC276E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19.6</w:t>
                  </w:r>
                </w:p>
              </w:tc>
              <w:tc>
                <w:tcPr>
                  <w:tcW w:w="1599" w:type="pct"/>
                  <w:tcBorders>
                    <w:tl2br w:val="nil"/>
                    <w:tr2bl w:val="nil"/>
                  </w:tcBorders>
                  <w:noWrap w:val="0"/>
                  <w:vAlign w:val="center"/>
                </w:tcPr>
                <w:p w14:paraId="16D4A1C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采用密闭专用容器收集，暂存于一般工业固体废物贮存区，定期交由具有相应资质的单位利用和处置</w:t>
                  </w:r>
                </w:p>
              </w:tc>
            </w:tr>
            <w:tr w14:paraId="6557CF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28AB9A4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3D01ACB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废旧动力蓄电池</w:t>
                  </w:r>
                </w:p>
              </w:tc>
              <w:tc>
                <w:tcPr>
                  <w:tcW w:w="645" w:type="pct"/>
                  <w:vMerge w:val="continue"/>
                  <w:tcBorders>
                    <w:tl2br w:val="nil"/>
                    <w:tr2bl w:val="nil"/>
                  </w:tcBorders>
                  <w:noWrap w:val="0"/>
                  <w:vAlign w:val="center"/>
                </w:tcPr>
                <w:p w14:paraId="79BF1EF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40D97A4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900-012-S17</w:t>
                  </w:r>
                </w:p>
              </w:tc>
              <w:tc>
                <w:tcPr>
                  <w:tcW w:w="546" w:type="pct"/>
                  <w:tcBorders>
                    <w:tl2br w:val="nil"/>
                    <w:tr2bl w:val="nil"/>
                  </w:tcBorders>
                  <w:noWrap w:val="0"/>
                  <w:vAlign w:val="center"/>
                </w:tcPr>
                <w:p w14:paraId="1027D0B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462</w:t>
                  </w:r>
                </w:p>
              </w:tc>
              <w:tc>
                <w:tcPr>
                  <w:tcW w:w="1599" w:type="pct"/>
                  <w:tcBorders>
                    <w:tl2br w:val="nil"/>
                    <w:tr2bl w:val="nil"/>
                  </w:tcBorders>
                  <w:noWrap w:val="0"/>
                  <w:vAlign w:val="center"/>
                </w:tcPr>
                <w:p w14:paraId="70473C6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暂存于动力蓄电池贮存区，定期交售给新能源汽车生产企业建立的动力蓄电池回收服务网点，或符合国家对动力蓄电池梯次利用管理有关要求的梯次利用企业，或者从事废旧动力蓄电池综合利用的企业处置</w:t>
                  </w:r>
                </w:p>
              </w:tc>
            </w:tr>
            <w:tr w14:paraId="1382307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24C1BAA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3E1C081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废弃车用电子零部件</w:t>
                  </w:r>
                </w:p>
              </w:tc>
              <w:tc>
                <w:tcPr>
                  <w:tcW w:w="645" w:type="pct"/>
                  <w:vMerge w:val="continue"/>
                  <w:tcBorders>
                    <w:tl2br w:val="nil"/>
                    <w:tr2bl w:val="nil"/>
                  </w:tcBorders>
                  <w:noWrap w:val="0"/>
                  <w:vAlign w:val="center"/>
                </w:tcPr>
                <w:p w14:paraId="18B0BF3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1257DC7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900-002-S17</w:t>
                  </w:r>
                </w:p>
              </w:tc>
              <w:tc>
                <w:tcPr>
                  <w:tcW w:w="546" w:type="pct"/>
                  <w:tcBorders>
                    <w:tl2br w:val="nil"/>
                    <w:tr2bl w:val="nil"/>
                  </w:tcBorders>
                  <w:noWrap w:val="0"/>
                  <w:vAlign w:val="center"/>
                </w:tcPr>
                <w:p w14:paraId="58AB7DF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37.3</w:t>
                  </w:r>
                </w:p>
              </w:tc>
              <w:tc>
                <w:tcPr>
                  <w:tcW w:w="1599" w:type="pct"/>
                  <w:tcBorders>
                    <w:tl2br w:val="nil"/>
                    <w:tr2bl w:val="nil"/>
                  </w:tcBorders>
                  <w:noWrap w:val="0"/>
                  <w:vAlign w:val="center"/>
                </w:tcPr>
                <w:p w14:paraId="5BA223C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交由具有相应废弃电器产品处理资格企业、电子废物拆解利用处置单位名录内企业</w:t>
                  </w:r>
                </w:p>
              </w:tc>
            </w:tr>
            <w:tr w14:paraId="2A4FD6F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27402BA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36F5C6A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废安全气囊（引爆后）</w:t>
                  </w:r>
                </w:p>
              </w:tc>
              <w:tc>
                <w:tcPr>
                  <w:tcW w:w="645" w:type="pct"/>
                  <w:vMerge w:val="continue"/>
                  <w:tcBorders>
                    <w:tl2br w:val="nil"/>
                    <w:tr2bl w:val="nil"/>
                  </w:tcBorders>
                  <w:noWrap w:val="0"/>
                  <w:vAlign w:val="center"/>
                </w:tcPr>
                <w:p w14:paraId="4FE9D9F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0648859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900-099-S17</w:t>
                  </w:r>
                </w:p>
              </w:tc>
              <w:tc>
                <w:tcPr>
                  <w:tcW w:w="546" w:type="pct"/>
                  <w:tcBorders>
                    <w:tl2br w:val="nil"/>
                    <w:tr2bl w:val="nil"/>
                  </w:tcBorders>
                  <w:noWrap w:val="0"/>
                  <w:vAlign w:val="center"/>
                </w:tcPr>
                <w:p w14:paraId="6444545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30.6</w:t>
                  </w:r>
                </w:p>
              </w:tc>
              <w:tc>
                <w:tcPr>
                  <w:tcW w:w="1599" w:type="pct"/>
                  <w:vMerge w:val="restart"/>
                  <w:tcBorders>
                    <w:tl2br w:val="nil"/>
                    <w:tr2bl w:val="nil"/>
                  </w:tcBorders>
                  <w:noWrap w:val="0"/>
                  <w:vAlign w:val="center"/>
                </w:tcPr>
                <w:p w14:paraId="77F57FB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交由相应处理能力或经营范围的单位利用和处置</w:t>
                  </w:r>
                </w:p>
              </w:tc>
            </w:tr>
            <w:tr w14:paraId="269AD54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25F28B7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4BE3B60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海绵及座椅材料</w:t>
                  </w:r>
                </w:p>
              </w:tc>
              <w:tc>
                <w:tcPr>
                  <w:tcW w:w="645" w:type="pct"/>
                  <w:vMerge w:val="continue"/>
                  <w:tcBorders>
                    <w:tl2br w:val="nil"/>
                    <w:tr2bl w:val="nil"/>
                  </w:tcBorders>
                  <w:noWrap w:val="0"/>
                  <w:vAlign w:val="center"/>
                </w:tcPr>
                <w:p w14:paraId="6931544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7788BF2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900-099-S17</w:t>
                  </w:r>
                </w:p>
              </w:tc>
              <w:tc>
                <w:tcPr>
                  <w:tcW w:w="546" w:type="pct"/>
                  <w:tcBorders>
                    <w:tl2br w:val="nil"/>
                    <w:tr2bl w:val="nil"/>
                  </w:tcBorders>
                  <w:noWrap w:val="0"/>
                  <w:vAlign w:val="center"/>
                </w:tcPr>
                <w:p w14:paraId="684A18B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74.5</w:t>
                  </w:r>
                </w:p>
              </w:tc>
              <w:tc>
                <w:tcPr>
                  <w:tcW w:w="1599" w:type="pct"/>
                  <w:vMerge w:val="continue"/>
                  <w:tcBorders>
                    <w:tl2br w:val="nil"/>
                    <w:tr2bl w:val="nil"/>
                  </w:tcBorders>
                  <w:noWrap w:val="0"/>
                  <w:vAlign w:val="center"/>
                </w:tcPr>
                <w:p w14:paraId="37DB1C0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r>
            <w:tr w14:paraId="32211B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302557F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227FB95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内饰材料</w:t>
                  </w:r>
                </w:p>
              </w:tc>
              <w:tc>
                <w:tcPr>
                  <w:tcW w:w="645" w:type="pct"/>
                  <w:vMerge w:val="continue"/>
                  <w:tcBorders>
                    <w:tl2br w:val="nil"/>
                    <w:tr2bl w:val="nil"/>
                  </w:tcBorders>
                  <w:noWrap w:val="0"/>
                  <w:vAlign w:val="center"/>
                </w:tcPr>
                <w:p w14:paraId="28AEF99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6B86D74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900-011-S17</w:t>
                  </w:r>
                </w:p>
              </w:tc>
              <w:tc>
                <w:tcPr>
                  <w:tcW w:w="546" w:type="pct"/>
                  <w:tcBorders>
                    <w:tl2br w:val="nil"/>
                    <w:tr2bl w:val="nil"/>
                  </w:tcBorders>
                  <w:noWrap w:val="0"/>
                  <w:vAlign w:val="center"/>
                </w:tcPr>
                <w:p w14:paraId="671F046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74.5</w:t>
                  </w:r>
                </w:p>
              </w:tc>
              <w:tc>
                <w:tcPr>
                  <w:tcW w:w="1599" w:type="pct"/>
                  <w:vMerge w:val="continue"/>
                  <w:tcBorders>
                    <w:tl2br w:val="nil"/>
                    <w:tr2bl w:val="nil"/>
                  </w:tcBorders>
                  <w:noWrap w:val="0"/>
                  <w:vAlign w:val="center"/>
                </w:tcPr>
                <w:p w14:paraId="6A253A7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r>
            <w:tr w14:paraId="4B5993C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78A1AFA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6A2CC6D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安全带及相关纺织品</w:t>
                  </w:r>
                </w:p>
              </w:tc>
              <w:tc>
                <w:tcPr>
                  <w:tcW w:w="645" w:type="pct"/>
                  <w:vMerge w:val="continue"/>
                  <w:tcBorders>
                    <w:tl2br w:val="nil"/>
                    <w:tr2bl w:val="nil"/>
                  </w:tcBorders>
                  <w:noWrap w:val="0"/>
                  <w:vAlign w:val="center"/>
                </w:tcPr>
                <w:p w14:paraId="5763248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61846BE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900-007-S17</w:t>
                  </w:r>
                </w:p>
              </w:tc>
              <w:tc>
                <w:tcPr>
                  <w:tcW w:w="546" w:type="pct"/>
                  <w:tcBorders>
                    <w:tl2br w:val="nil"/>
                    <w:tr2bl w:val="nil"/>
                  </w:tcBorders>
                  <w:noWrap w:val="0"/>
                  <w:vAlign w:val="center"/>
                </w:tcPr>
                <w:p w14:paraId="64D5F8C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37.3</w:t>
                  </w:r>
                </w:p>
              </w:tc>
              <w:tc>
                <w:tcPr>
                  <w:tcW w:w="1599" w:type="pct"/>
                  <w:vMerge w:val="continue"/>
                  <w:tcBorders>
                    <w:tl2br w:val="nil"/>
                    <w:tr2bl w:val="nil"/>
                  </w:tcBorders>
                  <w:noWrap w:val="0"/>
                  <w:vAlign w:val="center"/>
                </w:tcPr>
                <w:p w14:paraId="71885A3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r>
            <w:tr w14:paraId="49BB5B1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5F3D216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2E2735F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轻质物料</w:t>
                  </w:r>
                </w:p>
              </w:tc>
              <w:tc>
                <w:tcPr>
                  <w:tcW w:w="645" w:type="pct"/>
                  <w:vMerge w:val="continue"/>
                  <w:tcBorders>
                    <w:tl2br w:val="nil"/>
                    <w:tr2bl w:val="nil"/>
                  </w:tcBorders>
                  <w:noWrap w:val="0"/>
                  <w:vAlign w:val="center"/>
                </w:tcPr>
                <w:p w14:paraId="785CD96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25A831F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900-099-S17</w:t>
                  </w:r>
                </w:p>
              </w:tc>
              <w:tc>
                <w:tcPr>
                  <w:tcW w:w="546" w:type="pct"/>
                  <w:tcBorders>
                    <w:tl2br w:val="nil"/>
                    <w:tr2bl w:val="nil"/>
                  </w:tcBorders>
                  <w:noWrap w:val="0"/>
                  <w:vAlign w:val="center"/>
                </w:tcPr>
                <w:p w14:paraId="38373D5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19.9</w:t>
                  </w:r>
                </w:p>
              </w:tc>
              <w:tc>
                <w:tcPr>
                  <w:tcW w:w="1599" w:type="pct"/>
                  <w:vMerge w:val="continue"/>
                  <w:tcBorders>
                    <w:tl2br w:val="nil"/>
                    <w:tr2bl w:val="nil"/>
                  </w:tcBorders>
                  <w:noWrap w:val="0"/>
                  <w:vAlign w:val="center"/>
                </w:tcPr>
                <w:p w14:paraId="6A8E4B6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r>
            <w:tr w14:paraId="402B023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5679ACD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64C5318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不可利用废物</w:t>
                  </w:r>
                </w:p>
              </w:tc>
              <w:tc>
                <w:tcPr>
                  <w:tcW w:w="645" w:type="pct"/>
                  <w:vMerge w:val="continue"/>
                  <w:tcBorders>
                    <w:tl2br w:val="nil"/>
                    <w:tr2bl w:val="nil"/>
                  </w:tcBorders>
                  <w:noWrap w:val="0"/>
                  <w:vAlign w:val="center"/>
                </w:tcPr>
                <w:p w14:paraId="3E20AF4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3DE9BC6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900-099-S59</w:t>
                  </w:r>
                </w:p>
              </w:tc>
              <w:tc>
                <w:tcPr>
                  <w:tcW w:w="546" w:type="pct"/>
                  <w:tcBorders>
                    <w:tl2br w:val="nil"/>
                    <w:tr2bl w:val="nil"/>
                  </w:tcBorders>
                  <w:noWrap w:val="0"/>
                  <w:vAlign w:val="center"/>
                </w:tcPr>
                <w:p w14:paraId="6062447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44.1</w:t>
                  </w:r>
                </w:p>
              </w:tc>
              <w:tc>
                <w:tcPr>
                  <w:tcW w:w="1599" w:type="pct"/>
                  <w:vMerge w:val="restart"/>
                  <w:tcBorders>
                    <w:tl2br w:val="nil"/>
                    <w:tr2bl w:val="nil"/>
                  </w:tcBorders>
                  <w:noWrap w:val="0"/>
                  <w:vAlign w:val="center"/>
                </w:tcPr>
                <w:p w14:paraId="3CA6637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分类收集暂存于一般工业固体废物贮存区，定期交由环卫部门统一处理</w:t>
                  </w:r>
                </w:p>
              </w:tc>
            </w:tr>
            <w:tr w14:paraId="6ABCB37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restart"/>
                  <w:tcBorders>
                    <w:tl2br w:val="nil"/>
                    <w:tr2bl w:val="nil"/>
                  </w:tcBorders>
                  <w:noWrap w:val="0"/>
                  <w:vAlign w:val="center"/>
                </w:tcPr>
                <w:p w14:paraId="47466AC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布袋除尘器除尘装置</w:t>
                  </w:r>
                </w:p>
              </w:tc>
              <w:tc>
                <w:tcPr>
                  <w:tcW w:w="847" w:type="pct"/>
                  <w:tcBorders>
                    <w:tl2br w:val="nil"/>
                    <w:tr2bl w:val="nil"/>
                  </w:tcBorders>
                  <w:noWrap w:val="0"/>
                  <w:vAlign w:val="center"/>
                </w:tcPr>
                <w:p w14:paraId="5F14807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布袋除尘器收集粉尘</w:t>
                  </w:r>
                </w:p>
              </w:tc>
              <w:tc>
                <w:tcPr>
                  <w:tcW w:w="645" w:type="pct"/>
                  <w:vMerge w:val="continue"/>
                  <w:tcBorders>
                    <w:tl2br w:val="nil"/>
                    <w:tr2bl w:val="nil"/>
                  </w:tcBorders>
                  <w:noWrap w:val="0"/>
                  <w:vAlign w:val="center"/>
                </w:tcPr>
                <w:p w14:paraId="212F6B6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13AD844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900-099-S59</w:t>
                  </w:r>
                </w:p>
              </w:tc>
              <w:tc>
                <w:tcPr>
                  <w:tcW w:w="546" w:type="pct"/>
                  <w:tcBorders>
                    <w:tl2br w:val="nil"/>
                    <w:tr2bl w:val="nil"/>
                  </w:tcBorders>
                  <w:noWrap w:val="0"/>
                  <w:vAlign w:val="center"/>
                </w:tcPr>
                <w:p w14:paraId="2439C49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0.0144</w:t>
                  </w:r>
                </w:p>
              </w:tc>
              <w:tc>
                <w:tcPr>
                  <w:tcW w:w="1599" w:type="pct"/>
                  <w:vMerge w:val="continue"/>
                  <w:tcBorders>
                    <w:tl2br w:val="nil"/>
                    <w:tr2bl w:val="nil"/>
                  </w:tcBorders>
                  <w:noWrap w:val="0"/>
                  <w:vAlign w:val="center"/>
                </w:tcPr>
                <w:p w14:paraId="7116A34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r>
            <w:tr w14:paraId="4E83CB6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94" w:type="pct"/>
                  <w:vMerge w:val="continue"/>
                  <w:tcBorders>
                    <w:tl2br w:val="nil"/>
                    <w:tr2bl w:val="nil"/>
                  </w:tcBorders>
                  <w:noWrap w:val="0"/>
                  <w:vAlign w:val="center"/>
                </w:tcPr>
                <w:p w14:paraId="1514BDE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847" w:type="pct"/>
                  <w:tcBorders>
                    <w:tl2br w:val="nil"/>
                    <w:tr2bl w:val="nil"/>
                  </w:tcBorders>
                  <w:noWrap w:val="0"/>
                  <w:vAlign w:val="center"/>
                </w:tcPr>
                <w:p w14:paraId="321B8A8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废布袋</w:t>
                  </w:r>
                </w:p>
              </w:tc>
              <w:tc>
                <w:tcPr>
                  <w:tcW w:w="645" w:type="pct"/>
                  <w:vMerge w:val="continue"/>
                  <w:tcBorders>
                    <w:tl2br w:val="nil"/>
                    <w:tr2bl w:val="nil"/>
                  </w:tcBorders>
                  <w:noWrap w:val="0"/>
                  <w:vAlign w:val="center"/>
                </w:tcPr>
                <w:p w14:paraId="6350F94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p>
              </w:tc>
              <w:tc>
                <w:tcPr>
                  <w:tcW w:w="667" w:type="pct"/>
                  <w:tcBorders>
                    <w:tl2br w:val="nil"/>
                    <w:tr2bl w:val="nil"/>
                  </w:tcBorders>
                  <w:noWrap w:val="0"/>
                  <w:vAlign w:val="center"/>
                </w:tcPr>
                <w:p w14:paraId="661D6FE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900-099-S59</w:t>
                  </w:r>
                </w:p>
              </w:tc>
              <w:tc>
                <w:tcPr>
                  <w:tcW w:w="546" w:type="pct"/>
                  <w:tcBorders>
                    <w:tl2br w:val="nil"/>
                    <w:tr2bl w:val="nil"/>
                  </w:tcBorders>
                  <w:noWrap w:val="0"/>
                  <w:vAlign w:val="center"/>
                </w:tcPr>
                <w:p w14:paraId="3A420F1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0.5</w:t>
                  </w:r>
                </w:p>
              </w:tc>
              <w:tc>
                <w:tcPr>
                  <w:tcW w:w="1599" w:type="pct"/>
                  <w:tcBorders>
                    <w:tl2br w:val="nil"/>
                    <w:tr2bl w:val="nil"/>
                  </w:tcBorders>
                  <w:noWrap w:val="0"/>
                  <w:vAlign w:val="center"/>
                </w:tcPr>
                <w:p w14:paraId="5C9F9C6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定期更换，由厂家回收处理</w:t>
                  </w:r>
                </w:p>
              </w:tc>
            </w:tr>
          </w:tbl>
          <w:p w14:paraId="726EEBA9">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default" w:ascii="Times New Roman" w:hAnsi="Times New Roman" w:eastAsia="宋体" w:cs="Times New Roman"/>
                <w:b/>
                <w:bCs/>
                <w:color w:val="auto"/>
                <w:sz w:val="21"/>
                <w:szCs w:val="21"/>
                <w:u w:val="none"/>
              </w:rPr>
            </w:pPr>
          </w:p>
          <w:p w14:paraId="132A7032">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bCs/>
                <w:color w:val="auto"/>
                <w:sz w:val="21"/>
                <w:szCs w:val="21"/>
                <w:u w:val="none"/>
                <w:lang w:eastAsia="zh-CN"/>
              </w:rPr>
            </w:pPr>
            <w:r>
              <w:rPr>
                <w:rFonts w:hint="default" w:ascii="Times New Roman" w:hAnsi="Times New Roman" w:eastAsia="宋体" w:cs="Times New Roman"/>
                <w:b/>
                <w:bCs/>
                <w:color w:val="auto"/>
                <w:sz w:val="21"/>
                <w:szCs w:val="21"/>
                <w:u w:val="none"/>
              </w:rPr>
              <w:t>表</w:t>
            </w:r>
            <w:r>
              <w:rPr>
                <w:rFonts w:hint="default" w:ascii="Times New Roman" w:hAnsi="Times New Roman" w:eastAsia="宋体" w:cs="Times New Roman"/>
                <w:b/>
                <w:bCs/>
                <w:color w:val="auto"/>
                <w:sz w:val="21"/>
                <w:szCs w:val="21"/>
                <w:u w:val="none"/>
                <w:lang w:val="en-US" w:eastAsia="zh-CN"/>
              </w:rPr>
              <w:t>3-</w:t>
            </w:r>
            <w:r>
              <w:rPr>
                <w:rFonts w:hint="eastAsia" w:ascii="Times New Roman" w:hAnsi="Times New Roman" w:eastAsia="宋体" w:cs="Times New Roman"/>
                <w:b/>
                <w:bCs/>
                <w:color w:val="auto"/>
                <w:sz w:val="21"/>
                <w:szCs w:val="21"/>
                <w:u w:val="none"/>
                <w:lang w:val="en-US" w:eastAsia="zh-CN"/>
              </w:rPr>
              <w:t>2</w:t>
            </w:r>
            <w:r>
              <w:rPr>
                <w:rFonts w:hint="default" w:ascii="Times New Roman" w:hAnsi="Times New Roman" w:eastAsia="宋体" w:cs="Times New Roman"/>
                <w:b/>
                <w:bCs/>
                <w:color w:val="auto"/>
                <w:sz w:val="21"/>
                <w:szCs w:val="21"/>
                <w:u w:val="none"/>
              </w:rPr>
              <w:t xml:space="preserve"> </w:t>
            </w:r>
            <w:r>
              <w:rPr>
                <w:rFonts w:hint="default" w:ascii="Times New Roman" w:hAnsi="Times New Roman" w:eastAsia="宋体" w:cs="Times New Roman"/>
                <w:b/>
                <w:bCs/>
                <w:color w:val="auto"/>
                <w:sz w:val="21"/>
                <w:szCs w:val="21"/>
                <w:u w:val="none"/>
                <w:lang w:val="en-US" w:eastAsia="zh-CN"/>
              </w:rPr>
              <w:t xml:space="preserve">  </w:t>
            </w:r>
            <w:r>
              <w:rPr>
                <w:rFonts w:hint="default" w:ascii="Times New Roman" w:hAnsi="Times New Roman" w:eastAsia="宋体" w:cs="Times New Roman"/>
                <w:b/>
                <w:bCs/>
                <w:color w:val="auto"/>
                <w:sz w:val="21"/>
                <w:szCs w:val="21"/>
                <w:u w:val="none"/>
              </w:rPr>
              <w:t>本项目固体废物产生量一览表</w:t>
            </w:r>
            <w:r>
              <w:rPr>
                <w:rFonts w:hint="eastAsia" w:ascii="Times New Roman" w:hAnsi="Times New Roman" w:eastAsia="宋体" w:cs="Times New Roman"/>
                <w:b/>
                <w:bCs/>
                <w:color w:val="auto"/>
                <w:sz w:val="21"/>
                <w:szCs w:val="21"/>
                <w:u w:val="none"/>
                <w:lang w:eastAsia="zh-CN"/>
              </w:rPr>
              <w:t>（</w:t>
            </w:r>
            <w:r>
              <w:rPr>
                <w:rFonts w:hint="eastAsia" w:ascii="Times New Roman" w:hAnsi="Times New Roman" w:eastAsia="宋体" w:cs="Times New Roman"/>
                <w:b/>
                <w:bCs/>
                <w:color w:val="auto"/>
                <w:sz w:val="21"/>
                <w:szCs w:val="21"/>
                <w:u w:val="none"/>
                <w:lang w:val="en-US" w:eastAsia="zh-CN"/>
              </w:rPr>
              <w:t>2</w:t>
            </w:r>
            <w:r>
              <w:rPr>
                <w:rFonts w:hint="eastAsia" w:ascii="Times New Roman" w:hAnsi="Times New Roman" w:eastAsia="宋体" w:cs="Times New Roman"/>
                <w:b/>
                <w:bCs/>
                <w:color w:val="auto"/>
                <w:sz w:val="21"/>
                <w:szCs w:val="21"/>
                <w:u w:val="none"/>
                <w:lang w:eastAsia="zh-CN"/>
              </w:rPr>
              <w:t>）</w:t>
            </w:r>
          </w:p>
          <w:tbl>
            <w:tblPr>
              <w:tblStyle w:val="11"/>
              <w:tblW w:w="4993"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965"/>
              <w:gridCol w:w="758"/>
              <w:gridCol w:w="993"/>
              <w:gridCol w:w="887"/>
              <w:gridCol w:w="669"/>
              <w:gridCol w:w="920"/>
              <w:gridCol w:w="683"/>
              <w:gridCol w:w="758"/>
              <w:gridCol w:w="758"/>
              <w:gridCol w:w="758"/>
            </w:tblGrid>
            <w:tr w14:paraId="003C664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3E2ECFD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bookmarkStart w:id="11" w:name="OLE_LINK13"/>
                  <w:r>
                    <w:rPr>
                      <w:rFonts w:hint="eastAsia" w:ascii="Times New Roman" w:hAnsi="Times New Roman" w:eastAsia="宋体" w:cs="Times New Roman"/>
                      <w:b w:val="0"/>
                      <w:bCs/>
                      <w:color w:val="000000"/>
                      <w:sz w:val="15"/>
                      <w:szCs w:val="15"/>
                      <w:highlight w:val="none"/>
                      <w:u w:val="none"/>
                      <w:lang w:val="en-US" w:eastAsia="zh-CN"/>
                    </w:rPr>
                    <w:t>序号</w:t>
                  </w:r>
                </w:p>
              </w:tc>
              <w:tc>
                <w:tcPr>
                  <w:tcW w:w="561" w:type="pct"/>
                  <w:tcBorders>
                    <w:tl2br w:val="nil"/>
                    <w:tr2bl w:val="nil"/>
                  </w:tcBorders>
                  <w:noWrap w:val="0"/>
                  <w:vAlign w:val="center"/>
                </w:tcPr>
                <w:p w14:paraId="01710DE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危险废物名称</w:t>
                  </w:r>
                </w:p>
              </w:tc>
              <w:tc>
                <w:tcPr>
                  <w:tcW w:w="442" w:type="pct"/>
                  <w:tcBorders>
                    <w:tl2br w:val="nil"/>
                    <w:tr2bl w:val="nil"/>
                  </w:tcBorders>
                  <w:noWrap w:val="0"/>
                  <w:vAlign w:val="center"/>
                </w:tcPr>
                <w:p w14:paraId="22BDE72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危险废物类别</w:t>
                  </w:r>
                </w:p>
              </w:tc>
              <w:tc>
                <w:tcPr>
                  <w:tcW w:w="577" w:type="pct"/>
                  <w:tcBorders>
                    <w:tl2br w:val="nil"/>
                    <w:tr2bl w:val="nil"/>
                  </w:tcBorders>
                  <w:noWrap w:val="0"/>
                  <w:vAlign w:val="center"/>
                </w:tcPr>
                <w:p w14:paraId="348219C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危险废物代码</w:t>
                  </w:r>
                </w:p>
              </w:tc>
              <w:tc>
                <w:tcPr>
                  <w:tcW w:w="442" w:type="pct"/>
                  <w:tcBorders>
                    <w:tl2br w:val="nil"/>
                    <w:tr2bl w:val="nil"/>
                  </w:tcBorders>
                  <w:noWrap w:val="0"/>
                  <w:vAlign w:val="center"/>
                </w:tcPr>
                <w:p w14:paraId="0157B94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产生量（t/a）</w:t>
                  </w:r>
                </w:p>
              </w:tc>
              <w:tc>
                <w:tcPr>
                  <w:tcW w:w="391" w:type="pct"/>
                  <w:tcBorders>
                    <w:tl2br w:val="nil"/>
                    <w:tr2bl w:val="nil"/>
                  </w:tcBorders>
                  <w:noWrap w:val="0"/>
                  <w:vAlign w:val="center"/>
                </w:tcPr>
                <w:p w14:paraId="52A52C0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形态</w:t>
                  </w:r>
                </w:p>
              </w:tc>
              <w:tc>
                <w:tcPr>
                  <w:tcW w:w="535" w:type="pct"/>
                  <w:tcBorders>
                    <w:tl2br w:val="nil"/>
                    <w:tr2bl w:val="nil"/>
                  </w:tcBorders>
                  <w:noWrap w:val="0"/>
                  <w:vAlign w:val="center"/>
                </w:tcPr>
                <w:p w14:paraId="1AF4354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有害成分</w:t>
                  </w:r>
                </w:p>
              </w:tc>
              <w:tc>
                <w:tcPr>
                  <w:tcW w:w="399" w:type="pct"/>
                  <w:tcBorders>
                    <w:tl2br w:val="nil"/>
                    <w:tr2bl w:val="nil"/>
                  </w:tcBorders>
                  <w:noWrap w:val="0"/>
                  <w:vAlign w:val="center"/>
                </w:tcPr>
                <w:p w14:paraId="5831B73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贮存周期</w:t>
                  </w:r>
                </w:p>
              </w:tc>
              <w:tc>
                <w:tcPr>
                  <w:tcW w:w="442" w:type="pct"/>
                  <w:tcBorders>
                    <w:tl2br w:val="nil"/>
                    <w:tr2bl w:val="nil"/>
                  </w:tcBorders>
                  <w:noWrap w:val="0"/>
                  <w:vAlign w:val="center"/>
                </w:tcPr>
                <w:p w14:paraId="6A3C962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危险特性</w:t>
                  </w:r>
                </w:p>
              </w:tc>
              <w:tc>
                <w:tcPr>
                  <w:tcW w:w="442" w:type="pct"/>
                  <w:tcBorders>
                    <w:tl2br w:val="nil"/>
                    <w:tr2bl w:val="nil"/>
                  </w:tcBorders>
                  <w:noWrap w:val="0"/>
                  <w:vAlign w:val="center"/>
                </w:tcPr>
                <w:p w14:paraId="1E59AFD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贮存方式</w:t>
                  </w:r>
                </w:p>
              </w:tc>
              <w:tc>
                <w:tcPr>
                  <w:tcW w:w="442" w:type="pct"/>
                  <w:tcBorders>
                    <w:tl2br w:val="nil"/>
                    <w:tr2bl w:val="nil"/>
                  </w:tcBorders>
                  <w:noWrap w:val="0"/>
                  <w:vAlign w:val="center"/>
                </w:tcPr>
                <w:p w14:paraId="2F9DBB9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污染防治措施</w:t>
                  </w:r>
                </w:p>
              </w:tc>
            </w:tr>
            <w:tr w14:paraId="59359F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6417B59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w:t>
                  </w:r>
                </w:p>
              </w:tc>
              <w:tc>
                <w:tcPr>
                  <w:tcW w:w="561" w:type="pct"/>
                  <w:tcBorders>
                    <w:tl2br w:val="nil"/>
                    <w:tr2bl w:val="nil"/>
                  </w:tcBorders>
                  <w:noWrap w:val="0"/>
                  <w:vAlign w:val="center"/>
                </w:tcPr>
                <w:p w14:paraId="44F0CBC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废有机溶剂与含有机溶剂废物</w:t>
                  </w:r>
                </w:p>
              </w:tc>
              <w:tc>
                <w:tcPr>
                  <w:tcW w:w="442" w:type="pct"/>
                  <w:tcBorders>
                    <w:tl2br w:val="nil"/>
                    <w:tr2bl w:val="nil"/>
                  </w:tcBorders>
                  <w:noWrap w:val="0"/>
                  <w:vAlign w:val="center"/>
                </w:tcPr>
                <w:p w14:paraId="7B9C8BF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HW06</w:t>
                  </w:r>
                </w:p>
              </w:tc>
              <w:tc>
                <w:tcPr>
                  <w:tcW w:w="577" w:type="pct"/>
                  <w:tcBorders>
                    <w:tl2br w:val="nil"/>
                    <w:tr2bl w:val="nil"/>
                  </w:tcBorders>
                  <w:noWrap w:val="0"/>
                  <w:vAlign w:val="center"/>
                </w:tcPr>
                <w:p w14:paraId="5DC7D4D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900-402-06</w:t>
                  </w:r>
                </w:p>
              </w:tc>
              <w:tc>
                <w:tcPr>
                  <w:tcW w:w="442" w:type="pct"/>
                  <w:tcBorders>
                    <w:tl2br w:val="nil"/>
                    <w:tr2bl w:val="nil"/>
                  </w:tcBorders>
                  <w:noWrap w:val="0"/>
                  <w:vAlign w:val="center"/>
                </w:tcPr>
                <w:p w14:paraId="28BB87C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33.57</w:t>
                  </w:r>
                </w:p>
              </w:tc>
              <w:tc>
                <w:tcPr>
                  <w:tcW w:w="391" w:type="pct"/>
                  <w:tcBorders>
                    <w:tl2br w:val="nil"/>
                    <w:tr2bl w:val="nil"/>
                  </w:tcBorders>
                  <w:noWrap w:val="0"/>
                  <w:vAlign w:val="center"/>
                </w:tcPr>
                <w:p w14:paraId="021452B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液态</w:t>
                  </w:r>
                </w:p>
              </w:tc>
              <w:tc>
                <w:tcPr>
                  <w:tcW w:w="535" w:type="pct"/>
                  <w:tcBorders>
                    <w:tl2br w:val="nil"/>
                    <w:tr2bl w:val="nil"/>
                  </w:tcBorders>
                  <w:noWrap w:val="0"/>
                  <w:vAlign w:val="center"/>
                </w:tcPr>
                <w:p w14:paraId="2DB005A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乙二醇等</w:t>
                  </w:r>
                </w:p>
              </w:tc>
              <w:tc>
                <w:tcPr>
                  <w:tcW w:w="399" w:type="pct"/>
                  <w:tcBorders>
                    <w:tl2br w:val="nil"/>
                    <w:tr2bl w:val="nil"/>
                  </w:tcBorders>
                  <w:noWrap w:val="0"/>
                  <w:vAlign w:val="center"/>
                </w:tcPr>
                <w:p w14:paraId="348F32C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6C993F2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T,I,R</w:t>
                  </w:r>
                </w:p>
              </w:tc>
              <w:tc>
                <w:tcPr>
                  <w:tcW w:w="442" w:type="pct"/>
                  <w:tcBorders>
                    <w:tl2br w:val="nil"/>
                    <w:tr2bl w:val="nil"/>
                  </w:tcBorders>
                  <w:noWrap w:val="0"/>
                  <w:vAlign w:val="center"/>
                </w:tcPr>
                <w:p w14:paraId="75D68E3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密闭专用容器</w:t>
                  </w:r>
                </w:p>
              </w:tc>
              <w:tc>
                <w:tcPr>
                  <w:tcW w:w="442" w:type="pct"/>
                  <w:vMerge w:val="restart"/>
                  <w:tcBorders>
                    <w:tl2br w:val="nil"/>
                    <w:tr2bl w:val="nil"/>
                  </w:tcBorders>
                  <w:noWrap w:val="0"/>
                  <w:vAlign w:val="center"/>
                </w:tcPr>
                <w:p w14:paraId="3776754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分类收集，暂存于危险废物贮存库，定期交由持有相应类别危险废物经营许可证的单位处理</w:t>
                  </w:r>
                </w:p>
              </w:tc>
            </w:tr>
            <w:tr w14:paraId="5DDC70B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29D4A29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w:t>
                  </w:r>
                </w:p>
              </w:tc>
              <w:tc>
                <w:tcPr>
                  <w:tcW w:w="561" w:type="pct"/>
                  <w:tcBorders>
                    <w:tl2br w:val="nil"/>
                    <w:tr2bl w:val="nil"/>
                  </w:tcBorders>
                  <w:noWrap w:val="0"/>
                  <w:vAlign w:val="center"/>
                </w:tcPr>
                <w:p w14:paraId="762EA20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废矿物油与含矿物油废物</w:t>
                  </w:r>
                </w:p>
              </w:tc>
              <w:tc>
                <w:tcPr>
                  <w:tcW w:w="442" w:type="pct"/>
                  <w:tcBorders>
                    <w:tl2br w:val="nil"/>
                    <w:tr2bl w:val="nil"/>
                  </w:tcBorders>
                  <w:noWrap w:val="0"/>
                  <w:vAlign w:val="center"/>
                </w:tcPr>
                <w:p w14:paraId="410D245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HW08</w:t>
                  </w:r>
                </w:p>
              </w:tc>
              <w:tc>
                <w:tcPr>
                  <w:tcW w:w="577" w:type="pct"/>
                  <w:tcBorders>
                    <w:tl2br w:val="nil"/>
                    <w:tr2bl w:val="nil"/>
                  </w:tcBorders>
                  <w:noWrap w:val="0"/>
                  <w:vAlign w:val="center"/>
                </w:tcPr>
                <w:p w14:paraId="18D31E9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900-199-08</w:t>
                  </w:r>
                </w:p>
                <w:p w14:paraId="388FA43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900-214-08</w:t>
                  </w:r>
                </w:p>
                <w:p w14:paraId="4BF7B7F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900-218-08</w:t>
                  </w:r>
                </w:p>
              </w:tc>
              <w:tc>
                <w:tcPr>
                  <w:tcW w:w="442" w:type="pct"/>
                  <w:tcBorders>
                    <w:tl2br w:val="nil"/>
                    <w:tr2bl w:val="nil"/>
                  </w:tcBorders>
                  <w:noWrap w:val="0"/>
                  <w:vAlign w:val="center"/>
                </w:tcPr>
                <w:p w14:paraId="7336812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95.85</w:t>
                  </w:r>
                </w:p>
              </w:tc>
              <w:tc>
                <w:tcPr>
                  <w:tcW w:w="391" w:type="pct"/>
                  <w:tcBorders>
                    <w:tl2br w:val="nil"/>
                    <w:tr2bl w:val="nil"/>
                  </w:tcBorders>
                  <w:noWrap w:val="0"/>
                  <w:vAlign w:val="center"/>
                </w:tcPr>
                <w:p w14:paraId="1DC5C94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液态</w:t>
                  </w:r>
                </w:p>
              </w:tc>
              <w:tc>
                <w:tcPr>
                  <w:tcW w:w="535" w:type="pct"/>
                  <w:tcBorders>
                    <w:tl2br w:val="nil"/>
                    <w:tr2bl w:val="nil"/>
                  </w:tcBorders>
                  <w:noWrap w:val="0"/>
                  <w:vAlign w:val="center"/>
                </w:tcPr>
                <w:p w14:paraId="735E1C4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石油类</w:t>
                  </w:r>
                </w:p>
              </w:tc>
              <w:tc>
                <w:tcPr>
                  <w:tcW w:w="399" w:type="pct"/>
                  <w:tcBorders>
                    <w:tl2br w:val="nil"/>
                    <w:tr2bl w:val="nil"/>
                  </w:tcBorders>
                  <w:noWrap w:val="0"/>
                  <w:vAlign w:val="center"/>
                </w:tcPr>
                <w:p w14:paraId="2139204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7283B29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T,I</w:t>
                  </w:r>
                </w:p>
              </w:tc>
              <w:tc>
                <w:tcPr>
                  <w:tcW w:w="442" w:type="pct"/>
                  <w:tcBorders>
                    <w:tl2br w:val="nil"/>
                    <w:tr2bl w:val="nil"/>
                  </w:tcBorders>
                  <w:noWrap w:val="0"/>
                  <w:vAlign w:val="center"/>
                </w:tcPr>
                <w:p w14:paraId="3ACB566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密闭专用容器</w:t>
                  </w:r>
                </w:p>
              </w:tc>
              <w:tc>
                <w:tcPr>
                  <w:tcW w:w="442" w:type="pct"/>
                  <w:vMerge w:val="continue"/>
                  <w:tcBorders>
                    <w:tl2br w:val="nil"/>
                    <w:tr2bl w:val="nil"/>
                  </w:tcBorders>
                  <w:noWrap w:val="0"/>
                  <w:vAlign w:val="center"/>
                </w:tcPr>
                <w:p w14:paraId="40DEE20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642C62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57A7770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w:t>
                  </w:r>
                </w:p>
              </w:tc>
              <w:tc>
                <w:tcPr>
                  <w:tcW w:w="561" w:type="pct"/>
                  <w:tcBorders>
                    <w:tl2br w:val="nil"/>
                    <w:tr2bl w:val="nil"/>
                  </w:tcBorders>
                  <w:noWrap w:val="0"/>
                  <w:vAlign w:val="center"/>
                </w:tcPr>
                <w:p w14:paraId="53B3F25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废尾气催化剂</w:t>
                  </w:r>
                </w:p>
              </w:tc>
              <w:tc>
                <w:tcPr>
                  <w:tcW w:w="442" w:type="pct"/>
                  <w:tcBorders>
                    <w:tl2br w:val="nil"/>
                    <w:tr2bl w:val="nil"/>
                  </w:tcBorders>
                  <w:noWrap w:val="0"/>
                  <w:vAlign w:val="center"/>
                </w:tcPr>
                <w:p w14:paraId="1C63396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HW50</w:t>
                  </w:r>
                </w:p>
              </w:tc>
              <w:tc>
                <w:tcPr>
                  <w:tcW w:w="577" w:type="pct"/>
                  <w:tcBorders>
                    <w:tl2br w:val="nil"/>
                    <w:tr2bl w:val="nil"/>
                  </w:tcBorders>
                  <w:noWrap w:val="0"/>
                  <w:vAlign w:val="center"/>
                </w:tcPr>
                <w:p w14:paraId="5655323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900-049-50</w:t>
                  </w:r>
                </w:p>
              </w:tc>
              <w:tc>
                <w:tcPr>
                  <w:tcW w:w="442" w:type="pct"/>
                  <w:tcBorders>
                    <w:tl2br w:val="nil"/>
                    <w:tr2bl w:val="nil"/>
                  </w:tcBorders>
                  <w:noWrap w:val="0"/>
                  <w:vAlign w:val="center"/>
                </w:tcPr>
                <w:p w14:paraId="5987131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19.9</w:t>
                  </w:r>
                </w:p>
              </w:tc>
              <w:tc>
                <w:tcPr>
                  <w:tcW w:w="391" w:type="pct"/>
                  <w:tcBorders>
                    <w:tl2br w:val="nil"/>
                    <w:tr2bl w:val="nil"/>
                  </w:tcBorders>
                  <w:noWrap w:val="0"/>
                  <w:vAlign w:val="center"/>
                </w:tcPr>
                <w:p w14:paraId="023D52C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16DD458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铂、铑、钯、镍</w:t>
                  </w:r>
                </w:p>
              </w:tc>
              <w:tc>
                <w:tcPr>
                  <w:tcW w:w="399" w:type="pct"/>
                  <w:tcBorders>
                    <w:tl2br w:val="nil"/>
                    <w:tr2bl w:val="nil"/>
                  </w:tcBorders>
                  <w:noWrap w:val="0"/>
                  <w:vAlign w:val="center"/>
                </w:tcPr>
                <w:p w14:paraId="7768FBD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4个月</w:t>
                  </w:r>
                </w:p>
              </w:tc>
              <w:tc>
                <w:tcPr>
                  <w:tcW w:w="442" w:type="pct"/>
                  <w:tcBorders>
                    <w:tl2br w:val="nil"/>
                    <w:tr2bl w:val="nil"/>
                  </w:tcBorders>
                  <w:noWrap w:val="0"/>
                  <w:vAlign w:val="center"/>
                </w:tcPr>
                <w:p w14:paraId="6992F54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w:t>
                  </w:r>
                </w:p>
              </w:tc>
              <w:tc>
                <w:tcPr>
                  <w:tcW w:w="442" w:type="pct"/>
                  <w:tcBorders>
                    <w:tl2br w:val="nil"/>
                    <w:tr2bl w:val="nil"/>
                  </w:tcBorders>
                  <w:noWrap w:val="0"/>
                  <w:vAlign w:val="center"/>
                </w:tcPr>
                <w:p w14:paraId="6A6EEDD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0DC73E7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288D5D7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16BA493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w:t>
                  </w:r>
                </w:p>
              </w:tc>
              <w:tc>
                <w:tcPr>
                  <w:tcW w:w="561" w:type="pct"/>
                  <w:tcBorders>
                    <w:tl2br w:val="nil"/>
                    <w:tr2bl w:val="nil"/>
                  </w:tcBorders>
                  <w:noWrap w:val="0"/>
                  <w:vAlign w:val="center"/>
                </w:tcPr>
                <w:p w14:paraId="0402FA9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废电路板</w:t>
                  </w:r>
                </w:p>
              </w:tc>
              <w:tc>
                <w:tcPr>
                  <w:tcW w:w="442" w:type="pct"/>
                  <w:tcBorders>
                    <w:tl2br w:val="nil"/>
                    <w:tr2bl w:val="nil"/>
                  </w:tcBorders>
                  <w:noWrap w:val="0"/>
                  <w:vAlign w:val="center"/>
                </w:tcPr>
                <w:p w14:paraId="7755B8C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HW49</w:t>
                  </w:r>
                </w:p>
              </w:tc>
              <w:tc>
                <w:tcPr>
                  <w:tcW w:w="577" w:type="pct"/>
                  <w:tcBorders>
                    <w:tl2br w:val="nil"/>
                    <w:tr2bl w:val="nil"/>
                  </w:tcBorders>
                  <w:noWrap w:val="0"/>
                  <w:vAlign w:val="center"/>
                </w:tcPr>
                <w:p w14:paraId="55AFC86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900-045-49</w:t>
                  </w:r>
                </w:p>
              </w:tc>
              <w:tc>
                <w:tcPr>
                  <w:tcW w:w="442" w:type="pct"/>
                  <w:tcBorders>
                    <w:tl2br w:val="nil"/>
                    <w:tr2bl w:val="nil"/>
                  </w:tcBorders>
                  <w:noWrap w:val="0"/>
                  <w:vAlign w:val="center"/>
                </w:tcPr>
                <w:p w14:paraId="4E0660F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74.5</w:t>
                  </w:r>
                </w:p>
              </w:tc>
              <w:tc>
                <w:tcPr>
                  <w:tcW w:w="391" w:type="pct"/>
                  <w:tcBorders>
                    <w:tl2br w:val="nil"/>
                    <w:tr2bl w:val="nil"/>
                  </w:tcBorders>
                  <w:noWrap w:val="0"/>
                  <w:vAlign w:val="center"/>
                </w:tcPr>
                <w:p w14:paraId="32D3352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6A840B9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重金属、多氯联苯</w:t>
                  </w:r>
                </w:p>
              </w:tc>
              <w:tc>
                <w:tcPr>
                  <w:tcW w:w="399" w:type="pct"/>
                  <w:tcBorders>
                    <w:tl2br w:val="nil"/>
                    <w:tr2bl w:val="nil"/>
                  </w:tcBorders>
                  <w:noWrap w:val="0"/>
                  <w:vAlign w:val="center"/>
                </w:tcPr>
                <w:p w14:paraId="3C842A9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3A2ED0E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w:t>
                  </w:r>
                </w:p>
              </w:tc>
              <w:tc>
                <w:tcPr>
                  <w:tcW w:w="442" w:type="pct"/>
                  <w:tcBorders>
                    <w:tl2br w:val="nil"/>
                    <w:tr2bl w:val="nil"/>
                  </w:tcBorders>
                  <w:noWrap w:val="0"/>
                  <w:vAlign w:val="center"/>
                </w:tcPr>
                <w:p w14:paraId="029C3D5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18C8A25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3AA7D8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4360754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5</w:t>
                  </w:r>
                </w:p>
              </w:tc>
              <w:tc>
                <w:tcPr>
                  <w:tcW w:w="561" w:type="pct"/>
                  <w:tcBorders>
                    <w:tl2br w:val="nil"/>
                    <w:tr2bl w:val="nil"/>
                  </w:tcBorders>
                  <w:noWrap w:val="0"/>
                  <w:vAlign w:val="center"/>
                </w:tcPr>
                <w:p w14:paraId="58C83AA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含汞废物</w:t>
                  </w:r>
                </w:p>
              </w:tc>
              <w:tc>
                <w:tcPr>
                  <w:tcW w:w="442" w:type="pct"/>
                  <w:tcBorders>
                    <w:tl2br w:val="nil"/>
                    <w:tr2bl w:val="nil"/>
                  </w:tcBorders>
                  <w:noWrap w:val="0"/>
                  <w:vAlign w:val="center"/>
                </w:tcPr>
                <w:p w14:paraId="33482BC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HW29</w:t>
                  </w:r>
                </w:p>
              </w:tc>
              <w:tc>
                <w:tcPr>
                  <w:tcW w:w="577" w:type="pct"/>
                  <w:tcBorders>
                    <w:tl2br w:val="nil"/>
                    <w:tr2bl w:val="nil"/>
                  </w:tcBorders>
                  <w:noWrap w:val="0"/>
                  <w:vAlign w:val="center"/>
                </w:tcPr>
                <w:p w14:paraId="7294A19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900-023-29</w:t>
                  </w:r>
                </w:p>
              </w:tc>
              <w:tc>
                <w:tcPr>
                  <w:tcW w:w="442" w:type="pct"/>
                  <w:tcBorders>
                    <w:tl2br w:val="nil"/>
                    <w:tr2bl w:val="nil"/>
                  </w:tcBorders>
                  <w:noWrap w:val="0"/>
                  <w:vAlign w:val="center"/>
                </w:tcPr>
                <w:p w14:paraId="374652D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37.3</w:t>
                  </w:r>
                </w:p>
              </w:tc>
              <w:tc>
                <w:tcPr>
                  <w:tcW w:w="391" w:type="pct"/>
                  <w:tcBorders>
                    <w:tl2br w:val="nil"/>
                    <w:tr2bl w:val="nil"/>
                  </w:tcBorders>
                  <w:noWrap w:val="0"/>
                  <w:vAlign w:val="center"/>
                </w:tcPr>
                <w:p w14:paraId="0918686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2A2AD43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汞</w:t>
                  </w:r>
                </w:p>
              </w:tc>
              <w:tc>
                <w:tcPr>
                  <w:tcW w:w="399" w:type="pct"/>
                  <w:tcBorders>
                    <w:tl2br w:val="nil"/>
                    <w:tr2bl w:val="nil"/>
                  </w:tcBorders>
                  <w:noWrap w:val="0"/>
                  <w:vAlign w:val="center"/>
                </w:tcPr>
                <w:p w14:paraId="51A63F1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4个月</w:t>
                  </w:r>
                </w:p>
              </w:tc>
              <w:tc>
                <w:tcPr>
                  <w:tcW w:w="442" w:type="pct"/>
                  <w:tcBorders>
                    <w:tl2br w:val="nil"/>
                    <w:tr2bl w:val="nil"/>
                  </w:tcBorders>
                  <w:noWrap w:val="0"/>
                  <w:vAlign w:val="center"/>
                </w:tcPr>
                <w:p w14:paraId="77F88E2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w:t>
                  </w:r>
                </w:p>
              </w:tc>
              <w:tc>
                <w:tcPr>
                  <w:tcW w:w="442" w:type="pct"/>
                  <w:tcBorders>
                    <w:tl2br w:val="nil"/>
                    <w:tr2bl w:val="nil"/>
                  </w:tcBorders>
                  <w:noWrap w:val="0"/>
                  <w:vAlign w:val="center"/>
                </w:tcPr>
                <w:p w14:paraId="2628B07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2293AFF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5B481A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0AEEB84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6</w:t>
                  </w:r>
                </w:p>
              </w:tc>
              <w:tc>
                <w:tcPr>
                  <w:tcW w:w="561" w:type="pct"/>
                  <w:tcBorders>
                    <w:tl2br w:val="nil"/>
                    <w:tr2bl w:val="nil"/>
                  </w:tcBorders>
                  <w:noWrap w:val="0"/>
                  <w:vAlign w:val="center"/>
                </w:tcPr>
                <w:p w14:paraId="1045519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废铅酸蓄电池</w:t>
                  </w:r>
                </w:p>
              </w:tc>
              <w:tc>
                <w:tcPr>
                  <w:tcW w:w="442" w:type="pct"/>
                  <w:tcBorders>
                    <w:tl2br w:val="nil"/>
                    <w:tr2bl w:val="nil"/>
                  </w:tcBorders>
                  <w:noWrap w:val="0"/>
                  <w:vAlign w:val="center"/>
                </w:tcPr>
                <w:p w14:paraId="70768CC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HW31</w:t>
                  </w:r>
                </w:p>
              </w:tc>
              <w:tc>
                <w:tcPr>
                  <w:tcW w:w="577" w:type="pct"/>
                  <w:tcBorders>
                    <w:tl2br w:val="nil"/>
                    <w:tr2bl w:val="nil"/>
                  </w:tcBorders>
                  <w:noWrap w:val="0"/>
                  <w:vAlign w:val="center"/>
                </w:tcPr>
                <w:p w14:paraId="0590EEE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900-052-31</w:t>
                  </w:r>
                </w:p>
              </w:tc>
              <w:tc>
                <w:tcPr>
                  <w:tcW w:w="442" w:type="pct"/>
                  <w:tcBorders>
                    <w:tl2br w:val="nil"/>
                    <w:tr2bl w:val="nil"/>
                  </w:tcBorders>
                  <w:noWrap w:val="0"/>
                  <w:vAlign w:val="center"/>
                </w:tcPr>
                <w:p w14:paraId="2417D09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30</w:t>
                  </w:r>
                </w:p>
              </w:tc>
              <w:tc>
                <w:tcPr>
                  <w:tcW w:w="391" w:type="pct"/>
                  <w:tcBorders>
                    <w:tl2br w:val="nil"/>
                    <w:tr2bl w:val="nil"/>
                  </w:tcBorders>
                  <w:noWrap w:val="0"/>
                  <w:vAlign w:val="center"/>
                </w:tcPr>
                <w:p w14:paraId="6C666AC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633EFB3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铅、硫酸电解液</w:t>
                  </w:r>
                </w:p>
              </w:tc>
              <w:tc>
                <w:tcPr>
                  <w:tcW w:w="399" w:type="pct"/>
                  <w:tcBorders>
                    <w:tl2br w:val="nil"/>
                    <w:tr2bl w:val="nil"/>
                  </w:tcBorders>
                  <w:noWrap w:val="0"/>
                  <w:vAlign w:val="center"/>
                </w:tcPr>
                <w:p w14:paraId="2832D9B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4个月</w:t>
                  </w:r>
                </w:p>
              </w:tc>
              <w:tc>
                <w:tcPr>
                  <w:tcW w:w="442" w:type="pct"/>
                  <w:tcBorders>
                    <w:tl2br w:val="nil"/>
                    <w:tr2bl w:val="nil"/>
                  </w:tcBorders>
                  <w:noWrap w:val="0"/>
                  <w:vAlign w:val="center"/>
                </w:tcPr>
                <w:p w14:paraId="5C02093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T,C</w:t>
                  </w:r>
                </w:p>
              </w:tc>
              <w:tc>
                <w:tcPr>
                  <w:tcW w:w="442" w:type="pct"/>
                  <w:tcBorders>
                    <w:tl2br w:val="nil"/>
                    <w:tr2bl w:val="nil"/>
                  </w:tcBorders>
                  <w:noWrap w:val="0"/>
                  <w:vAlign w:val="center"/>
                </w:tcPr>
                <w:p w14:paraId="448B116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耐酸容器</w:t>
                  </w:r>
                </w:p>
              </w:tc>
              <w:tc>
                <w:tcPr>
                  <w:tcW w:w="442" w:type="pct"/>
                  <w:vMerge w:val="continue"/>
                  <w:tcBorders>
                    <w:tl2br w:val="nil"/>
                    <w:tr2bl w:val="nil"/>
                  </w:tcBorders>
                  <w:noWrap w:val="0"/>
                  <w:vAlign w:val="center"/>
                </w:tcPr>
                <w:p w14:paraId="13CD348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185D457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2EBE47F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7</w:t>
                  </w:r>
                </w:p>
              </w:tc>
              <w:tc>
                <w:tcPr>
                  <w:tcW w:w="561" w:type="pct"/>
                  <w:tcBorders>
                    <w:tl2br w:val="nil"/>
                    <w:tr2bl w:val="nil"/>
                  </w:tcBorders>
                  <w:noWrap w:val="0"/>
                  <w:vAlign w:val="center"/>
                </w:tcPr>
                <w:p w14:paraId="0BDBA35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浮油、浮渣和油泥</w:t>
                  </w:r>
                </w:p>
              </w:tc>
              <w:tc>
                <w:tcPr>
                  <w:tcW w:w="442" w:type="pct"/>
                  <w:tcBorders>
                    <w:tl2br w:val="nil"/>
                    <w:tr2bl w:val="nil"/>
                  </w:tcBorders>
                  <w:noWrap w:val="0"/>
                  <w:vAlign w:val="center"/>
                </w:tcPr>
                <w:p w14:paraId="02C5CE5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HW08</w:t>
                  </w:r>
                </w:p>
              </w:tc>
              <w:tc>
                <w:tcPr>
                  <w:tcW w:w="577" w:type="pct"/>
                  <w:tcBorders>
                    <w:tl2br w:val="nil"/>
                    <w:tr2bl w:val="nil"/>
                  </w:tcBorders>
                  <w:noWrap w:val="0"/>
                  <w:vAlign w:val="center"/>
                </w:tcPr>
                <w:p w14:paraId="6DB9159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900-210-08</w:t>
                  </w:r>
                </w:p>
              </w:tc>
              <w:tc>
                <w:tcPr>
                  <w:tcW w:w="442" w:type="pct"/>
                  <w:tcBorders>
                    <w:tl2br w:val="nil"/>
                    <w:tr2bl w:val="nil"/>
                  </w:tcBorders>
                  <w:noWrap w:val="0"/>
                  <w:vAlign w:val="center"/>
                </w:tcPr>
                <w:p w14:paraId="6751BE91">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0.5</w:t>
                  </w:r>
                </w:p>
              </w:tc>
              <w:tc>
                <w:tcPr>
                  <w:tcW w:w="391" w:type="pct"/>
                  <w:tcBorders>
                    <w:tl2br w:val="nil"/>
                    <w:tr2bl w:val="nil"/>
                  </w:tcBorders>
                  <w:noWrap w:val="0"/>
                  <w:vAlign w:val="center"/>
                </w:tcPr>
                <w:p w14:paraId="33AD005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7D215C6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石油类</w:t>
                  </w:r>
                </w:p>
              </w:tc>
              <w:tc>
                <w:tcPr>
                  <w:tcW w:w="399" w:type="pct"/>
                  <w:tcBorders>
                    <w:tl2br w:val="nil"/>
                    <w:tr2bl w:val="nil"/>
                  </w:tcBorders>
                  <w:noWrap w:val="0"/>
                  <w:vAlign w:val="center"/>
                </w:tcPr>
                <w:p w14:paraId="3E1B0E0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19E010C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T,I</w:t>
                  </w:r>
                </w:p>
              </w:tc>
              <w:tc>
                <w:tcPr>
                  <w:tcW w:w="442" w:type="pct"/>
                  <w:tcBorders>
                    <w:tl2br w:val="nil"/>
                    <w:tr2bl w:val="nil"/>
                  </w:tcBorders>
                  <w:noWrap w:val="0"/>
                  <w:vAlign w:val="center"/>
                </w:tcPr>
                <w:p w14:paraId="38B34FD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密闭专用容器</w:t>
                  </w:r>
                </w:p>
              </w:tc>
              <w:tc>
                <w:tcPr>
                  <w:tcW w:w="442" w:type="pct"/>
                  <w:vMerge w:val="continue"/>
                  <w:tcBorders>
                    <w:tl2br w:val="nil"/>
                    <w:tr2bl w:val="nil"/>
                  </w:tcBorders>
                  <w:noWrap w:val="0"/>
                  <w:vAlign w:val="center"/>
                </w:tcPr>
                <w:p w14:paraId="28366DE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4C54C47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5301357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8</w:t>
                  </w:r>
                </w:p>
              </w:tc>
              <w:tc>
                <w:tcPr>
                  <w:tcW w:w="561" w:type="pct"/>
                  <w:tcBorders>
                    <w:tl2br w:val="nil"/>
                    <w:tr2bl w:val="nil"/>
                  </w:tcBorders>
                  <w:noWrap w:val="0"/>
                  <w:vAlign w:val="center"/>
                </w:tcPr>
                <w:p w14:paraId="125ECF5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废活性炭</w:t>
                  </w:r>
                </w:p>
              </w:tc>
              <w:tc>
                <w:tcPr>
                  <w:tcW w:w="442" w:type="pct"/>
                  <w:tcBorders>
                    <w:tl2br w:val="nil"/>
                    <w:tr2bl w:val="nil"/>
                  </w:tcBorders>
                  <w:noWrap w:val="0"/>
                  <w:vAlign w:val="center"/>
                </w:tcPr>
                <w:p w14:paraId="1C88CDE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HW49</w:t>
                  </w:r>
                </w:p>
              </w:tc>
              <w:tc>
                <w:tcPr>
                  <w:tcW w:w="577" w:type="pct"/>
                  <w:tcBorders>
                    <w:tl2br w:val="nil"/>
                    <w:tr2bl w:val="nil"/>
                  </w:tcBorders>
                  <w:noWrap w:val="0"/>
                  <w:vAlign w:val="center"/>
                </w:tcPr>
                <w:p w14:paraId="5108175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900-039-49</w:t>
                  </w:r>
                </w:p>
              </w:tc>
              <w:tc>
                <w:tcPr>
                  <w:tcW w:w="442" w:type="pct"/>
                  <w:tcBorders>
                    <w:tl2br w:val="nil"/>
                    <w:tr2bl w:val="nil"/>
                  </w:tcBorders>
                  <w:noWrap w:val="0"/>
                  <w:vAlign w:val="center"/>
                </w:tcPr>
                <w:p w14:paraId="520FD87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1.05</w:t>
                  </w:r>
                </w:p>
              </w:tc>
              <w:tc>
                <w:tcPr>
                  <w:tcW w:w="391" w:type="pct"/>
                  <w:tcBorders>
                    <w:tl2br w:val="nil"/>
                    <w:tr2bl w:val="nil"/>
                  </w:tcBorders>
                  <w:noWrap w:val="0"/>
                  <w:vAlign w:val="center"/>
                </w:tcPr>
                <w:p w14:paraId="13D98C5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3AF45B9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非甲烷总烃</w:t>
                  </w:r>
                </w:p>
              </w:tc>
              <w:tc>
                <w:tcPr>
                  <w:tcW w:w="399" w:type="pct"/>
                  <w:tcBorders>
                    <w:tl2br w:val="nil"/>
                    <w:tr2bl w:val="nil"/>
                  </w:tcBorders>
                  <w:noWrap w:val="0"/>
                  <w:vAlign w:val="center"/>
                </w:tcPr>
                <w:p w14:paraId="12E8669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4个月</w:t>
                  </w:r>
                </w:p>
              </w:tc>
              <w:tc>
                <w:tcPr>
                  <w:tcW w:w="442" w:type="pct"/>
                  <w:tcBorders>
                    <w:tl2br w:val="nil"/>
                    <w:tr2bl w:val="nil"/>
                  </w:tcBorders>
                  <w:noWrap w:val="0"/>
                  <w:vAlign w:val="center"/>
                </w:tcPr>
                <w:p w14:paraId="79FF500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w:t>
                  </w:r>
                </w:p>
              </w:tc>
              <w:tc>
                <w:tcPr>
                  <w:tcW w:w="442" w:type="pct"/>
                  <w:tcBorders>
                    <w:tl2br w:val="nil"/>
                    <w:tr2bl w:val="nil"/>
                  </w:tcBorders>
                  <w:noWrap w:val="0"/>
                  <w:vAlign w:val="center"/>
                </w:tcPr>
                <w:p w14:paraId="6AAFC54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508C333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54BDFB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34CA99AA">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w:t>
                  </w:r>
                </w:p>
              </w:tc>
              <w:tc>
                <w:tcPr>
                  <w:tcW w:w="561" w:type="pct"/>
                  <w:tcBorders>
                    <w:tl2br w:val="nil"/>
                    <w:tr2bl w:val="nil"/>
                  </w:tcBorders>
                  <w:noWrap w:val="0"/>
                  <w:vAlign w:val="center"/>
                </w:tcPr>
                <w:p w14:paraId="3C8BB8B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沾染油污的手套、抹布</w:t>
                  </w:r>
                </w:p>
              </w:tc>
              <w:tc>
                <w:tcPr>
                  <w:tcW w:w="442" w:type="pct"/>
                  <w:tcBorders>
                    <w:tl2br w:val="nil"/>
                    <w:tr2bl w:val="nil"/>
                  </w:tcBorders>
                  <w:noWrap w:val="0"/>
                  <w:vAlign w:val="center"/>
                </w:tcPr>
                <w:p w14:paraId="09C19B8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HW49</w:t>
                  </w:r>
                </w:p>
              </w:tc>
              <w:tc>
                <w:tcPr>
                  <w:tcW w:w="577" w:type="pct"/>
                  <w:tcBorders>
                    <w:tl2br w:val="nil"/>
                    <w:tr2bl w:val="nil"/>
                  </w:tcBorders>
                  <w:noWrap w:val="0"/>
                  <w:vAlign w:val="center"/>
                </w:tcPr>
                <w:p w14:paraId="276C9382">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900-041-49</w:t>
                  </w:r>
                </w:p>
              </w:tc>
              <w:tc>
                <w:tcPr>
                  <w:tcW w:w="442" w:type="pct"/>
                  <w:tcBorders>
                    <w:tl2br w:val="nil"/>
                    <w:tr2bl w:val="nil"/>
                  </w:tcBorders>
                  <w:noWrap w:val="0"/>
                  <w:vAlign w:val="center"/>
                </w:tcPr>
                <w:p w14:paraId="6616F64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0.1</w:t>
                  </w:r>
                </w:p>
              </w:tc>
              <w:tc>
                <w:tcPr>
                  <w:tcW w:w="391" w:type="pct"/>
                  <w:tcBorders>
                    <w:tl2br w:val="nil"/>
                    <w:tr2bl w:val="nil"/>
                  </w:tcBorders>
                  <w:noWrap w:val="0"/>
                  <w:vAlign w:val="center"/>
                </w:tcPr>
                <w:p w14:paraId="6884408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0B03D8A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石油类</w:t>
                  </w:r>
                </w:p>
              </w:tc>
              <w:tc>
                <w:tcPr>
                  <w:tcW w:w="399" w:type="pct"/>
                  <w:tcBorders>
                    <w:tl2br w:val="nil"/>
                    <w:tr2bl w:val="nil"/>
                  </w:tcBorders>
                  <w:noWrap w:val="0"/>
                  <w:vAlign w:val="center"/>
                </w:tcPr>
                <w:p w14:paraId="354820A6">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532D614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T,In</w:t>
                  </w:r>
                </w:p>
              </w:tc>
              <w:tc>
                <w:tcPr>
                  <w:tcW w:w="442" w:type="pct"/>
                  <w:tcBorders>
                    <w:tl2br w:val="nil"/>
                    <w:tr2bl w:val="nil"/>
                  </w:tcBorders>
                  <w:noWrap w:val="0"/>
                  <w:vAlign w:val="center"/>
                </w:tcPr>
                <w:p w14:paraId="27A04F9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6B25834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5C372CB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451020A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10</w:t>
                  </w:r>
                </w:p>
              </w:tc>
              <w:tc>
                <w:tcPr>
                  <w:tcW w:w="561" w:type="pct"/>
                  <w:tcBorders>
                    <w:tl2br w:val="nil"/>
                    <w:tr2bl w:val="nil"/>
                  </w:tcBorders>
                  <w:noWrap w:val="0"/>
                  <w:vAlign w:val="center"/>
                </w:tcPr>
                <w:p w14:paraId="32097669">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废防酸滤铅网</w:t>
                  </w:r>
                </w:p>
              </w:tc>
              <w:tc>
                <w:tcPr>
                  <w:tcW w:w="442" w:type="pct"/>
                  <w:tcBorders>
                    <w:tl2br w:val="nil"/>
                    <w:tr2bl w:val="nil"/>
                  </w:tcBorders>
                  <w:noWrap w:val="0"/>
                  <w:vAlign w:val="center"/>
                </w:tcPr>
                <w:p w14:paraId="73C5517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HW49</w:t>
                  </w:r>
                </w:p>
              </w:tc>
              <w:tc>
                <w:tcPr>
                  <w:tcW w:w="577" w:type="pct"/>
                  <w:tcBorders>
                    <w:tl2br w:val="nil"/>
                    <w:tr2bl w:val="nil"/>
                  </w:tcBorders>
                  <w:noWrap w:val="0"/>
                  <w:vAlign w:val="center"/>
                </w:tcPr>
                <w:p w14:paraId="199EA4CC">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900-041-49</w:t>
                  </w:r>
                </w:p>
              </w:tc>
              <w:tc>
                <w:tcPr>
                  <w:tcW w:w="442" w:type="pct"/>
                  <w:tcBorders>
                    <w:tl2br w:val="nil"/>
                    <w:tr2bl w:val="nil"/>
                  </w:tcBorders>
                  <w:noWrap w:val="0"/>
                  <w:vAlign w:val="center"/>
                </w:tcPr>
                <w:p w14:paraId="31575E5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0.1</w:t>
                  </w:r>
                </w:p>
              </w:tc>
              <w:tc>
                <w:tcPr>
                  <w:tcW w:w="391" w:type="pct"/>
                  <w:tcBorders>
                    <w:tl2br w:val="nil"/>
                    <w:tr2bl w:val="nil"/>
                  </w:tcBorders>
                  <w:noWrap w:val="0"/>
                  <w:vAlign w:val="center"/>
                </w:tcPr>
                <w:p w14:paraId="13EFE43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4CCD9D55">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重金属</w:t>
                  </w:r>
                </w:p>
              </w:tc>
              <w:tc>
                <w:tcPr>
                  <w:tcW w:w="399" w:type="pct"/>
                  <w:tcBorders>
                    <w:tl2br w:val="nil"/>
                    <w:tr2bl w:val="nil"/>
                  </w:tcBorders>
                  <w:noWrap w:val="0"/>
                  <w:vAlign w:val="center"/>
                </w:tcPr>
                <w:p w14:paraId="06487A1F">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2个月</w:t>
                  </w:r>
                </w:p>
              </w:tc>
              <w:tc>
                <w:tcPr>
                  <w:tcW w:w="442" w:type="pct"/>
                  <w:tcBorders>
                    <w:tl2br w:val="nil"/>
                    <w:tr2bl w:val="nil"/>
                  </w:tcBorders>
                  <w:noWrap w:val="0"/>
                  <w:vAlign w:val="center"/>
                </w:tcPr>
                <w:p w14:paraId="65614188">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T,In</w:t>
                  </w:r>
                </w:p>
              </w:tc>
              <w:tc>
                <w:tcPr>
                  <w:tcW w:w="442" w:type="pct"/>
                  <w:tcBorders>
                    <w:tl2br w:val="nil"/>
                    <w:tr2bl w:val="nil"/>
                  </w:tcBorders>
                  <w:noWrap w:val="0"/>
                  <w:vAlign w:val="center"/>
                </w:tcPr>
                <w:p w14:paraId="4AD512D4">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容器/包装袋</w:t>
                  </w:r>
                </w:p>
              </w:tc>
              <w:tc>
                <w:tcPr>
                  <w:tcW w:w="442" w:type="pct"/>
                  <w:vMerge w:val="continue"/>
                  <w:tcBorders>
                    <w:tl2br w:val="nil"/>
                    <w:tr2bl w:val="nil"/>
                  </w:tcBorders>
                  <w:noWrap w:val="0"/>
                  <w:vAlign w:val="center"/>
                </w:tcPr>
                <w:p w14:paraId="392D6D0D">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tr w14:paraId="7D965A3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321" w:type="pct"/>
                  <w:tcBorders>
                    <w:tl2br w:val="nil"/>
                    <w:tr2bl w:val="nil"/>
                  </w:tcBorders>
                  <w:noWrap w:val="0"/>
                  <w:vAlign w:val="center"/>
                </w:tcPr>
                <w:p w14:paraId="6AAA98D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11</w:t>
                  </w:r>
                </w:p>
              </w:tc>
              <w:tc>
                <w:tcPr>
                  <w:tcW w:w="561" w:type="pct"/>
                  <w:tcBorders>
                    <w:tl2br w:val="nil"/>
                    <w:tr2bl w:val="nil"/>
                  </w:tcBorders>
                  <w:noWrap w:val="0"/>
                  <w:vAlign w:val="center"/>
                </w:tcPr>
                <w:p w14:paraId="04AD972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发生铅蓄电池破损时产生的铅尘</w:t>
                  </w:r>
                </w:p>
              </w:tc>
              <w:tc>
                <w:tcPr>
                  <w:tcW w:w="442" w:type="pct"/>
                  <w:tcBorders>
                    <w:tl2br w:val="nil"/>
                    <w:tr2bl w:val="nil"/>
                  </w:tcBorders>
                  <w:noWrap w:val="0"/>
                  <w:vAlign w:val="center"/>
                </w:tcPr>
                <w:p w14:paraId="36E27A3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HW31</w:t>
                  </w:r>
                </w:p>
              </w:tc>
              <w:tc>
                <w:tcPr>
                  <w:tcW w:w="577" w:type="pct"/>
                  <w:tcBorders>
                    <w:tl2br w:val="nil"/>
                    <w:tr2bl w:val="nil"/>
                  </w:tcBorders>
                  <w:noWrap w:val="0"/>
                  <w:vAlign w:val="center"/>
                </w:tcPr>
                <w:p w14:paraId="2D8CD4C7">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900-052-31</w:t>
                  </w:r>
                </w:p>
              </w:tc>
              <w:tc>
                <w:tcPr>
                  <w:tcW w:w="442" w:type="pct"/>
                  <w:tcBorders>
                    <w:tl2br w:val="nil"/>
                    <w:tr2bl w:val="nil"/>
                  </w:tcBorders>
                  <w:noWrap w:val="0"/>
                  <w:vAlign w:val="center"/>
                </w:tcPr>
                <w:p w14:paraId="1A800EF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0.0675kg/a</w:t>
                  </w:r>
                </w:p>
              </w:tc>
              <w:tc>
                <w:tcPr>
                  <w:tcW w:w="391" w:type="pct"/>
                  <w:tcBorders>
                    <w:tl2br w:val="nil"/>
                    <w:tr2bl w:val="nil"/>
                  </w:tcBorders>
                  <w:noWrap w:val="0"/>
                  <w:vAlign w:val="center"/>
                </w:tcPr>
                <w:p w14:paraId="1D331C0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固态</w:t>
                  </w:r>
                </w:p>
              </w:tc>
              <w:tc>
                <w:tcPr>
                  <w:tcW w:w="535" w:type="pct"/>
                  <w:tcBorders>
                    <w:tl2br w:val="nil"/>
                    <w:tr2bl w:val="nil"/>
                  </w:tcBorders>
                  <w:noWrap w:val="0"/>
                  <w:vAlign w:val="center"/>
                </w:tcPr>
                <w:p w14:paraId="637DB3C3">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default"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含铅废物</w:t>
                  </w:r>
                </w:p>
              </w:tc>
              <w:tc>
                <w:tcPr>
                  <w:tcW w:w="399" w:type="pct"/>
                  <w:tcBorders>
                    <w:tl2br w:val="nil"/>
                    <w:tr2bl w:val="nil"/>
                  </w:tcBorders>
                  <w:noWrap w:val="0"/>
                  <w:vAlign w:val="center"/>
                </w:tcPr>
                <w:p w14:paraId="32FBBF2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4个月</w:t>
                  </w:r>
                </w:p>
              </w:tc>
              <w:tc>
                <w:tcPr>
                  <w:tcW w:w="442" w:type="pct"/>
                  <w:tcBorders>
                    <w:tl2br w:val="nil"/>
                    <w:tr2bl w:val="nil"/>
                  </w:tcBorders>
                  <w:noWrap w:val="0"/>
                  <w:vAlign w:val="center"/>
                </w:tcPr>
                <w:p w14:paraId="2E38829B">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T,C</w:t>
                  </w:r>
                </w:p>
              </w:tc>
              <w:tc>
                <w:tcPr>
                  <w:tcW w:w="442" w:type="pct"/>
                  <w:tcBorders>
                    <w:tl2br w:val="nil"/>
                    <w:tr2bl w:val="nil"/>
                  </w:tcBorders>
                  <w:noWrap w:val="0"/>
                  <w:vAlign w:val="center"/>
                </w:tcPr>
                <w:p w14:paraId="4169E250">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r>
                    <w:rPr>
                      <w:rFonts w:hint="eastAsia" w:ascii="Times New Roman" w:hAnsi="Times New Roman" w:eastAsia="宋体" w:cs="Times New Roman"/>
                      <w:b w:val="0"/>
                      <w:bCs/>
                      <w:color w:val="000000"/>
                      <w:sz w:val="15"/>
                      <w:szCs w:val="15"/>
                      <w:highlight w:val="none"/>
                      <w:u w:val="none"/>
                      <w:lang w:val="en-US" w:eastAsia="zh-CN"/>
                    </w:rPr>
                    <w:t>耐酸容器</w:t>
                  </w:r>
                </w:p>
              </w:tc>
              <w:tc>
                <w:tcPr>
                  <w:tcW w:w="442" w:type="pct"/>
                  <w:vMerge w:val="continue"/>
                  <w:tcBorders>
                    <w:tl2br w:val="nil"/>
                    <w:tr2bl w:val="nil"/>
                  </w:tcBorders>
                  <w:noWrap w:val="0"/>
                  <w:vAlign w:val="center"/>
                </w:tcPr>
                <w:p w14:paraId="5C9179FE">
                  <w:pPr>
                    <w:pStyle w:val="13"/>
                    <w:widowControl w:val="0"/>
                    <w:numPr>
                      <w:ilvl w:val="0"/>
                      <w:numId w:val="0"/>
                    </w:numPr>
                    <w:tabs>
                      <w:tab w:val="left" w:pos="0"/>
                    </w:tabs>
                    <w:spacing w:before="0" w:beforeLines="0" w:after="0" w:afterLines="0" w:line="240" w:lineRule="auto"/>
                    <w:ind w:left="0" w:leftChars="0" w:firstLineChars="0"/>
                    <w:jc w:val="center"/>
                    <w:textAlignment w:val="auto"/>
                    <w:rPr>
                      <w:rFonts w:hint="eastAsia" w:ascii="Times New Roman" w:hAnsi="Times New Roman" w:eastAsia="宋体" w:cs="Times New Roman"/>
                      <w:b w:val="0"/>
                      <w:bCs/>
                      <w:color w:val="000000"/>
                      <w:sz w:val="15"/>
                      <w:szCs w:val="15"/>
                      <w:highlight w:val="none"/>
                      <w:u w:val="none"/>
                      <w:lang w:val="en-US" w:eastAsia="zh-CN"/>
                    </w:rPr>
                  </w:pPr>
                </w:p>
              </w:tc>
            </w:tr>
            <w:bookmarkEnd w:id="11"/>
          </w:tbl>
          <w:p w14:paraId="170C8731">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eastAsia" w:ascii="Times New Roman" w:hAnsi="Times New Roman" w:eastAsia="宋体" w:cs="Times New Roman"/>
                <w:b/>
                <w:bCs/>
                <w:color w:val="auto"/>
                <w:sz w:val="21"/>
                <w:szCs w:val="21"/>
                <w:u w:val="none"/>
                <w:lang w:eastAsia="zh-CN"/>
              </w:rPr>
            </w:pPr>
          </w:p>
        </w:tc>
      </w:tr>
    </w:tbl>
    <w:p w14:paraId="7364DA1D">
      <w:p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C99F2B">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表四</w:t>
      </w:r>
      <w:r>
        <w:rPr>
          <w:rFonts w:hint="eastAsia" w:asciiTheme="minorEastAsia" w:hAnsiTheme="minorEastAsia" w:eastAsiaTheme="minorEastAsia" w:cstheme="minorEastAsia"/>
          <w:b/>
          <w:color w:val="000000"/>
          <w:sz w:val="24"/>
          <w:szCs w:val="24"/>
          <w:lang w:val="en-US" w:eastAsia="zh-CN"/>
        </w:rPr>
        <w:t xml:space="preserve">  建设项目环境影响报告表主要结论及审批部门决定</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BFE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9" w:hRule="atLeast"/>
          <w:jc w:val="center"/>
        </w:trPr>
        <w:tc>
          <w:tcPr>
            <w:tcW w:w="5000" w:type="pct"/>
          </w:tcPr>
          <w:p w14:paraId="379EFE50">
            <w:pPr>
              <w:spacing w:before="48" w:beforeLines="20"/>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建设项目环境影响报告表主要结论及审批部门审批决定：</w:t>
            </w:r>
          </w:p>
          <w:p w14:paraId="12B122B8">
            <w:pPr>
              <w:spacing w:after="0" w:line="360" w:lineRule="auto"/>
              <w:ind w:firstLine="482" w:firstLineChars="200"/>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1、环境影响报告表主要结论</w:t>
            </w:r>
          </w:p>
          <w:p w14:paraId="0B3412BD">
            <w:pPr>
              <w:widowControl w:val="0"/>
              <w:spacing w:after="0" w:line="360" w:lineRule="auto"/>
              <w:ind w:firstLine="480" w:firstLineChars="200"/>
              <w:jc w:val="both"/>
              <w:rPr>
                <w:rFonts w:hint="eastAsia" w:asciiTheme="minorEastAsia" w:hAnsiTheme="minorEastAsia" w:eastAsiaTheme="minorEastAsia" w:cstheme="minorEastAsia"/>
                <w:color w:val="000000"/>
                <w:sz w:val="24"/>
                <w:szCs w:val="24"/>
              </w:rPr>
            </w:pPr>
            <w:bookmarkStart w:id="12" w:name="_Toc16244"/>
            <w:bookmarkStart w:id="13" w:name="_Toc14540"/>
            <w:bookmarkStart w:id="14" w:name="_Toc2251"/>
            <w:bookmarkStart w:id="15" w:name="_Toc16408"/>
            <w:r>
              <w:rPr>
                <w:rFonts w:hint="eastAsia" w:ascii="宋体" w:hAnsi="宋体" w:eastAsia="宋体" w:cs="宋体"/>
                <w:sz w:val="24"/>
                <w:szCs w:val="24"/>
                <w:lang w:eastAsia="zh-CN"/>
              </w:rPr>
              <w:t>长春名玺报废汽车回收拆解有限公司建设项目</w:t>
            </w:r>
            <w:r>
              <w:rPr>
                <w:rFonts w:hint="eastAsia" w:asciiTheme="minorEastAsia" w:hAnsiTheme="minorEastAsia" w:eastAsiaTheme="minorEastAsia" w:cstheme="minorEastAsia"/>
                <w:color w:val="000000"/>
                <w:sz w:val="24"/>
                <w:szCs w:val="24"/>
              </w:rPr>
              <w:t>符合国家产业政策要求；项目营运期如能充分落实本报告提出的各项污染防治对策，可做到达标排放，对周围环境影响可接受。综上，在企业采取各项治理措施，确保污染物达标排放的情况下，本项目建设从环保角度看可行。</w:t>
            </w:r>
          </w:p>
          <w:p w14:paraId="3B13BBD8">
            <w:pPr>
              <w:widowControl w:val="0"/>
              <w:spacing w:after="0" w:line="360" w:lineRule="auto"/>
              <w:ind w:firstLine="482" w:firstLineChars="200"/>
              <w:jc w:val="both"/>
              <w:rPr>
                <w:rFonts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2、审批部门审批决定</w:t>
            </w:r>
            <w:bookmarkEnd w:id="12"/>
            <w:bookmarkEnd w:id="13"/>
            <w:bookmarkEnd w:id="14"/>
            <w:bookmarkEnd w:id="15"/>
          </w:p>
          <w:p w14:paraId="76CA1824">
            <w:pPr>
              <w:widowControl w:val="0"/>
              <w:spacing w:after="0" w:line="360" w:lineRule="auto"/>
              <w:ind w:firstLine="480" w:firstLineChars="200"/>
              <w:jc w:val="both"/>
              <w:rPr>
                <w:rFonts w:hint="default" w:ascii="Times New Roman" w:hAnsi="Times New Roman" w:cs="Times New Roman" w:eastAsiaTheme="minorEastAsia"/>
                <w:color w:val="000000"/>
                <w:sz w:val="24"/>
                <w:szCs w:val="24"/>
              </w:rPr>
            </w:pPr>
            <w:r>
              <w:rPr>
                <w:rFonts w:hint="default" w:ascii="Times New Roman" w:hAnsi="Times New Roman" w:cs="Times New Roman" w:eastAsiaTheme="minorEastAsia"/>
                <w:color w:val="000000"/>
                <w:sz w:val="24"/>
                <w:szCs w:val="24"/>
              </w:rPr>
              <w:t>本建设项目</w:t>
            </w:r>
            <w:r>
              <w:rPr>
                <w:rFonts w:hint="default" w:ascii="Times New Roman" w:hAnsi="Times New Roman" w:cs="Times New Roman" w:eastAsiaTheme="minorEastAsia"/>
                <w:color w:val="000000"/>
                <w:sz w:val="24"/>
                <w:szCs w:val="24"/>
                <w:lang w:val="en-US" w:eastAsia="zh-CN"/>
              </w:rPr>
              <w:t>于202</w:t>
            </w:r>
            <w:r>
              <w:rPr>
                <w:rFonts w:hint="eastAsia" w:ascii="Times New Roman" w:hAnsi="Times New Roman" w:cs="Times New Roman" w:eastAsiaTheme="minorEastAsia"/>
                <w:color w:val="000000"/>
                <w:sz w:val="24"/>
                <w:szCs w:val="24"/>
                <w:lang w:val="en-US" w:eastAsia="zh-CN"/>
              </w:rPr>
              <w:t>5</w:t>
            </w:r>
            <w:r>
              <w:rPr>
                <w:rFonts w:hint="default" w:ascii="Times New Roman" w:hAnsi="Times New Roman" w:cs="Times New Roman" w:eastAsiaTheme="minorEastAsia"/>
                <w:color w:val="000000"/>
                <w:sz w:val="24"/>
                <w:szCs w:val="24"/>
                <w:lang w:val="en-US" w:eastAsia="zh-CN"/>
              </w:rPr>
              <w:t>年</w:t>
            </w:r>
            <w:r>
              <w:rPr>
                <w:rFonts w:hint="eastAsia" w:ascii="Times New Roman" w:hAnsi="Times New Roman" w:cs="Times New Roman" w:eastAsiaTheme="minorEastAsia"/>
                <w:color w:val="000000"/>
                <w:sz w:val="24"/>
                <w:szCs w:val="24"/>
                <w:lang w:val="en-US" w:eastAsia="zh-CN"/>
              </w:rPr>
              <w:t>7</w:t>
            </w:r>
            <w:r>
              <w:rPr>
                <w:rFonts w:hint="default" w:ascii="Times New Roman" w:hAnsi="Times New Roman" w:cs="Times New Roman" w:eastAsiaTheme="minorEastAsia"/>
                <w:color w:val="000000"/>
                <w:sz w:val="24"/>
                <w:szCs w:val="24"/>
                <w:lang w:val="en-US" w:eastAsia="zh-CN"/>
              </w:rPr>
              <w:t>月</w:t>
            </w:r>
            <w:r>
              <w:rPr>
                <w:rFonts w:hint="eastAsia" w:ascii="Times New Roman" w:hAnsi="Times New Roman" w:cs="Times New Roman" w:eastAsiaTheme="minorEastAsia"/>
                <w:color w:val="000000"/>
                <w:sz w:val="24"/>
                <w:szCs w:val="24"/>
                <w:lang w:val="en-US" w:eastAsia="zh-CN"/>
              </w:rPr>
              <w:t>7</w:t>
            </w:r>
            <w:r>
              <w:rPr>
                <w:rFonts w:hint="default" w:ascii="Times New Roman" w:hAnsi="Times New Roman" w:cs="Times New Roman" w:eastAsiaTheme="minorEastAsia"/>
                <w:color w:val="000000"/>
                <w:sz w:val="24"/>
                <w:szCs w:val="24"/>
                <w:lang w:val="en-US" w:eastAsia="zh-CN"/>
              </w:rPr>
              <w:t>日</w:t>
            </w:r>
            <w:r>
              <w:rPr>
                <w:rFonts w:hint="default" w:ascii="Times New Roman" w:hAnsi="Times New Roman" w:cs="Times New Roman" w:eastAsiaTheme="minorEastAsia"/>
                <w:color w:val="000000"/>
                <w:sz w:val="24"/>
                <w:szCs w:val="24"/>
              </w:rPr>
              <w:t>取得</w:t>
            </w:r>
            <w:r>
              <w:rPr>
                <w:rFonts w:hint="default" w:ascii="Times New Roman" w:hAnsi="Times New Roman" w:cs="Times New Roman" w:eastAsiaTheme="minorEastAsia"/>
                <w:color w:val="000000"/>
                <w:sz w:val="24"/>
                <w:szCs w:val="24"/>
                <w:lang w:val="en-US" w:eastAsia="zh-CN"/>
              </w:rPr>
              <w:t>了</w:t>
            </w:r>
            <w:r>
              <w:rPr>
                <w:rFonts w:hint="default" w:ascii="Times New Roman" w:hAnsi="Times New Roman" w:cs="Times New Roman" w:eastAsiaTheme="minorEastAsia"/>
                <w:color w:val="000000"/>
                <w:sz w:val="24"/>
                <w:szCs w:val="24"/>
              </w:rPr>
              <w:t>《关于</w:t>
            </w:r>
            <w:r>
              <w:rPr>
                <w:rFonts w:hint="eastAsia" w:ascii="宋体" w:hAnsi="宋体" w:eastAsia="宋体" w:cs="宋体"/>
                <w:sz w:val="24"/>
                <w:szCs w:val="24"/>
                <w:lang w:eastAsia="zh-CN"/>
              </w:rPr>
              <w:t>长春名玺报废汽车回收拆解有限公司建设项目</w:t>
            </w:r>
            <w:r>
              <w:rPr>
                <w:rFonts w:hint="default" w:ascii="Times New Roman" w:hAnsi="Times New Roman" w:cs="Times New Roman" w:eastAsiaTheme="minorEastAsia"/>
                <w:color w:val="000000"/>
                <w:sz w:val="24"/>
                <w:szCs w:val="24"/>
              </w:rPr>
              <w:t>环境影响评价报告表的批复》</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sz w:val="24"/>
                <w:szCs w:val="24"/>
                <w:lang w:val="en-US" w:eastAsia="zh-CN"/>
              </w:rPr>
              <w:t>长</w:t>
            </w:r>
            <w:r>
              <w:rPr>
                <w:rFonts w:hint="default" w:ascii="Times New Roman" w:hAnsi="Times New Roman" w:cs="Times New Roman" w:eastAsiaTheme="minorEastAsia"/>
                <w:sz w:val="24"/>
                <w:szCs w:val="24"/>
                <w:lang w:eastAsia="zh-CN"/>
              </w:rPr>
              <w:t>环</w:t>
            </w:r>
            <w:r>
              <w:rPr>
                <w:rFonts w:hint="default" w:ascii="Times New Roman" w:hAnsi="Times New Roman" w:cs="Times New Roman" w:eastAsiaTheme="minorEastAsia"/>
                <w:sz w:val="24"/>
                <w:szCs w:val="24"/>
                <w:lang w:val="en-US" w:eastAsia="zh-CN"/>
              </w:rPr>
              <w:t>建</w:t>
            </w:r>
            <w:r>
              <w:rPr>
                <w:rFonts w:hint="default" w:ascii="Times New Roman" w:hAnsi="Times New Roman" w:cs="Times New Roman" w:eastAsiaTheme="minorEastAsia"/>
                <w:sz w:val="24"/>
                <w:szCs w:val="24"/>
                <w:lang w:eastAsia="zh-CN"/>
              </w:rPr>
              <w:t>（表）〔202</w:t>
            </w:r>
            <w:r>
              <w:rPr>
                <w:rFonts w:hint="eastAsia" w:ascii="Times New Roman" w:hAnsi="Times New Roman" w:cs="Times New Roman" w:eastAsiaTheme="minorEastAsia"/>
                <w:sz w:val="24"/>
                <w:szCs w:val="24"/>
                <w:lang w:val="en-US" w:eastAsia="zh-CN"/>
              </w:rPr>
              <w:t>5</w:t>
            </w:r>
            <w:r>
              <w:rPr>
                <w:rFonts w:hint="default" w:ascii="Times New Roman" w:hAnsi="Times New Roman" w:cs="Times New Roman" w:eastAsiaTheme="minorEastAsia"/>
                <w:sz w:val="24"/>
                <w:szCs w:val="24"/>
                <w:lang w:eastAsia="zh-CN"/>
              </w:rPr>
              <w:t>〕</w:t>
            </w:r>
            <w:r>
              <w:rPr>
                <w:rFonts w:hint="eastAsia" w:ascii="Times New Roman" w:hAnsi="Times New Roman" w:cs="Times New Roman" w:eastAsiaTheme="minorEastAsia"/>
                <w:sz w:val="24"/>
                <w:szCs w:val="24"/>
                <w:lang w:val="en-US" w:eastAsia="zh-CN"/>
              </w:rPr>
              <w:t>11</w:t>
            </w:r>
            <w:r>
              <w:rPr>
                <w:rFonts w:hint="default" w:ascii="Times New Roman" w:hAnsi="Times New Roman" w:cs="Times New Roman" w:eastAsiaTheme="minorEastAsia"/>
                <w:sz w:val="24"/>
                <w:szCs w:val="24"/>
                <w:lang w:eastAsia="zh-CN"/>
              </w:rPr>
              <w:t>号</w:t>
            </w:r>
            <w:r>
              <w:rPr>
                <w:rFonts w:hint="default" w:ascii="Times New Roman" w:hAnsi="Times New Roman" w:cs="Times New Roman" w:eastAsiaTheme="minorEastAsia"/>
                <w:color w:val="000000"/>
                <w:sz w:val="24"/>
                <w:szCs w:val="24"/>
                <w:lang w:eastAsia="zh-CN"/>
              </w:rPr>
              <w:t>）</w:t>
            </w:r>
            <w:r>
              <w:rPr>
                <w:rFonts w:hint="default" w:ascii="Times New Roman" w:hAnsi="Times New Roman" w:cs="Times New Roman" w:eastAsiaTheme="minorEastAsia"/>
                <w:color w:val="000000"/>
                <w:sz w:val="24"/>
                <w:szCs w:val="24"/>
              </w:rPr>
              <w:t>，环评批复及落实情况见表</w:t>
            </w:r>
            <w:r>
              <w:rPr>
                <w:rFonts w:hint="default" w:ascii="Times New Roman" w:hAnsi="Times New Roman" w:cs="Times New Roman" w:eastAsiaTheme="minorEastAsia"/>
                <w:color w:val="000000"/>
                <w:sz w:val="24"/>
                <w:szCs w:val="24"/>
                <w:lang w:val="en-US" w:eastAsia="zh-CN"/>
              </w:rPr>
              <w:t>4-1</w:t>
            </w:r>
            <w:r>
              <w:rPr>
                <w:rFonts w:hint="default" w:ascii="Times New Roman" w:hAnsi="Times New Roman" w:cs="Times New Roman" w:eastAsiaTheme="minorEastAsia"/>
                <w:color w:val="000000"/>
                <w:sz w:val="24"/>
                <w:szCs w:val="24"/>
              </w:rPr>
              <w:t>。</w:t>
            </w:r>
          </w:p>
          <w:p w14:paraId="7B908F5E">
            <w:pPr>
              <w:pStyle w:val="23"/>
              <w:rPr>
                <w:szCs w:val="22"/>
                <w:u w:val="none"/>
              </w:rPr>
            </w:pPr>
            <w:r>
              <w:rPr>
                <w:rFonts w:hint="eastAsia"/>
                <w:szCs w:val="22"/>
                <w:u w:val="none"/>
              </w:rPr>
              <w:t>表</w:t>
            </w:r>
            <w:r>
              <w:rPr>
                <w:rFonts w:hint="eastAsia"/>
                <w:szCs w:val="22"/>
                <w:u w:val="none"/>
                <w:lang w:val="en-US" w:eastAsia="zh-CN"/>
              </w:rPr>
              <w:t xml:space="preserve">4-1  </w:t>
            </w:r>
            <w:r>
              <w:rPr>
                <w:rFonts w:hint="eastAsia"/>
                <w:szCs w:val="22"/>
                <w:u w:val="none"/>
              </w:rPr>
              <w:t xml:space="preserve"> 环评批复及落实情况一览表</w:t>
            </w:r>
          </w:p>
          <w:tbl>
            <w:tblPr>
              <w:tblStyle w:val="10"/>
              <w:tblW w:w="5000" w:type="pct"/>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423"/>
              <w:gridCol w:w="3883"/>
            </w:tblGrid>
            <w:tr w14:paraId="6289D1C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2662" w:type="pct"/>
                  <w:vAlign w:val="center"/>
                </w:tcPr>
                <w:p w14:paraId="26DD05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lang w:eastAsia="zh-CN"/>
                    </w:rPr>
                  </w:pPr>
                  <w:r>
                    <w:rPr>
                      <w:rFonts w:hint="default" w:ascii="Times New Roman" w:hAnsi="Times New Roman" w:cs="Times New Roman" w:eastAsiaTheme="minorEastAsia"/>
                      <w:sz w:val="21"/>
                      <w:szCs w:val="21"/>
                      <w:lang w:val="en-US" w:eastAsia="zh-CN"/>
                    </w:rPr>
                    <w:t>长</w:t>
                  </w:r>
                  <w:r>
                    <w:rPr>
                      <w:rFonts w:hint="default" w:ascii="Times New Roman" w:hAnsi="Times New Roman" w:cs="Times New Roman" w:eastAsiaTheme="minorEastAsia"/>
                      <w:sz w:val="21"/>
                      <w:szCs w:val="21"/>
                      <w:lang w:eastAsia="zh-CN"/>
                    </w:rPr>
                    <w:t>环</w:t>
                  </w:r>
                  <w:r>
                    <w:rPr>
                      <w:rFonts w:hint="default" w:ascii="Times New Roman" w:hAnsi="Times New Roman" w:cs="Times New Roman" w:eastAsiaTheme="minorEastAsia"/>
                      <w:sz w:val="21"/>
                      <w:szCs w:val="21"/>
                      <w:lang w:val="en-US" w:eastAsia="zh-CN"/>
                    </w:rPr>
                    <w:t>建</w:t>
                  </w:r>
                  <w:r>
                    <w:rPr>
                      <w:rFonts w:hint="default" w:ascii="Times New Roman" w:hAnsi="Times New Roman" w:cs="Times New Roman" w:eastAsiaTheme="minorEastAsia"/>
                      <w:sz w:val="21"/>
                      <w:szCs w:val="21"/>
                      <w:lang w:eastAsia="zh-CN"/>
                    </w:rPr>
                    <w:t>（表）〔202</w:t>
                  </w:r>
                  <w:r>
                    <w:rPr>
                      <w:rFonts w:hint="eastAsia"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lang w:eastAsia="zh-CN"/>
                    </w:rPr>
                    <w:t>〕</w:t>
                  </w:r>
                  <w:r>
                    <w:rPr>
                      <w:rFonts w:hint="eastAsia" w:ascii="Times New Roman" w:hAnsi="Times New Roman" w:cs="Times New Roman" w:eastAsiaTheme="minorEastAsia"/>
                      <w:sz w:val="21"/>
                      <w:szCs w:val="21"/>
                      <w:lang w:val="en-US" w:eastAsia="zh-CN"/>
                    </w:rPr>
                    <w:t>11</w:t>
                  </w:r>
                  <w:r>
                    <w:rPr>
                      <w:rFonts w:hint="default" w:ascii="Times New Roman" w:hAnsi="Times New Roman" w:cs="Times New Roman" w:eastAsiaTheme="minorEastAsia"/>
                      <w:sz w:val="21"/>
                      <w:szCs w:val="21"/>
                      <w:lang w:eastAsia="zh-CN"/>
                    </w:rPr>
                    <w:t>号</w:t>
                  </w:r>
                </w:p>
              </w:tc>
              <w:tc>
                <w:tcPr>
                  <w:tcW w:w="2337" w:type="pct"/>
                  <w:vAlign w:val="center"/>
                </w:tcPr>
                <w:p w14:paraId="0B278A2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落实情况</w:t>
                  </w:r>
                </w:p>
              </w:tc>
            </w:tr>
            <w:tr w14:paraId="4D529AE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2662" w:type="pct"/>
                  <w:vAlign w:val="center"/>
                </w:tcPr>
                <w:p w14:paraId="494EFF9D">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en-US" w:eastAsia="zh-CN"/>
                    </w:rPr>
                    <w:t>加强施工期环境管理，采取切实可行的废气、废水及噪声防治措施，确保施工期大气、水、噪声等排放符合相关标准要求。</w:t>
                  </w:r>
                </w:p>
              </w:tc>
              <w:tc>
                <w:tcPr>
                  <w:tcW w:w="2337" w:type="pct"/>
                  <w:vAlign w:val="center"/>
                </w:tcPr>
                <w:p w14:paraId="1C9B81A6">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宋体" w:hAnsi="宋体" w:eastAsia="宋体" w:cs="宋体"/>
                      <w:color w:val="000000"/>
                      <w:sz w:val="21"/>
                      <w:szCs w:val="21"/>
                      <w:lang w:val="en-US" w:eastAsia="zh-CN"/>
                    </w:rPr>
                  </w:pPr>
                  <w:r>
                    <w:rPr>
                      <w:rFonts w:hint="eastAsia" w:ascii="宋体" w:hAnsi="宋体" w:eastAsia="宋体" w:cs="宋体"/>
                      <w:b w:val="0"/>
                      <w:bCs w:val="0"/>
                      <w:color w:val="000000"/>
                      <w:sz w:val="21"/>
                      <w:szCs w:val="21"/>
                      <w:lang w:val="en-US" w:eastAsia="zh-CN"/>
                    </w:rPr>
                    <w:t>已落实，施工期已结束</w:t>
                  </w:r>
                  <w:r>
                    <w:rPr>
                      <w:rFonts w:hint="eastAsia" w:ascii="宋体" w:hAnsi="宋体" w:eastAsia="宋体" w:cs="宋体"/>
                      <w:color w:val="000000"/>
                      <w:sz w:val="21"/>
                      <w:szCs w:val="21"/>
                      <w:lang w:val="zh-CN"/>
                    </w:rPr>
                    <w:t>。</w:t>
                  </w:r>
                </w:p>
              </w:tc>
            </w:tr>
            <w:tr w14:paraId="5655756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62" w:type="pct"/>
                  <w:vAlign w:val="center"/>
                </w:tcPr>
                <w:p w14:paraId="2735778A">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精拆、等离子切割、液压剪切、打包压块工序废 气由集气罩收集，经袋式除尘设备处理后，通过15高排气筒排放，产生的颗粒物排放速率和排放浓度须满足《大气污染物综合排放标准》(GB16297-1996)中表2二级排放限值要求；废油液抽取废气由集气罩收集，经活性炭吸附装置处  理后，通过15米高排气筒排放，产生的非甲烷总烃排放速  率和排放浓度须满足《大气污染物综合排放标准》(GB16297-1996)中表2二级排放限值要求；危废暂存间废气经负压收集、防酸滤铅网过滤、活性炭吸附处理后，通过15米高排气筒排放，产生的非甲烷总烃等主要污染物排放速率和排放浓度须满足《大气污染物综合排放标准》(GB16297-1996)中表2二级排放限值要求。</w:t>
                  </w:r>
                </w:p>
                <w:p w14:paraId="744DB78B">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zh-CN"/>
                    </w:rPr>
                  </w:pPr>
                  <w:r>
                    <w:rPr>
                      <w:rFonts w:hint="default" w:ascii="Times New Roman" w:hAnsi="Times New Roman" w:eastAsia="宋体" w:cs="Times New Roman"/>
                      <w:sz w:val="21"/>
                      <w:szCs w:val="21"/>
                      <w:lang w:val="en-US" w:eastAsia="zh-CN"/>
                    </w:rPr>
                    <w:t>无组织排放的颗粒物、非甲烷总烃、硫酸雾、铅及其化合物等污染物，厂区周界外须满足《大气污染物综合排放标准》(GB16297-1996)中表2无组织排放监控浓度限值要求，厂区内非甲烷总烃须满足地方政府改善生态环境质量的特别要求。</w:t>
                  </w:r>
                </w:p>
              </w:tc>
              <w:tc>
                <w:tcPr>
                  <w:tcW w:w="2337" w:type="pct"/>
                  <w:vAlign w:val="center"/>
                </w:tcPr>
                <w:p w14:paraId="371B969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eastAsia" w:ascii="Times New Roman" w:hAnsi="Times New Roman" w:eastAsia="宋体" w:cs="Times New Roman"/>
                      <w:color w:val="000000"/>
                      <w:kern w:val="0"/>
                      <w:sz w:val="21"/>
                      <w:szCs w:val="21"/>
                      <w:u w:val="none"/>
                      <w:lang w:val="en-US" w:eastAsia="zh-CN"/>
                    </w:rPr>
                    <w:t>项目精拆、剪切、切割、打包压块过程产生的颗粒物经集气罩进行收集（收集效率80%）；拆解预处理、废油液抽取工序产生的有机废气非甲烷总烃经集气罩收集；危废暂存间产生的有机废气通过负压收集（收集效率90%）；危废暂存间内破损铅蓄电池产生的硫酸雾、铅及其化合物经负压收集（收集效率90%）+防酸滤铅网处理（处理效率80%）；一并经车间外一套袋式除尘设备（处理效率95%）+二级活性炭吸附装置（处理效率80%）处理后，通过15m高排气筒DA001排放</w:t>
                  </w:r>
                  <w:r>
                    <w:rPr>
                      <w:rFonts w:hint="default"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经检测结果可知，排放的颗粒物、非甲烷总烃、硫酸雾、</w:t>
                  </w:r>
                  <w:r>
                    <w:rPr>
                      <w:rFonts w:hint="default" w:ascii="Times New Roman" w:hAnsi="Times New Roman" w:eastAsia="宋体" w:cs="Times New Roman"/>
                      <w:color w:val="000000"/>
                      <w:sz w:val="21"/>
                      <w:szCs w:val="21"/>
                      <w:lang w:val="zh-CN"/>
                    </w:rPr>
                    <w:t>铅及其化合物排放速率及排放浓度</w:t>
                  </w:r>
                  <w:r>
                    <w:rPr>
                      <w:rFonts w:hint="default" w:ascii="Times New Roman" w:hAnsi="Times New Roman" w:eastAsia="宋体" w:cs="Times New Roman"/>
                      <w:color w:val="000000"/>
                      <w:sz w:val="21"/>
                      <w:szCs w:val="21"/>
                      <w:lang w:val="en-US" w:eastAsia="zh-CN"/>
                    </w:rPr>
                    <w:t>均</w:t>
                  </w:r>
                  <w:r>
                    <w:rPr>
                      <w:rFonts w:hint="default" w:ascii="Times New Roman" w:hAnsi="Times New Roman" w:eastAsia="宋体" w:cs="Times New Roman"/>
                      <w:color w:val="000000"/>
                      <w:sz w:val="21"/>
                      <w:szCs w:val="21"/>
                      <w:lang w:val="zh-CN"/>
                    </w:rPr>
                    <w:t>满足《大气污染物综合排放标准》（GB16297-1996）中二级排放标准要求；厂界无组织废气中颗粒物、非甲烷总烃</w:t>
                  </w:r>
                  <w:r>
                    <w:rPr>
                      <w:rFonts w:hint="eastAsia"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硫酸雾、</w:t>
                  </w:r>
                  <w:r>
                    <w:rPr>
                      <w:rFonts w:hint="default" w:ascii="Times New Roman" w:hAnsi="Times New Roman" w:eastAsia="宋体" w:cs="Times New Roman"/>
                      <w:color w:val="000000"/>
                      <w:sz w:val="21"/>
                      <w:szCs w:val="21"/>
                      <w:lang w:val="zh-CN"/>
                    </w:rPr>
                    <w:t>铅及其化合物排放浓度满足《大气污染物综合排放标准》（GB16297-1996）中无组织排放标准要求；车间外非甲烷总烃排放浓度满足《挥发性有机物无组织排放控制标准》（GB37822-2019）厂区内VOCs无组织排放限值中特别排放限值要求。</w:t>
                  </w:r>
                </w:p>
              </w:tc>
            </w:tr>
            <w:tr w14:paraId="2A2B6D8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768" w:hRule="atLeast"/>
              </w:trPr>
              <w:tc>
                <w:tcPr>
                  <w:tcW w:w="2662" w:type="pct"/>
                  <w:vAlign w:val="center"/>
                </w:tcPr>
                <w:p w14:paraId="31F018FE">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en-US" w:eastAsia="zh-CN"/>
                    </w:rPr>
                    <w:t>厂区地面清洗废水、初期雨水分别经油水分离器处理后，与生活污水一并满足《污水综合排放标准》(GB8978-1996)表4三级标准要求，经市政排水管网排入长春绿园西新工业集中区污水处理厂处理达标后，进入新凯河。</w:t>
                  </w:r>
                </w:p>
              </w:tc>
              <w:tc>
                <w:tcPr>
                  <w:tcW w:w="2337" w:type="pct"/>
                  <w:vAlign w:val="center"/>
                </w:tcPr>
                <w:p w14:paraId="3A53287F">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已落实，</w:t>
                  </w:r>
                  <w:r>
                    <w:rPr>
                      <w:rFonts w:hint="eastAsia" w:ascii="Times New Roman" w:hAnsi="Times New Roman" w:eastAsia="宋体" w:cs="Times New Roman"/>
                      <w:sz w:val="21"/>
                      <w:szCs w:val="21"/>
                      <w:lang w:val="zh-CN" w:eastAsia="zh-CN"/>
                    </w:rPr>
                    <w:t>厂区初期雨水、地面清洗水经</w:t>
                  </w:r>
                  <w:r>
                    <w:rPr>
                      <w:rFonts w:hint="default" w:ascii="Times New Roman" w:hAnsi="Times New Roman" w:eastAsia="宋体" w:cs="Times New Roman"/>
                      <w:sz w:val="21"/>
                      <w:szCs w:val="21"/>
                      <w:lang w:val="en-US" w:eastAsia="zh-CN"/>
                    </w:rPr>
                    <w:t>油水分离器</w:t>
                  </w:r>
                  <w:r>
                    <w:rPr>
                      <w:rFonts w:hint="eastAsia" w:ascii="Times New Roman" w:hAnsi="Times New Roman" w:eastAsia="宋体" w:cs="Times New Roman"/>
                      <w:sz w:val="21"/>
                      <w:szCs w:val="21"/>
                      <w:lang w:val="zh-CN" w:eastAsia="zh-CN"/>
                    </w:rPr>
                    <w:t>处理后，与生活污水一并收集后经市政污水管网进入</w:t>
                  </w:r>
                  <w:r>
                    <w:rPr>
                      <w:rFonts w:hint="default" w:ascii="Times New Roman" w:hAnsi="Times New Roman" w:eastAsia="宋体" w:cs="Times New Roman"/>
                      <w:sz w:val="21"/>
                      <w:szCs w:val="21"/>
                      <w:lang w:val="en-US" w:eastAsia="zh-CN"/>
                    </w:rPr>
                    <w:t>长春绿园西新工业集中区污水处理厂</w:t>
                  </w:r>
                  <w:r>
                    <w:rPr>
                      <w:rFonts w:hint="eastAsia" w:ascii="Times New Roman" w:hAnsi="Times New Roman" w:eastAsia="宋体" w:cs="Times New Roman"/>
                      <w:sz w:val="21"/>
                      <w:szCs w:val="21"/>
                      <w:lang w:val="zh-CN" w:eastAsia="zh-CN"/>
                    </w:rPr>
                    <w:t>进行处理，</w:t>
                  </w:r>
                  <w:r>
                    <w:rPr>
                      <w:rFonts w:hint="eastAsia" w:ascii="Times New Roman" w:hAnsi="Times New Roman" w:eastAsia="宋体" w:cs="Times New Roman"/>
                      <w:sz w:val="21"/>
                      <w:szCs w:val="21"/>
                      <w:lang w:val="en-US" w:eastAsia="zh-CN"/>
                    </w:rPr>
                    <w:t>经检测结果可知：厂区废水总排口中各污染物浓度均满足</w:t>
                  </w:r>
                  <w:r>
                    <w:rPr>
                      <w:rFonts w:hint="eastAsia" w:ascii="Times New Roman" w:hAnsi="Times New Roman" w:eastAsia="宋体" w:cs="Times New Roman"/>
                      <w:sz w:val="21"/>
                      <w:szCs w:val="21"/>
                      <w:lang w:val="zh-CN" w:eastAsia="zh-CN"/>
                    </w:rPr>
                    <w:t>《污水综合排放标准》（GB8978-1996）中三级排放标准。</w:t>
                  </w:r>
                </w:p>
              </w:tc>
            </w:tr>
            <w:tr w14:paraId="464E4B0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62" w:type="pct"/>
                  <w:vAlign w:val="center"/>
                </w:tcPr>
                <w:p w14:paraId="588CC306">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通过选用低噪声设备、采取降噪隔声等措施，厂界噪声须满足《工业企业厂界环境噪声排放标准》(GB12348-2008)相应标准要求</w:t>
                  </w:r>
                  <w:r>
                    <w:rPr>
                      <w:rFonts w:hint="default" w:ascii="Times New Roman" w:hAnsi="Times New Roman" w:eastAsia="宋体" w:cs="Times New Roman"/>
                      <w:sz w:val="21"/>
                      <w:szCs w:val="21"/>
                      <w:lang w:val="zh-CN" w:eastAsia="zh-CN"/>
                    </w:rPr>
                    <w:t>。</w:t>
                  </w:r>
                </w:p>
              </w:tc>
              <w:tc>
                <w:tcPr>
                  <w:tcW w:w="2337" w:type="pct"/>
                  <w:vAlign w:val="center"/>
                </w:tcPr>
                <w:p w14:paraId="6913B072">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已落实，本项目采取减振、建筑隔声等措施，经检测结果可知，</w:t>
                  </w:r>
                  <w:r>
                    <w:rPr>
                      <w:rFonts w:hint="eastAsia" w:ascii="Times New Roman" w:hAnsi="Times New Roman" w:eastAsia="宋体" w:cs="Times New Roman"/>
                      <w:sz w:val="21"/>
                      <w:szCs w:val="21"/>
                      <w:lang w:val="zh-CN" w:eastAsia="zh-CN"/>
                    </w:rPr>
                    <w:t>厂界</w:t>
                  </w:r>
                  <w:r>
                    <w:rPr>
                      <w:rFonts w:hint="eastAsia" w:ascii="Times New Roman" w:hAnsi="Times New Roman" w:eastAsia="宋体" w:cs="Times New Roman"/>
                      <w:sz w:val="21"/>
                      <w:szCs w:val="21"/>
                      <w:lang w:val="en-US" w:eastAsia="zh-CN"/>
                    </w:rPr>
                    <w:t>噪声满足</w:t>
                  </w:r>
                  <w:r>
                    <w:rPr>
                      <w:rFonts w:hint="eastAsia" w:ascii="Times New Roman" w:hAnsi="Times New Roman" w:eastAsia="宋体" w:cs="Times New Roman"/>
                      <w:sz w:val="21"/>
                      <w:szCs w:val="21"/>
                      <w:lang w:val="zh-CN" w:eastAsia="zh-CN"/>
                    </w:rPr>
                    <w:t>《工业企业厂界环境噪声排放标准》（GB12348-2008）</w:t>
                  </w:r>
                  <w:r>
                    <w:rPr>
                      <w:rFonts w:hint="eastAsia" w:ascii="Times New Roman" w:hAnsi="Times New Roman" w:eastAsia="宋体" w:cs="Times New Roman"/>
                      <w:sz w:val="21"/>
                      <w:szCs w:val="21"/>
                      <w:lang w:val="en-US" w:eastAsia="zh-CN"/>
                    </w:rPr>
                    <w:t>中2类标准</w:t>
                  </w:r>
                  <w:r>
                    <w:rPr>
                      <w:rFonts w:hint="eastAsia" w:ascii="Times New Roman" w:hAnsi="Times New Roman" w:eastAsia="宋体" w:cs="Times New Roman"/>
                      <w:sz w:val="21"/>
                      <w:szCs w:val="21"/>
                      <w:lang w:val="zh-CN" w:eastAsia="zh-CN"/>
                    </w:rPr>
                    <w:t>要求。</w:t>
                  </w:r>
                </w:p>
              </w:tc>
            </w:tr>
            <w:tr w14:paraId="15CC17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186" w:hRule="atLeast"/>
              </w:trPr>
              <w:tc>
                <w:tcPr>
                  <w:tcW w:w="2662" w:type="pct"/>
                  <w:vAlign w:val="center"/>
                </w:tcPr>
                <w:p w14:paraId="26F871CC">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zh-CN" w:eastAsia="zh-CN"/>
                    </w:rPr>
                  </w:pPr>
                  <w:r>
                    <w:rPr>
                      <w:rFonts w:hint="default" w:ascii="Times New Roman" w:hAnsi="Times New Roman" w:eastAsia="宋体" w:cs="Times New Roman"/>
                      <w:sz w:val="21"/>
                      <w:szCs w:val="21"/>
                      <w:lang w:val="en-US" w:eastAsia="zh-CN"/>
                    </w:rPr>
                    <w:t>厂区固体废物须分类收集，妥善处置。产生的废铅蓄电池、废矿物油与含矿物油废物等危险废物须送有资质单位处置；废制冷剂交由具有资质单位处置；其他可回收利用的一般固废，送至相应单位回收综合利用，生活垃圾等交由环卫部门处理。</w:t>
                  </w:r>
                </w:p>
              </w:tc>
              <w:tc>
                <w:tcPr>
                  <w:tcW w:w="2337" w:type="pct"/>
                  <w:vAlign w:val="center"/>
                </w:tcPr>
                <w:p w14:paraId="3C86C484">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已落实，本项目产生的危险废物</w:t>
                  </w:r>
                  <w:r>
                    <w:rPr>
                      <w:rFonts w:hint="eastAsia" w:ascii="Times New Roman" w:hAnsi="Times New Roman" w:eastAsia="宋体" w:cs="Times New Roman"/>
                      <w:sz w:val="21"/>
                      <w:szCs w:val="21"/>
                      <w:lang w:val="zh-CN" w:eastAsia="zh-CN"/>
                    </w:rPr>
                    <w:t>暂存至危废暂存间，定期由有资质单位进行处理；</w:t>
                  </w:r>
                  <w:r>
                    <w:rPr>
                      <w:rFonts w:hint="eastAsia" w:ascii="Times New Roman" w:hAnsi="Times New Roman" w:eastAsia="宋体" w:cs="Times New Roman"/>
                      <w:sz w:val="21"/>
                      <w:szCs w:val="21"/>
                      <w:lang w:val="en-US" w:eastAsia="zh-CN"/>
                    </w:rPr>
                    <w:t>一般固体废物中</w:t>
                  </w:r>
                  <w:r>
                    <w:rPr>
                      <w:rFonts w:hint="eastAsia" w:ascii="Times New Roman" w:hAnsi="Times New Roman" w:eastAsia="宋体" w:cs="Times New Roman"/>
                      <w:sz w:val="21"/>
                      <w:szCs w:val="21"/>
                      <w:lang w:val="zh-CN" w:eastAsia="zh-CN"/>
                    </w:rPr>
                    <w:t>废制冷剂委托具有相关资质单位进行处理；</w:t>
                  </w:r>
                  <w:r>
                    <w:rPr>
                      <w:rFonts w:hint="eastAsia" w:ascii="Times New Roman" w:hAnsi="Times New Roman" w:eastAsia="宋体" w:cs="Times New Roman"/>
                      <w:sz w:val="21"/>
                      <w:szCs w:val="21"/>
                      <w:lang w:val="en-US" w:eastAsia="zh-CN"/>
                    </w:rPr>
                    <w:t>其他可利用的一般固体废物外售综合利用处理；</w:t>
                  </w:r>
                  <w:r>
                    <w:rPr>
                      <w:rFonts w:hint="eastAsia" w:ascii="Times New Roman" w:hAnsi="Times New Roman" w:eastAsia="宋体" w:cs="Times New Roman"/>
                      <w:sz w:val="21"/>
                      <w:szCs w:val="21"/>
                      <w:lang w:val="zh-CN" w:eastAsia="zh-CN"/>
                    </w:rPr>
                    <w:t>生活垃圾定期由环卫部门统一处理</w:t>
                  </w:r>
                  <w:r>
                    <w:rPr>
                      <w:rFonts w:hint="eastAsia" w:ascii="Times New Roman" w:hAnsi="Times New Roman" w:eastAsia="宋体" w:cs="Times New Roman"/>
                      <w:sz w:val="21"/>
                      <w:szCs w:val="21"/>
                      <w:lang w:val="en-US" w:eastAsia="zh-CN"/>
                    </w:rPr>
                    <w:t>，不会造成二次污染。</w:t>
                  </w:r>
                </w:p>
              </w:tc>
            </w:tr>
            <w:tr w14:paraId="04BBB12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662" w:type="pct"/>
                  <w:vAlign w:val="center"/>
                </w:tcPr>
                <w:p w14:paraId="423D2BC8">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eastAsia" w:ascii="Times New Roman" w:hAnsi="Times New Roman" w:eastAsia="宋体" w:cs="Times New Roman"/>
                      <w:color w:val="000000"/>
                      <w:sz w:val="21"/>
                      <w:szCs w:val="21"/>
                      <w:lang w:val="zh-CN"/>
                    </w:rPr>
                  </w:pPr>
                  <w:r>
                    <w:rPr>
                      <w:rFonts w:hint="default" w:ascii="Times New Roman" w:hAnsi="Times New Roman" w:eastAsia="宋体" w:cs="Times New Roman"/>
                      <w:color w:val="000000"/>
                      <w:sz w:val="21"/>
                      <w:szCs w:val="21"/>
                      <w:lang w:val="zh-CN"/>
                    </w:rPr>
                    <w:t>制定突发环境事件应急预案，落实环境风险防范措施，并按要求到生态环境部门备案。落实源头控制和分区防控措施，做好厂区雨污分流，避免土壤和地下水污染。</w:t>
                  </w:r>
                </w:p>
              </w:tc>
              <w:tc>
                <w:tcPr>
                  <w:tcW w:w="2337" w:type="pct"/>
                  <w:vAlign w:val="center"/>
                </w:tcPr>
                <w:p w14:paraId="7AA25B87">
                  <w:pPr>
                    <w:keepNext w:val="0"/>
                    <w:keepLines w:val="0"/>
                    <w:pageBreakBefore w:val="0"/>
                    <w:widowControl/>
                    <w:kinsoku/>
                    <w:wordWrap/>
                    <w:overflowPunct/>
                    <w:topLinePunct w:val="0"/>
                    <w:autoSpaceDE/>
                    <w:autoSpaceDN/>
                    <w:bidi w:val="0"/>
                    <w:adjustRightInd/>
                    <w:snapToGrid/>
                    <w:spacing w:after="0" w:line="240" w:lineRule="auto"/>
                    <w:ind w:firstLine="420" w:firstLineChars="200"/>
                    <w:jc w:val="both"/>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sz w:val="21"/>
                      <w:szCs w:val="21"/>
                      <w:lang w:val="en-US" w:eastAsia="zh-CN"/>
                    </w:rPr>
                    <w:t>已落实，厂区已</w:t>
                  </w:r>
                  <w:r>
                    <w:rPr>
                      <w:rFonts w:hint="default" w:ascii="Times New Roman" w:hAnsi="Times New Roman" w:eastAsia="宋体" w:cs="Times New Roman"/>
                      <w:color w:val="000000"/>
                      <w:sz w:val="21"/>
                      <w:szCs w:val="21"/>
                      <w:lang w:val="zh-CN"/>
                    </w:rPr>
                    <w:t>制定突发环境事件应急预案，并报生态环境行政主管部门备案，</w:t>
                  </w:r>
                  <w:r>
                    <w:rPr>
                      <w:rFonts w:hint="default" w:ascii="Times New Roman" w:hAnsi="Times New Roman" w:eastAsia="宋体" w:cs="Times New Roman"/>
                      <w:color w:val="000000"/>
                      <w:sz w:val="21"/>
                      <w:szCs w:val="21"/>
                      <w:lang w:val="en-US" w:eastAsia="zh-CN"/>
                    </w:rPr>
                    <w:t>备案号为2201</w:t>
                  </w:r>
                  <w:r>
                    <w:rPr>
                      <w:rFonts w:hint="eastAsia" w:ascii="Times New Roman" w:hAnsi="Times New Roman" w:eastAsia="宋体" w:cs="Times New Roman"/>
                      <w:color w:val="000000"/>
                      <w:sz w:val="21"/>
                      <w:szCs w:val="21"/>
                      <w:lang w:val="en-US" w:eastAsia="zh-CN"/>
                    </w:rPr>
                    <w:t>06</w:t>
                  </w:r>
                  <w:r>
                    <w:rPr>
                      <w:rFonts w:hint="default" w:ascii="Times New Roman" w:hAnsi="Times New Roman" w:eastAsia="宋体" w:cs="Times New Roman"/>
                      <w:color w:val="000000"/>
                      <w:sz w:val="21"/>
                      <w:szCs w:val="21"/>
                      <w:lang w:val="en-US" w:eastAsia="zh-CN"/>
                    </w:rPr>
                    <w:t>-2025-0</w:t>
                  </w:r>
                  <w:r>
                    <w:rPr>
                      <w:rFonts w:hint="eastAsia" w:ascii="Times New Roman" w:hAnsi="Times New Roman" w:eastAsia="宋体" w:cs="Times New Roman"/>
                      <w:color w:val="000000"/>
                      <w:sz w:val="21"/>
                      <w:szCs w:val="21"/>
                      <w:lang w:val="en-US" w:eastAsia="zh-CN"/>
                    </w:rPr>
                    <w:t>54</w:t>
                  </w:r>
                  <w:r>
                    <w:rPr>
                      <w:rFonts w:hint="default" w:ascii="Times New Roman" w:hAnsi="Times New Roman" w:eastAsia="宋体" w:cs="Times New Roman"/>
                      <w:color w:val="000000"/>
                      <w:sz w:val="21"/>
                      <w:szCs w:val="21"/>
                      <w:lang w:val="en-US" w:eastAsia="zh-CN"/>
                    </w:rPr>
                    <w:t>L</w:t>
                  </w:r>
                  <w:r>
                    <w:rPr>
                      <w:rFonts w:hint="default" w:ascii="Times New Roman" w:hAnsi="Times New Roman" w:eastAsia="宋体" w:cs="Times New Roman"/>
                      <w:color w:val="000000"/>
                      <w:sz w:val="21"/>
                      <w:szCs w:val="21"/>
                      <w:lang w:val="zh-CN"/>
                    </w:rPr>
                    <w:t>。</w:t>
                  </w:r>
                  <w:r>
                    <w:rPr>
                      <w:rFonts w:hint="default" w:ascii="Times New Roman" w:hAnsi="Times New Roman" w:eastAsia="宋体" w:cs="Times New Roman"/>
                      <w:color w:val="000000"/>
                      <w:sz w:val="21"/>
                      <w:szCs w:val="21"/>
                      <w:lang w:val="en-US" w:eastAsia="zh-CN"/>
                    </w:rPr>
                    <w:t>并按要求</w:t>
                  </w:r>
                  <w:r>
                    <w:rPr>
                      <w:rFonts w:hint="default" w:ascii="Times New Roman" w:hAnsi="Times New Roman" w:eastAsia="宋体" w:cs="Times New Roman"/>
                      <w:color w:val="000000"/>
                      <w:sz w:val="21"/>
                      <w:szCs w:val="21"/>
                      <w:lang w:val="zh-CN"/>
                    </w:rPr>
                    <w:t>落实环境风险防范措施。</w:t>
                  </w:r>
                </w:p>
              </w:tc>
            </w:tr>
          </w:tbl>
          <w:p w14:paraId="71CF31FA">
            <w:pPr>
              <w:widowControl w:val="0"/>
              <w:spacing w:after="0" w:line="360" w:lineRule="auto"/>
              <w:ind w:firstLine="482" w:firstLineChars="200"/>
              <w:jc w:val="both"/>
              <w:rPr>
                <w:rFonts w:hint="default" w:asciiTheme="minorEastAsia" w:hAnsiTheme="minorEastAsia" w:eastAsiaTheme="minorEastAsia" w:cstheme="minorEastAsia"/>
                <w:b/>
                <w:bCs/>
                <w:color w:val="000000"/>
                <w:sz w:val="24"/>
                <w:szCs w:val="24"/>
                <w:lang w:val="en-US" w:eastAsia="zh-CN"/>
              </w:rPr>
            </w:pPr>
            <w:r>
              <w:rPr>
                <w:rFonts w:hint="eastAsia" w:asciiTheme="minorEastAsia" w:hAnsiTheme="minorEastAsia" w:eastAsiaTheme="minorEastAsia" w:cstheme="minorEastAsia"/>
                <w:b/>
                <w:bCs/>
                <w:color w:val="000000"/>
                <w:sz w:val="24"/>
                <w:szCs w:val="24"/>
                <w:lang w:val="en-US" w:eastAsia="zh-CN"/>
              </w:rPr>
              <w:t>3</w:t>
            </w:r>
            <w:r>
              <w:rPr>
                <w:rFonts w:hint="eastAsia" w:asciiTheme="minorEastAsia" w:hAnsiTheme="minorEastAsia" w:eastAsiaTheme="minorEastAsia" w:cstheme="minorEastAsia"/>
                <w:b/>
                <w:bCs/>
                <w:color w:val="000000"/>
                <w:sz w:val="24"/>
                <w:szCs w:val="24"/>
                <w:lang w:eastAsia="zh-CN"/>
              </w:rPr>
              <w:t>、“三同时”</w:t>
            </w:r>
            <w:r>
              <w:rPr>
                <w:rFonts w:hint="eastAsia" w:asciiTheme="minorEastAsia" w:hAnsiTheme="minorEastAsia" w:eastAsiaTheme="minorEastAsia" w:cstheme="minorEastAsia"/>
                <w:b/>
                <w:bCs/>
                <w:color w:val="000000"/>
                <w:sz w:val="24"/>
                <w:szCs w:val="24"/>
                <w:lang w:val="en-US" w:eastAsia="zh-CN"/>
              </w:rPr>
              <w:t>落实情况</w:t>
            </w:r>
          </w:p>
          <w:p w14:paraId="20A49D18">
            <w:pPr>
              <w:widowControl w:val="0"/>
              <w:spacing w:after="0" w:line="360" w:lineRule="auto"/>
              <w:ind w:firstLine="480" w:firstLineChars="200"/>
              <w:jc w:val="both"/>
              <w:rPr>
                <w:rFonts w:hint="eastAsia" w:asciiTheme="minorEastAsia" w:hAnsiTheme="minorEastAsia" w:eastAsiaTheme="minorEastAsia" w:cstheme="minorEastAsia"/>
                <w:b w:val="0"/>
                <w:bCs w:val="0"/>
                <w:color w:val="000000"/>
                <w:sz w:val="24"/>
                <w:szCs w:val="24"/>
                <w:lang w:eastAsia="zh-CN"/>
              </w:rPr>
            </w:pPr>
            <w:r>
              <w:rPr>
                <w:rFonts w:hint="eastAsia" w:asciiTheme="minorEastAsia" w:hAnsiTheme="minorEastAsia" w:eastAsiaTheme="minorEastAsia" w:cstheme="minorEastAsia"/>
                <w:b w:val="0"/>
                <w:bCs w:val="0"/>
                <w:color w:val="000000"/>
                <w:sz w:val="24"/>
                <w:szCs w:val="24"/>
                <w:lang w:val="en-US" w:eastAsia="zh-CN"/>
              </w:rPr>
              <w:t>本项目</w:t>
            </w:r>
            <w:r>
              <w:rPr>
                <w:rFonts w:hint="eastAsia" w:asciiTheme="minorEastAsia" w:hAnsiTheme="minorEastAsia" w:eastAsiaTheme="minorEastAsia" w:cstheme="minorEastAsia"/>
                <w:b w:val="0"/>
                <w:bCs w:val="0"/>
                <w:color w:val="000000"/>
                <w:sz w:val="24"/>
                <w:szCs w:val="24"/>
                <w:lang w:eastAsia="zh-CN"/>
              </w:rPr>
              <w:t>“三同时”落实情况详见下表。</w:t>
            </w:r>
          </w:p>
          <w:p w14:paraId="0F0902C4">
            <w:pPr>
              <w:pStyle w:val="23"/>
              <w:rPr>
                <w:rFonts w:hint="eastAsia"/>
                <w:u w:val="none"/>
                <w:lang w:eastAsia="zh-CN"/>
              </w:rPr>
            </w:pPr>
            <w:r>
              <w:rPr>
                <w:rFonts w:hint="eastAsia"/>
                <w:szCs w:val="22"/>
                <w:u w:val="none"/>
              </w:rPr>
              <w:t>表</w:t>
            </w:r>
            <w:r>
              <w:rPr>
                <w:rFonts w:hint="eastAsia"/>
                <w:szCs w:val="22"/>
                <w:u w:val="none"/>
                <w:lang w:val="en-US" w:eastAsia="zh-CN"/>
              </w:rPr>
              <w:t>4-2</w:t>
            </w:r>
            <w:r>
              <w:rPr>
                <w:rFonts w:hint="eastAsia"/>
                <w:szCs w:val="22"/>
                <w:u w:val="none"/>
              </w:rPr>
              <w:t xml:space="preserve"> </w:t>
            </w:r>
            <w:r>
              <w:rPr>
                <w:rFonts w:hint="eastAsia"/>
                <w:szCs w:val="22"/>
                <w:u w:val="none"/>
                <w:lang w:val="en-US" w:eastAsia="zh-CN"/>
              </w:rPr>
              <w:t xml:space="preserve">  “三同时”</w:t>
            </w:r>
            <w:r>
              <w:rPr>
                <w:rFonts w:hint="eastAsia"/>
                <w:szCs w:val="22"/>
                <w:u w:val="none"/>
              </w:rPr>
              <w:t>落实情况一览表</w:t>
            </w:r>
          </w:p>
          <w:tbl>
            <w:tblPr>
              <w:tblStyle w:val="1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835"/>
              <w:gridCol w:w="573"/>
              <w:gridCol w:w="938"/>
              <w:gridCol w:w="1203"/>
              <w:gridCol w:w="1944"/>
              <w:gridCol w:w="1944"/>
            </w:tblGrid>
            <w:tr w14:paraId="5F334E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374" w:type="pct"/>
                  <w:tcBorders>
                    <w:tl2br w:val="nil"/>
                    <w:tr2bl w:val="nil"/>
                  </w:tcBorders>
                  <w:noWrap w:val="0"/>
                  <w:vAlign w:val="top"/>
                </w:tcPr>
                <w:p w14:paraId="1A252D98">
                  <w:pPr>
                    <w:keepNext w:val="0"/>
                    <w:keepLines w:val="0"/>
                    <w:pageBreakBefore w:val="0"/>
                    <w:widowControl/>
                    <w:kinsoku/>
                    <w:wordWrap/>
                    <w:overflowPunct/>
                    <w:topLinePunct w:val="0"/>
                    <w:autoSpaceDE/>
                    <w:autoSpaceDN/>
                    <w:bidi w:val="0"/>
                    <w:adjustRightInd w:val="0"/>
                    <w:snapToGrid w:val="0"/>
                    <w:spacing w:after="0" w:line="240" w:lineRule="auto"/>
                    <w:ind w:left="209" w:leftChars="95" w:firstLine="0" w:firstLineChars="0"/>
                    <w:textAlignment w:val="auto"/>
                    <w:rPr>
                      <w:rFonts w:hint="default" w:ascii="Times New Roman" w:hAnsi="Times New Roman" w:eastAsia="宋体" w:cs="Times New Roman"/>
                      <w:sz w:val="21"/>
                      <w:szCs w:val="21"/>
                    </w:rPr>
                  </w:pPr>
                  <w:r>
                    <w:rPr>
                      <w:rFonts w:hint="default" w:ascii="Times New Roman" w:hAnsi="Times New Roman" w:cs="Times New Roman"/>
                      <w:sz w:val="21"/>
                    </w:rPr>
                    <mc:AlternateContent>
                      <mc:Choice Requires="wps">
                        <w:drawing>
                          <wp:anchor distT="0" distB="0" distL="114300" distR="114300" simplePos="0" relativeHeight="251661312" behindDoc="0" locked="0" layoutInCell="1" allowOverlap="1">
                            <wp:simplePos x="0" y="0"/>
                            <wp:positionH relativeFrom="column">
                              <wp:posOffset>-72390</wp:posOffset>
                            </wp:positionH>
                            <wp:positionV relativeFrom="paragraph">
                              <wp:posOffset>-5080</wp:posOffset>
                            </wp:positionV>
                            <wp:extent cx="556260" cy="670560"/>
                            <wp:effectExtent l="5080" t="3810" r="17780" b="11430"/>
                            <wp:wrapNone/>
                            <wp:docPr id="5" name="直接连接符 5"/>
                            <wp:cNvGraphicFramePr/>
                            <a:graphic xmlns:a="http://schemas.openxmlformats.org/drawingml/2006/main">
                              <a:graphicData uri="http://schemas.microsoft.com/office/word/2010/wordprocessingShape">
                                <wps:wsp>
                                  <wps:cNvCnPr/>
                                  <wps:spPr>
                                    <a:xfrm>
                                      <a:off x="992505" y="6737350"/>
                                      <a:ext cx="556260" cy="6705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5.7pt;margin-top:-0.4pt;height:52.8pt;width:43.8pt;z-index:251661312;mso-width-relative:page;mso-height-relative:page;" filled="f" stroked="t" coordsize="21600,21600" o:gfxdata="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CDUxJjYAAAACAEAAA8AAAAAAAAAAQAgAAAAIgAAAGRycy9kb3ducmV2LnhtbFBLAQIUABQA&#10;AAAIAIdO4kA/Mgne8AEAAMEDAAAOAAAAAAAAAAEAIAAAACcBAABkcnMvZTJvRG9jLnhtbFBLBQYA&#10;AAAABgAGAFkBAACJBQAAAAA=&#10;">
                            <v:fill on="f" focussize="0,0"/>
                            <v:stroke weight="1pt" color="#000000 [3200]" miterlimit="8" joinstyle="miter"/>
                            <v:imagedata o:title=""/>
                            <o:lock v:ext="edit" aspectratio="f"/>
                          </v:line>
                        </w:pict>
                      </mc:Fallback>
                    </mc:AlternateContent>
                  </w:r>
                  <w:r>
                    <w:rPr>
                      <w:rFonts w:hint="default" w:ascii="Times New Roman" w:hAnsi="Times New Roman" w:eastAsia="宋体" w:cs="Times New Roman"/>
                      <w:sz w:val="21"/>
                      <w:szCs w:val="21"/>
                    </w:rPr>
                    <w:t>内容</w:t>
                  </w:r>
                </w:p>
                <w:p w14:paraId="1A5D38C9">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sz w:val="21"/>
                      <w:szCs w:val="21"/>
                    </w:rPr>
                  </w:pPr>
                </w:p>
                <w:p w14:paraId="69C06830">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sz w:val="21"/>
                      <w:szCs w:val="21"/>
                    </w:rPr>
                  </w:pPr>
                </w:p>
                <w:p w14:paraId="4F8BE653">
                  <w:pPr>
                    <w:keepNext w:val="0"/>
                    <w:keepLines w:val="0"/>
                    <w:pageBreakBefore w:val="0"/>
                    <w:widowControl/>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要素</w:t>
                  </w:r>
                </w:p>
              </w:tc>
              <w:tc>
                <w:tcPr>
                  <w:tcW w:w="906" w:type="pct"/>
                  <w:gridSpan w:val="2"/>
                  <w:tcBorders>
                    <w:tl2br w:val="nil"/>
                    <w:tr2bl w:val="nil"/>
                  </w:tcBorders>
                  <w:noWrap w:val="0"/>
                  <w:vAlign w:val="center"/>
                </w:tcPr>
                <w:p w14:paraId="1FE3EB6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排放口(编号、名称)/污染源</w:t>
                  </w:r>
                </w:p>
              </w:tc>
              <w:tc>
                <w:tcPr>
                  <w:tcW w:w="564" w:type="pct"/>
                  <w:tcBorders>
                    <w:tl2br w:val="nil"/>
                    <w:tr2bl w:val="nil"/>
                  </w:tcBorders>
                  <w:noWrap w:val="0"/>
                  <w:vAlign w:val="center"/>
                </w:tcPr>
                <w:p w14:paraId="6C45BC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污染物项目</w:t>
                  </w:r>
                </w:p>
              </w:tc>
              <w:tc>
                <w:tcPr>
                  <w:tcW w:w="783" w:type="pct"/>
                  <w:tcBorders>
                    <w:tl2br w:val="nil"/>
                    <w:tr2bl w:val="nil"/>
                  </w:tcBorders>
                  <w:noWrap w:val="0"/>
                  <w:vAlign w:val="center"/>
                </w:tcPr>
                <w:p w14:paraId="084F67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1174" w:type="pct"/>
                  <w:tcBorders>
                    <w:tl2br w:val="nil"/>
                    <w:tr2bl w:val="nil"/>
                  </w:tcBorders>
                  <w:noWrap w:val="0"/>
                  <w:vAlign w:val="center"/>
                </w:tcPr>
                <w:p w14:paraId="6F5CF8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c>
                <w:tcPr>
                  <w:tcW w:w="1196" w:type="pct"/>
                  <w:tcBorders>
                    <w:tl2br w:val="nil"/>
                    <w:tr2bl w:val="nil"/>
                  </w:tcBorders>
                  <w:noWrap w:val="0"/>
                  <w:vAlign w:val="center"/>
                </w:tcPr>
                <w:p w14:paraId="51B9B1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落实情况</w:t>
                  </w:r>
                </w:p>
              </w:tc>
            </w:tr>
            <w:tr w14:paraId="062A9B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374" w:type="pct"/>
                  <w:vMerge w:val="restart"/>
                  <w:tcBorders>
                    <w:tl2br w:val="nil"/>
                    <w:tr2bl w:val="nil"/>
                  </w:tcBorders>
                  <w:noWrap w:val="0"/>
                  <w:vAlign w:val="center"/>
                </w:tcPr>
                <w:p w14:paraId="03A7D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环境空气</w:t>
                  </w:r>
                </w:p>
              </w:tc>
              <w:tc>
                <w:tcPr>
                  <w:tcW w:w="906" w:type="pct"/>
                  <w:gridSpan w:val="2"/>
                  <w:vMerge w:val="restart"/>
                  <w:tcBorders>
                    <w:tl2br w:val="nil"/>
                    <w:tr2bl w:val="nil"/>
                  </w:tcBorders>
                  <w:noWrap w:val="0"/>
                  <w:vAlign w:val="center"/>
                </w:tcPr>
                <w:p w14:paraId="274699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无组织废气</w:t>
                  </w:r>
                </w:p>
              </w:tc>
              <w:tc>
                <w:tcPr>
                  <w:tcW w:w="564" w:type="pct"/>
                  <w:tcBorders>
                    <w:tl2br w:val="nil"/>
                    <w:tr2bl w:val="nil"/>
                  </w:tcBorders>
                  <w:noWrap w:val="0"/>
                  <w:vAlign w:val="center"/>
                </w:tcPr>
                <w:p w14:paraId="76CD547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颗粒物</w:t>
                  </w:r>
                  <w:r>
                    <w:rPr>
                      <w:rFonts w:hint="eastAsia" w:ascii="Times New Roman" w:hAnsi="Times New Roman" w:eastAsia="宋体" w:cs="Times New Roman"/>
                      <w:sz w:val="21"/>
                      <w:szCs w:val="21"/>
                      <w:lang w:eastAsia="zh-CN"/>
                    </w:rPr>
                    <w:t>、</w:t>
                  </w:r>
                  <w:r>
                    <w:rPr>
                      <w:rFonts w:hint="default" w:ascii="Times New Roman" w:hAnsi="Times New Roman" w:eastAsia="宋体" w:cs="Times New Roman"/>
                      <w:color w:val="000000"/>
                      <w:sz w:val="21"/>
                      <w:szCs w:val="21"/>
                      <w:lang w:val="en-US" w:eastAsia="zh-CN"/>
                    </w:rPr>
                    <w:t>硫酸雾、</w:t>
                  </w:r>
                  <w:r>
                    <w:rPr>
                      <w:rFonts w:hint="default" w:ascii="Times New Roman" w:hAnsi="Times New Roman" w:eastAsia="宋体" w:cs="Times New Roman"/>
                      <w:color w:val="000000"/>
                      <w:sz w:val="21"/>
                      <w:szCs w:val="21"/>
                      <w:lang w:val="zh-CN"/>
                    </w:rPr>
                    <w:t>铅及其化合物</w:t>
                  </w:r>
                </w:p>
              </w:tc>
              <w:tc>
                <w:tcPr>
                  <w:tcW w:w="783" w:type="pct"/>
                  <w:tcBorders>
                    <w:tl2br w:val="nil"/>
                    <w:tr2bl w:val="nil"/>
                  </w:tcBorders>
                  <w:noWrap w:val="0"/>
                  <w:vAlign w:val="center"/>
                </w:tcPr>
                <w:p w14:paraId="325A32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自然沉降</w:t>
                  </w:r>
                  <w:r>
                    <w:rPr>
                      <w:rFonts w:hint="eastAsia" w:ascii="Times New Roman" w:hAnsi="Times New Roman" w:eastAsia="宋体" w:cs="Times New Roman"/>
                      <w:sz w:val="21"/>
                      <w:szCs w:val="21"/>
                      <w:lang w:val="en-US" w:eastAsia="zh-CN"/>
                    </w:rPr>
                    <w:t>，危险废物贮存库封闭</w:t>
                  </w:r>
                </w:p>
              </w:tc>
              <w:tc>
                <w:tcPr>
                  <w:tcW w:w="1174" w:type="pct"/>
                  <w:tcBorders>
                    <w:tl2br w:val="nil"/>
                    <w:tr2bl w:val="nil"/>
                  </w:tcBorders>
                  <w:noWrap w:val="0"/>
                  <w:vAlign w:val="center"/>
                </w:tcPr>
                <w:p w14:paraId="126B3C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《大气污染物综合排放标准》（GB16297-1996）中二级标准排放限值</w:t>
                  </w:r>
                </w:p>
              </w:tc>
              <w:tc>
                <w:tcPr>
                  <w:tcW w:w="1196" w:type="pct"/>
                  <w:vMerge w:val="restart"/>
                  <w:tcBorders>
                    <w:tl2br w:val="nil"/>
                    <w:tr2bl w:val="nil"/>
                  </w:tcBorders>
                  <w:noWrap w:val="0"/>
                  <w:vAlign w:val="center"/>
                </w:tcPr>
                <w:p w14:paraId="364407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已落实，经检测结果可知：厂界无组织废气中颗粒物、非甲烷总烃</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eastAsia="zh-CN"/>
                    </w:rPr>
                    <w:t>硫酸雾、</w:t>
                  </w:r>
                  <w:r>
                    <w:rPr>
                      <w:rFonts w:hint="default" w:ascii="Times New Roman" w:hAnsi="Times New Roman" w:eastAsia="宋体" w:cs="Times New Roman"/>
                      <w:sz w:val="21"/>
                      <w:szCs w:val="21"/>
                      <w:lang w:val="zh-CN"/>
                    </w:rPr>
                    <w:t>铅及其化合物</w:t>
                  </w:r>
                  <w:r>
                    <w:rPr>
                      <w:rFonts w:hint="default" w:ascii="Times New Roman" w:hAnsi="Times New Roman" w:eastAsia="宋体" w:cs="Times New Roman"/>
                      <w:sz w:val="21"/>
                      <w:szCs w:val="21"/>
                      <w:lang w:val="en-US" w:eastAsia="zh-CN"/>
                    </w:rPr>
                    <w:t>浓度满足</w:t>
                  </w:r>
                  <w:r>
                    <w:rPr>
                      <w:rFonts w:hint="default" w:ascii="Times New Roman" w:hAnsi="Times New Roman" w:eastAsia="宋体" w:cs="Times New Roman"/>
                      <w:sz w:val="21"/>
                      <w:szCs w:val="21"/>
                    </w:rPr>
                    <w:t>《大气污染物综合排放标准》（GB16297-1996）中</w:t>
                  </w:r>
                  <w:r>
                    <w:rPr>
                      <w:rFonts w:hint="eastAsia" w:ascii="Times New Roman" w:hAnsi="Times New Roman" w:eastAsia="宋体" w:cs="Times New Roman"/>
                      <w:sz w:val="21"/>
                      <w:szCs w:val="21"/>
                    </w:rPr>
                    <w:t>表2排放标准要求</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sz w:val="21"/>
                      <w:szCs w:val="21"/>
                    </w:rPr>
                    <w:t>内无组织非甲烷总烃</w:t>
                  </w:r>
                  <w:r>
                    <w:rPr>
                      <w:rFonts w:hint="default" w:ascii="Times New Roman" w:hAnsi="Times New Roman" w:eastAsia="宋体" w:cs="Times New Roman"/>
                      <w:sz w:val="21"/>
                      <w:szCs w:val="21"/>
                      <w:lang w:val="en-US" w:eastAsia="zh-CN"/>
                    </w:rPr>
                    <w:t>满足</w:t>
                  </w:r>
                  <w:r>
                    <w:rPr>
                      <w:rFonts w:hint="default" w:ascii="Times New Roman" w:hAnsi="Times New Roman" w:eastAsia="宋体" w:cs="Times New Roman"/>
                      <w:sz w:val="21"/>
                      <w:szCs w:val="21"/>
                    </w:rPr>
                    <w:t>《挥发性有机物无组织排放控制标准》（GB37822-2019）中</w:t>
                  </w:r>
                  <w:r>
                    <w:rPr>
                      <w:rFonts w:hint="eastAsia" w:ascii="Times New Roman" w:hAnsi="Times New Roman" w:eastAsia="宋体" w:cs="Times New Roman"/>
                      <w:sz w:val="21"/>
                      <w:szCs w:val="21"/>
                    </w:rPr>
                    <w:t>A.1中特别排放限值要求</w:t>
                  </w:r>
                  <w:r>
                    <w:rPr>
                      <w:rFonts w:hint="default" w:ascii="Times New Roman" w:hAnsi="Times New Roman" w:eastAsia="宋体" w:cs="Times New Roman"/>
                      <w:sz w:val="21"/>
                      <w:szCs w:val="21"/>
                      <w:lang w:val="en-US" w:eastAsia="zh-CN"/>
                    </w:rPr>
                    <w:t>。</w:t>
                  </w:r>
                </w:p>
              </w:tc>
            </w:tr>
            <w:tr w14:paraId="0D260A5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381EB3F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vMerge w:val="continue"/>
                  <w:tcBorders>
                    <w:tl2br w:val="nil"/>
                    <w:tr2bl w:val="nil"/>
                  </w:tcBorders>
                  <w:noWrap w:val="0"/>
                  <w:vAlign w:val="center"/>
                </w:tcPr>
                <w:p w14:paraId="298E6E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6E848C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674C39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大力剪切粉尘自然沉降，拆解车间封闭</w:t>
                  </w:r>
                </w:p>
              </w:tc>
              <w:tc>
                <w:tcPr>
                  <w:tcW w:w="1174" w:type="pct"/>
                  <w:tcBorders>
                    <w:tl2br w:val="nil"/>
                    <w:tr2bl w:val="nil"/>
                  </w:tcBorders>
                  <w:noWrap w:val="0"/>
                  <w:vAlign w:val="center"/>
                </w:tcPr>
                <w:p w14:paraId="6CC7472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《大气污染物综合排放标准》（GB16297-1996）中二级标准排放限值；</w:t>
                  </w:r>
                  <w:r>
                    <w:rPr>
                      <w:rFonts w:hint="default" w:ascii="Times New Roman" w:hAnsi="Times New Roman" w:eastAsia="宋体" w:cs="Times New Roman"/>
                      <w:sz w:val="21"/>
                      <w:szCs w:val="21"/>
                      <w:lang w:val="en-US" w:eastAsia="zh-CN"/>
                    </w:rPr>
                    <w:t>车间</w:t>
                  </w:r>
                  <w:r>
                    <w:rPr>
                      <w:rFonts w:hint="default" w:ascii="Times New Roman" w:hAnsi="Times New Roman" w:eastAsia="宋体" w:cs="Times New Roman"/>
                      <w:sz w:val="21"/>
                      <w:szCs w:val="21"/>
                    </w:rPr>
                    <w:t>内无组织非甲烷总烃执行《挥发性有机物无组织排放控制标准》（GB37822-2019）中特别排放限值</w:t>
                  </w:r>
                </w:p>
              </w:tc>
              <w:tc>
                <w:tcPr>
                  <w:tcW w:w="1196" w:type="pct"/>
                  <w:vMerge w:val="continue"/>
                  <w:tcBorders>
                    <w:tl2br w:val="nil"/>
                    <w:tr2bl w:val="nil"/>
                  </w:tcBorders>
                  <w:noWrap w:val="0"/>
                  <w:vAlign w:val="center"/>
                </w:tcPr>
                <w:p w14:paraId="768411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2945C24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3BC507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restart"/>
                  <w:tcBorders>
                    <w:tl2br w:val="nil"/>
                    <w:tr2bl w:val="nil"/>
                  </w:tcBorders>
                  <w:noWrap w:val="0"/>
                  <w:vAlign w:val="center"/>
                </w:tcPr>
                <w:p w14:paraId="2CB980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DA001排气筒</w:t>
                  </w:r>
                </w:p>
              </w:tc>
              <w:tc>
                <w:tcPr>
                  <w:tcW w:w="403" w:type="pct"/>
                  <w:vMerge w:val="restart"/>
                  <w:tcBorders>
                    <w:tl2br w:val="nil"/>
                    <w:tr2bl w:val="nil"/>
                  </w:tcBorders>
                  <w:noWrap w:val="0"/>
                  <w:vAlign w:val="center"/>
                </w:tcPr>
                <w:p w14:paraId="1D3126E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车间</w:t>
                  </w:r>
                </w:p>
              </w:tc>
              <w:tc>
                <w:tcPr>
                  <w:tcW w:w="564" w:type="pct"/>
                  <w:tcBorders>
                    <w:tl2br w:val="nil"/>
                    <w:tr2bl w:val="nil"/>
                  </w:tcBorders>
                  <w:noWrap w:val="0"/>
                  <w:vAlign w:val="center"/>
                </w:tcPr>
                <w:p w14:paraId="108F578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颗粒物</w:t>
                  </w:r>
                </w:p>
              </w:tc>
              <w:tc>
                <w:tcPr>
                  <w:tcW w:w="783" w:type="pct"/>
                  <w:tcBorders>
                    <w:tl2br w:val="nil"/>
                    <w:tr2bl w:val="nil"/>
                  </w:tcBorders>
                  <w:noWrap w:val="0"/>
                  <w:vAlign w:val="center"/>
                </w:tcPr>
                <w:p w14:paraId="184C58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集气罩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集气效率80%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袋式除尘设备</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除尘效率95%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15m排气筒</w:t>
                  </w:r>
                </w:p>
              </w:tc>
              <w:tc>
                <w:tcPr>
                  <w:tcW w:w="1174" w:type="pct"/>
                  <w:vMerge w:val="restart"/>
                  <w:tcBorders>
                    <w:tl2br w:val="nil"/>
                    <w:tr2bl w:val="nil"/>
                  </w:tcBorders>
                  <w:noWrap w:val="0"/>
                  <w:vAlign w:val="center"/>
                </w:tcPr>
                <w:p w14:paraId="180489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w:t>
                  </w:r>
                </w:p>
              </w:tc>
              <w:tc>
                <w:tcPr>
                  <w:tcW w:w="1196" w:type="pct"/>
                  <w:vMerge w:val="restart"/>
                  <w:tcBorders>
                    <w:tl2br w:val="nil"/>
                    <w:tr2bl w:val="nil"/>
                  </w:tcBorders>
                  <w:noWrap w:val="0"/>
                  <w:vAlign w:val="center"/>
                </w:tcPr>
                <w:p w14:paraId="1071BF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各项目废气处理措施已落实，厂区共设置1个排气筒，经检测结果可知，</w:t>
                  </w:r>
                  <w:r>
                    <w:rPr>
                      <w:rFonts w:hint="default" w:ascii="Times New Roman" w:hAnsi="Times New Roman" w:eastAsia="宋体" w:cs="Times New Roman"/>
                      <w:color w:val="000000"/>
                      <w:sz w:val="21"/>
                      <w:szCs w:val="21"/>
                      <w:lang w:val="en-US" w:eastAsia="zh-CN"/>
                    </w:rPr>
                    <w:t>排放的颗粒物、非甲烷总烃、硫酸雾、</w:t>
                  </w:r>
                  <w:r>
                    <w:rPr>
                      <w:rFonts w:hint="default" w:ascii="Times New Roman" w:hAnsi="Times New Roman" w:eastAsia="宋体" w:cs="Times New Roman"/>
                      <w:color w:val="000000"/>
                      <w:sz w:val="21"/>
                      <w:szCs w:val="21"/>
                      <w:lang w:val="zh-CN"/>
                    </w:rPr>
                    <w:t>铅及其化合物排放速率及排放浓度</w:t>
                  </w:r>
                  <w:r>
                    <w:rPr>
                      <w:rFonts w:hint="default" w:ascii="Times New Roman" w:hAnsi="Times New Roman" w:eastAsia="宋体" w:cs="Times New Roman"/>
                      <w:color w:val="000000"/>
                      <w:sz w:val="21"/>
                      <w:szCs w:val="21"/>
                      <w:lang w:val="en-US" w:eastAsia="zh-CN"/>
                    </w:rPr>
                    <w:t>均</w:t>
                  </w:r>
                  <w:r>
                    <w:rPr>
                      <w:rFonts w:hint="default" w:ascii="Times New Roman" w:hAnsi="Times New Roman" w:eastAsia="宋体" w:cs="Times New Roman"/>
                      <w:color w:val="000000"/>
                      <w:sz w:val="21"/>
                      <w:szCs w:val="21"/>
                      <w:lang w:val="zh-CN"/>
                    </w:rPr>
                    <w:t>满足《大气污染物综合排放标准》（GB16297-1996）中二级排放标准要求。</w:t>
                  </w:r>
                </w:p>
              </w:tc>
            </w:tr>
            <w:tr w14:paraId="52FBBCE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1B95D4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752159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7115E9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790BDB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21817A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集气罩</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集气效率80%</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活性炭吸附装置</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eastAsia"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w:t>
                  </w:r>
                  <w:r>
                    <w:rPr>
                      <w:rFonts w:hint="default" w:ascii="Times New Roman" w:hAnsi="Times New Roman" w:eastAsia="宋体" w:cs="Times New Roman"/>
                      <w:sz w:val="21"/>
                      <w:szCs w:val="21"/>
                    </w:rPr>
                    <w:t>15m排气筒</w:t>
                  </w:r>
                </w:p>
              </w:tc>
              <w:tc>
                <w:tcPr>
                  <w:tcW w:w="1174" w:type="pct"/>
                  <w:vMerge w:val="continue"/>
                  <w:tcBorders>
                    <w:tl2br w:val="nil"/>
                    <w:tr2bl w:val="nil"/>
                  </w:tcBorders>
                  <w:noWrap w:val="0"/>
                  <w:vAlign w:val="center"/>
                </w:tcPr>
                <w:p w14:paraId="607E914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462103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3B15C25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374" w:type="pct"/>
                  <w:vMerge w:val="continue"/>
                  <w:tcBorders>
                    <w:tl2br w:val="nil"/>
                    <w:tr2bl w:val="nil"/>
                  </w:tcBorders>
                  <w:noWrap w:val="0"/>
                  <w:vAlign w:val="center"/>
                </w:tcPr>
                <w:p w14:paraId="2F6375F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2CA3583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restart"/>
                  <w:tcBorders>
                    <w:tl2br w:val="nil"/>
                    <w:tr2bl w:val="nil"/>
                  </w:tcBorders>
                  <w:noWrap w:val="0"/>
                  <w:vAlign w:val="center"/>
                </w:tcPr>
                <w:p w14:paraId="2E81CE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危险废物贮存库</w:t>
                  </w:r>
                </w:p>
              </w:tc>
              <w:tc>
                <w:tcPr>
                  <w:tcW w:w="564" w:type="pct"/>
                  <w:tcBorders>
                    <w:tl2br w:val="nil"/>
                    <w:tr2bl w:val="nil"/>
                  </w:tcBorders>
                  <w:noWrap w:val="0"/>
                  <w:vAlign w:val="center"/>
                </w:tcPr>
                <w:p w14:paraId="5F9B02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非甲烷总烃</w:t>
                  </w:r>
                </w:p>
              </w:tc>
              <w:tc>
                <w:tcPr>
                  <w:tcW w:w="783" w:type="pct"/>
                  <w:tcBorders>
                    <w:tl2br w:val="nil"/>
                    <w:tr2bl w:val="nil"/>
                  </w:tcBorders>
                  <w:noWrap w:val="0"/>
                  <w:vAlign w:val="center"/>
                </w:tcPr>
                <w:p w14:paraId="7066706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负压收集</w:t>
                  </w:r>
                  <w:r>
                    <w:rPr>
                      <w:rFonts w:hint="eastAsia" w:ascii="Times New Roman" w:hAnsi="Times New Roman" w:eastAsia="宋体" w:cs="Times New Roman"/>
                      <w:sz w:val="21"/>
                      <w:szCs w:val="21"/>
                      <w:lang w:val="en-US" w:eastAsia="zh-CN"/>
                    </w:rPr>
                    <w:t>（收集效率90%）</w:t>
                  </w:r>
                  <w:r>
                    <w:rPr>
                      <w:rFonts w:hint="default" w:ascii="Times New Roman" w:hAnsi="Times New Roman" w:eastAsia="宋体" w:cs="Times New Roman"/>
                      <w:sz w:val="21"/>
                      <w:szCs w:val="21"/>
                      <w:lang w:val="en-US" w:eastAsia="zh-CN"/>
                    </w:rPr>
                    <w:t>+活性炭吸附</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eastAsia" w:ascii="Times New Roman" w:hAnsi="Times New Roman" w:eastAsia="宋体" w:cs="Times New Roman"/>
                      <w:sz w:val="21"/>
                      <w:szCs w:val="21"/>
                      <w:lang w:val="en-US" w:eastAsia="zh-CN"/>
                    </w:rPr>
                    <w:t>8</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rPr>
                    <w:t>排气筒</w:t>
                  </w:r>
                </w:p>
              </w:tc>
              <w:tc>
                <w:tcPr>
                  <w:tcW w:w="1174" w:type="pct"/>
                  <w:vMerge w:val="restart"/>
                  <w:tcBorders>
                    <w:tl2br w:val="nil"/>
                    <w:tr2bl w:val="nil"/>
                  </w:tcBorders>
                  <w:noWrap w:val="0"/>
                  <w:vAlign w:val="center"/>
                </w:tcPr>
                <w:p w14:paraId="4992459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《大气污染物综合排放标准》（GB16297-1996）中二级标准</w:t>
                  </w:r>
                </w:p>
              </w:tc>
              <w:tc>
                <w:tcPr>
                  <w:tcW w:w="1196" w:type="pct"/>
                  <w:vMerge w:val="continue"/>
                  <w:tcBorders>
                    <w:tl2br w:val="nil"/>
                    <w:tr2bl w:val="nil"/>
                  </w:tcBorders>
                  <w:noWrap w:val="0"/>
                  <w:vAlign w:val="center"/>
                </w:tcPr>
                <w:p w14:paraId="0021512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635CFF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556B14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54496D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1E8461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618C4C8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硫酸雾</w:t>
                  </w:r>
                </w:p>
              </w:tc>
              <w:tc>
                <w:tcPr>
                  <w:tcW w:w="783" w:type="pct"/>
                  <w:vMerge w:val="restart"/>
                  <w:tcBorders>
                    <w:tl2br w:val="nil"/>
                    <w:tr2bl w:val="nil"/>
                  </w:tcBorders>
                  <w:noWrap w:val="0"/>
                  <w:vAlign w:val="center"/>
                </w:tcPr>
                <w:p w14:paraId="63840D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负压收集</w:t>
                  </w:r>
                  <w:r>
                    <w:rPr>
                      <w:rFonts w:hint="eastAsia" w:ascii="Times New Roman" w:hAnsi="Times New Roman" w:eastAsia="宋体" w:cs="Times New Roman"/>
                      <w:sz w:val="21"/>
                      <w:szCs w:val="21"/>
                      <w:lang w:val="en-US" w:eastAsia="zh-CN"/>
                    </w:rPr>
                    <w:t>（收集效率90%）</w:t>
                  </w:r>
                  <w:r>
                    <w:rPr>
                      <w:rFonts w:hint="default" w:ascii="Times New Roman" w:hAnsi="Times New Roman" w:eastAsia="宋体" w:cs="Times New Roman"/>
                      <w:sz w:val="21"/>
                      <w:szCs w:val="21"/>
                      <w:lang w:val="en-US" w:eastAsia="zh-CN"/>
                    </w:rPr>
                    <w:t>+防酸滤铅网</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处理</w:t>
                  </w:r>
                  <w:r>
                    <w:rPr>
                      <w:rFonts w:hint="default" w:ascii="Times New Roman" w:hAnsi="Times New Roman" w:eastAsia="宋体" w:cs="Times New Roman"/>
                      <w:sz w:val="21"/>
                      <w:szCs w:val="21"/>
                    </w:rPr>
                    <w:t>效率</w:t>
                  </w:r>
                  <w:r>
                    <w:rPr>
                      <w:rFonts w:hint="default" w:ascii="Times New Roman" w:hAnsi="Times New Roman" w:eastAsia="宋体" w:cs="Times New Roman"/>
                      <w:sz w:val="21"/>
                      <w:szCs w:val="21"/>
                      <w:lang w:val="en-US" w:eastAsia="zh-CN"/>
                    </w:rPr>
                    <w:t>80</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+15</w:t>
                  </w:r>
                  <w:r>
                    <w:rPr>
                      <w:rFonts w:hint="default" w:ascii="Times New Roman" w:hAnsi="Times New Roman" w:eastAsia="宋体" w:cs="Times New Roman"/>
                      <w:sz w:val="21"/>
                      <w:szCs w:val="21"/>
                    </w:rPr>
                    <w:t>排气筒</w:t>
                  </w:r>
                </w:p>
              </w:tc>
              <w:tc>
                <w:tcPr>
                  <w:tcW w:w="1174" w:type="pct"/>
                  <w:vMerge w:val="continue"/>
                  <w:tcBorders>
                    <w:tl2br w:val="nil"/>
                    <w:tr2bl w:val="nil"/>
                  </w:tcBorders>
                  <w:noWrap w:val="0"/>
                  <w:vAlign w:val="center"/>
                </w:tcPr>
                <w:p w14:paraId="3F85E4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0B6100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3072CDD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vMerge w:val="continue"/>
                  <w:tcBorders>
                    <w:tl2br w:val="nil"/>
                    <w:tr2bl w:val="nil"/>
                  </w:tcBorders>
                  <w:noWrap w:val="0"/>
                  <w:vAlign w:val="center"/>
                </w:tcPr>
                <w:p w14:paraId="47C124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02" w:type="pct"/>
                  <w:vMerge w:val="continue"/>
                  <w:tcBorders>
                    <w:tl2br w:val="nil"/>
                    <w:tr2bl w:val="nil"/>
                  </w:tcBorders>
                  <w:noWrap w:val="0"/>
                  <w:vAlign w:val="center"/>
                </w:tcPr>
                <w:p w14:paraId="537DB8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403" w:type="pct"/>
                  <w:vMerge w:val="continue"/>
                  <w:tcBorders>
                    <w:tl2br w:val="nil"/>
                    <w:tr2bl w:val="nil"/>
                  </w:tcBorders>
                  <w:noWrap w:val="0"/>
                  <w:vAlign w:val="center"/>
                </w:tcPr>
                <w:p w14:paraId="6F9D0C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564" w:type="pct"/>
                  <w:tcBorders>
                    <w:tl2br w:val="nil"/>
                    <w:tr2bl w:val="nil"/>
                  </w:tcBorders>
                  <w:noWrap w:val="0"/>
                  <w:vAlign w:val="center"/>
                </w:tcPr>
                <w:p w14:paraId="141B149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铅及其化合物</w:t>
                  </w:r>
                </w:p>
              </w:tc>
              <w:tc>
                <w:tcPr>
                  <w:tcW w:w="783" w:type="pct"/>
                  <w:vMerge w:val="continue"/>
                  <w:tcBorders>
                    <w:tl2br w:val="nil"/>
                    <w:tr2bl w:val="nil"/>
                  </w:tcBorders>
                  <w:noWrap w:val="0"/>
                  <w:vAlign w:val="center"/>
                </w:tcPr>
                <w:p w14:paraId="2ACBFC51">
                  <w:pPr>
                    <w:keepNext w:val="0"/>
                    <w:keepLines w:val="0"/>
                    <w:pageBreakBefore w:val="0"/>
                    <w:widowControl/>
                    <w:kinsoku/>
                    <w:wordWrap/>
                    <w:overflowPunct/>
                    <w:topLinePunct w:val="0"/>
                    <w:autoSpaceDE/>
                    <w:autoSpaceDN/>
                    <w:bidi w:val="0"/>
                    <w:adjustRightInd w:val="0"/>
                    <w:snapToGrid w:val="0"/>
                    <w:spacing w:after="0" w:line="240" w:lineRule="auto"/>
                    <w:ind w:left="0" w:leftChars="0"/>
                    <w:textAlignment w:val="auto"/>
                    <w:rPr>
                      <w:rFonts w:hint="default" w:ascii="Times New Roman" w:hAnsi="Times New Roman" w:eastAsia="宋体" w:cs="Times New Roman"/>
                      <w:sz w:val="21"/>
                      <w:szCs w:val="21"/>
                    </w:rPr>
                  </w:pPr>
                </w:p>
              </w:tc>
              <w:tc>
                <w:tcPr>
                  <w:tcW w:w="1174" w:type="pct"/>
                  <w:vMerge w:val="continue"/>
                  <w:tcBorders>
                    <w:tl2br w:val="nil"/>
                    <w:tr2bl w:val="nil"/>
                  </w:tcBorders>
                  <w:noWrap w:val="0"/>
                  <w:vAlign w:val="center"/>
                </w:tcPr>
                <w:p w14:paraId="2AE116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656A0B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p>
              </w:tc>
            </w:tr>
            <w:tr w14:paraId="14FB98E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restart"/>
                  <w:tcBorders>
                    <w:tl2br w:val="nil"/>
                    <w:tr2bl w:val="nil"/>
                  </w:tcBorders>
                  <w:noWrap w:val="0"/>
                  <w:vAlign w:val="center"/>
                </w:tcPr>
                <w:p w14:paraId="32C2EC3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地表水环境</w:t>
                  </w:r>
                </w:p>
              </w:tc>
              <w:tc>
                <w:tcPr>
                  <w:tcW w:w="906" w:type="pct"/>
                  <w:gridSpan w:val="2"/>
                  <w:tcBorders>
                    <w:tl2br w:val="nil"/>
                    <w:tr2bl w:val="nil"/>
                  </w:tcBorders>
                  <w:noWrap w:val="0"/>
                  <w:vAlign w:val="center"/>
                </w:tcPr>
                <w:p w14:paraId="0D6A9E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生活污水</w:t>
                  </w:r>
                </w:p>
              </w:tc>
              <w:tc>
                <w:tcPr>
                  <w:tcW w:w="564" w:type="pct"/>
                  <w:vMerge w:val="restart"/>
                  <w:tcBorders>
                    <w:tl2br w:val="nil"/>
                    <w:tr2bl w:val="nil"/>
                  </w:tcBorders>
                  <w:noWrap w:val="0"/>
                  <w:vAlign w:val="center"/>
                </w:tcPr>
                <w:p w14:paraId="3AACC1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COD、氨氮、SS、BOD</w:t>
                  </w:r>
                  <w:r>
                    <w:rPr>
                      <w:rFonts w:hint="default" w:ascii="Times New Roman" w:hAnsi="Times New Roman" w:eastAsia="宋体" w:cs="Times New Roman"/>
                      <w:sz w:val="21"/>
                      <w:szCs w:val="21"/>
                      <w:vertAlign w:val="subscript"/>
                    </w:rPr>
                    <w:t>5</w:t>
                  </w:r>
                  <w:r>
                    <w:rPr>
                      <w:rFonts w:hint="default" w:ascii="Times New Roman" w:hAnsi="Times New Roman" w:eastAsia="宋体" w:cs="Times New Roman"/>
                      <w:sz w:val="21"/>
                      <w:szCs w:val="21"/>
                    </w:rPr>
                    <w:t>、石油类</w:t>
                  </w:r>
                </w:p>
              </w:tc>
              <w:tc>
                <w:tcPr>
                  <w:tcW w:w="783" w:type="pct"/>
                  <w:tcBorders>
                    <w:tl2br w:val="nil"/>
                    <w:tr2bl w:val="nil"/>
                  </w:tcBorders>
                  <w:noWrap w:val="0"/>
                  <w:vAlign w:val="center"/>
                </w:tcPr>
                <w:p w14:paraId="761BB2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w:t>
                  </w:r>
                </w:p>
              </w:tc>
              <w:tc>
                <w:tcPr>
                  <w:tcW w:w="1174" w:type="pct"/>
                  <w:vMerge w:val="restart"/>
                  <w:tcBorders>
                    <w:tl2br w:val="nil"/>
                    <w:tr2bl w:val="nil"/>
                  </w:tcBorders>
                  <w:noWrap w:val="0"/>
                  <w:vAlign w:val="center"/>
                </w:tcPr>
                <w:p w14:paraId="645969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《污水综合排放标准》（GB8978-1996）中三级排放标准</w:t>
                  </w:r>
                </w:p>
              </w:tc>
              <w:tc>
                <w:tcPr>
                  <w:tcW w:w="1196" w:type="pct"/>
                  <w:vMerge w:val="restart"/>
                  <w:tcBorders>
                    <w:tl2br w:val="nil"/>
                    <w:tr2bl w:val="nil"/>
                  </w:tcBorders>
                  <w:noWrap w:val="0"/>
                  <w:vAlign w:val="center"/>
                </w:tcPr>
                <w:p w14:paraId="6E58FA6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r>
                    <w:rPr>
                      <w:rFonts w:hint="default" w:ascii="Times New Roman" w:hAnsi="Times New Roman" w:eastAsia="宋体" w:cs="Times New Roman"/>
                      <w:sz w:val="21"/>
                      <w:szCs w:val="21"/>
                      <w:lang w:val="zh-CN" w:eastAsia="zh-CN"/>
                    </w:rPr>
                    <w:t>厂区初期雨水、地面清洗水经</w:t>
                  </w:r>
                  <w:r>
                    <w:rPr>
                      <w:rFonts w:hint="eastAsia" w:ascii="Times New Roman" w:hAnsi="Times New Roman" w:eastAsia="宋体" w:cs="Times New Roman"/>
                      <w:sz w:val="21"/>
                      <w:szCs w:val="21"/>
                      <w:lang w:val="en-US" w:eastAsia="zh-CN"/>
                    </w:rPr>
                    <w:t>油水分离器</w:t>
                  </w:r>
                  <w:r>
                    <w:rPr>
                      <w:rFonts w:hint="default" w:ascii="Times New Roman" w:hAnsi="Times New Roman" w:eastAsia="宋体" w:cs="Times New Roman"/>
                      <w:sz w:val="21"/>
                      <w:szCs w:val="21"/>
                      <w:lang w:val="zh-CN" w:eastAsia="zh-CN"/>
                    </w:rPr>
                    <w:t>处理后，与生活污水一并收集后经市政污水管网进入</w:t>
                  </w:r>
                  <w:r>
                    <w:rPr>
                      <w:rFonts w:hint="eastAsia" w:ascii="Times New Roman" w:hAnsi="Times New Roman" w:eastAsia="宋体" w:cs="Times New Roman"/>
                      <w:b w:val="0"/>
                      <w:bCs w:val="0"/>
                      <w:color w:val="auto"/>
                      <w:sz w:val="21"/>
                      <w:szCs w:val="21"/>
                      <w:highlight w:val="none"/>
                      <w:lang w:val="en-US" w:eastAsia="zh-CN"/>
                    </w:rPr>
                    <w:t>长春绿园西新工业集中区污水处理厂</w:t>
                  </w:r>
                  <w:r>
                    <w:rPr>
                      <w:rFonts w:hint="default" w:ascii="Times New Roman" w:hAnsi="Times New Roman" w:eastAsia="宋体" w:cs="Times New Roman"/>
                      <w:sz w:val="21"/>
                      <w:szCs w:val="21"/>
                      <w:lang w:val="zh-CN" w:eastAsia="zh-CN"/>
                    </w:rPr>
                    <w:t>进行处理，</w:t>
                  </w:r>
                  <w:r>
                    <w:rPr>
                      <w:rFonts w:hint="default" w:ascii="Times New Roman" w:hAnsi="Times New Roman" w:eastAsia="宋体" w:cs="Times New Roman"/>
                      <w:sz w:val="21"/>
                      <w:szCs w:val="21"/>
                      <w:lang w:val="en-US" w:eastAsia="zh-CN"/>
                    </w:rPr>
                    <w:t>经检测结果可知：厂区废水总排口中各污染物浓度均满足</w:t>
                  </w:r>
                  <w:r>
                    <w:rPr>
                      <w:rFonts w:hint="default" w:ascii="Times New Roman" w:hAnsi="Times New Roman" w:eastAsia="宋体" w:cs="Times New Roman"/>
                      <w:sz w:val="21"/>
                      <w:szCs w:val="21"/>
                      <w:lang w:val="zh-CN" w:eastAsia="zh-CN"/>
                    </w:rPr>
                    <w:t>《污水综合排放标准》（GB8978-1996）中三级排放标准。</w:t>
                  </w:r>
                </w:p>
              </w:tc>
            </w:tr>
            <w:tr w14:paraId="6055AA1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continue"/>
                  <w:tcBorders>
                    <w:tl2br w:val="nil"/>
                    <w:tr2bl w:val="nil"/>
                  </w:tcBorders>
                  <w:noWrap w:val="0"/>
                  <w:vAlign w:val="center"/>
                </w:tcPr>
                <w:p w14:paraId="6D2E88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tcBorders>
                    <w:tl2br w:val="nil"/>
                    <w:tr2bl w:val="nil"/>
                  </w:tcBorders>
                  <w:noWrap w:val="0"/>
                  <w:vAlign w:val="center"/>
                </w:tcPr>
                <w:p w14:paraId="5C11D1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地面清洗废水</w:t>
                  </w:r>
                </w:p>
              </w:tc>
              <w:tc>
                <w:tcPr>
                  <w:tcW w:w="564" w:type="pct"/>
                  <w:vMerge w:val="continue"/>
                  <w:tcBorders>
                    <w:tl2br w:val="nil"/>
                    <w:tr2bl w:val="nil"/>
                  </w:tcBorders>
                  <w:noWrap w:val="0"/>
                  <w:vAlign w:val="center"/>
                </w:tcPr>
                <w:p w14:paraId="7B6EE4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p>
              </w:tc>
              <w:tc>
                <w:tcPr>
                  <w:tcW w:w="783" w:type="pct"/>
                  <w:vMerge w:val="restart"/>
                  <w:tcBorders>
                    <w:tl2br w:val="nil"/>
                    <w:tr2bl w:val="nil"/>
                  </w:tcBorders>
                  <w:noWrap w:val="0"/>
                  <w:vAlign w:val="center"/>
                </w:tcPr>
                <w:p w14:paraId="77039F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厂区周边设置排水沟，</w:t>
                  </w:r>
                  <w:r>
                    <w:rPr>
                      <w:rFonts w:hint="default" w:ascii="Times New Roman" w:hAnsi="Times New Roman" w:eastAsia="宋体" w:cs="Times New Roman"/>
                      <w:sz w:val="21"/>
                      <w:szCs w:val="21"/>
                      <w:lang w:val="en-US" w:eastAsia="zh-CN"/>
                    </w:rPr>
                    <w:t>地面清洗废水与</w:t>
                  </w:r>
                  <w:r>
                    <w:rPr>
                      <w:rFonts w:hint="default" w:ascii="Times New Roman" w:hAnsi="Times New Roman" w:eastAsia="宋体" w:cs="Times New Roman"/>
                      <w:sz w:val="21"/>
                      <w:szCs w:val="21"/>
                    </w:rPr>
                    <w:t>初期雨水经排水沟收集后进入初期雨水池中，采取</w:t>
                  </w:r>
                  <w:r>
                    <w:rPr>
                      <w:rFonts w:hint="eastAsia" w:ascii="Times New Roman" w:hAnsi="Times New Roman" w:eastAsia="宋体" w:cs="Times New Roman"/>
                      <w:sz w:val="21"/>
                      <w:szCs w:val="21"/>
                      <w:lang w:val="en-US" w:eastAsia="zh-CN"/>
                    </w:rPr>
                    <w:t>有谁分离器</w:t>
                  </w:r>
                  <w:r>
                    <w:rPr>
                      <w:rFonts w:hint="default" w:ascii="Times New Roman" w:hAnsi="Times New Roman" w:eastAsia="宋体" w:cs="Times New Roman"/>
                      <w:sz w:val="21"/>
                      <w:szCs w:val="21"/>
                    </w:rPr>
                    <w:t>处理后，</w:t>
                  </w:r>
                  <w:r>
                    <w:rPr>
                      <w:rFonts w:hint="default" w:ascii="Times New Roman" w:hAnsi="Times New Roman" w:eastAsia="宋体" w:cs="Times New Roman"/>
                      <w:sz w:val="21"/>
                      <w:szCs w:val="21"/>
                      <w:lang w:val="en-US" w:eastAsia="zh-CN"/>
                    </w:rPr>
                    <w:t>排入市政污水管网</w:t>
                  </w:r>
                </w:p>
              </w:tc>
              <w:tc>
                <w:tcPr>
                  <w:tcW w:w="1174" w:type="pct"/>
                  <w:vMerge w:val="continue"/>
                  <w:tcBorders>
                    <w:tl2br w:val="nil"/>
                    <w:tr2bl w:val="nil"/>
                  </w:tcBorders>
                  <w:noWrap w:val="0"/>
                  <w:vAlign w:val="center"/>
                </w:tcPr>
                <w:p w14:paraId="41A199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126253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r>
            <w:tr w14:paraId="51500E45">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74" w:type="pct"/>
                  <w:vMerge w:val="continue"/>
                  <w:tcBorders>
                    <w:tl2br w:val="nil"/>
                    <w:tr2bl w:val="nil"/>
                  </w:tcBorders>
                  <w:noWrap w:val="0"/>
                  <w:vAlign w:val="center"/>
                </w:tcPr>
                <w:p w14:paraId="7C93CC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906" w:type="pct"/>
                  <w:gridSpan w:val="2"/>
                  <w:tcBorders>
                    <w:tl2br w:val="nil"/>
                    <w:tr2bl w:val="nil"/>
                  </w:tcBorders>
                  <w:noWrap w:val="0"/>
                  <w:vAlign w:val="center"/>
                </w:tcPr>
                <w:p w14:paraId="146B4A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初期雨水</w:t>
                  </w:r>
                </w:p>
              </w:tc>
              <w:tc>
                <w:tcPr>
                  <w:tcW w:w="564" w:type="pct"/>
                  <w:vMerge w:val="continue"/>
                  <w:tcBorders>
                    <w:tl2br w:val="nil"/>
                    <w:tr2bl w:val="nil"/>
                  </w:tcBorders>
                  <w:noWrap w:val="0"/>
                  <w:vAlign w:val="center"/>
                </w:tcPr>
                <w:p w14:paraId="223837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783" w:type="pct"/>
                  <w:vMerge w:val="continue"/>
                  <w:tcBorders>
                    <w:tl2br w:val="nil"/>
                    <w:tr2bl w:val="nil"/>
                  </w:tcBorders>
                  <w:noWrap w:val="0"/>
                  <w:vAlign w:val="center"/>
                </w:tcPr>
                <w:p w14:paraId="2463D64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74" w:type="pct"/>
                  <w:vMerge w:val="continue"/>
                  <w:tcBorders>
                    <w:tl2br w:val="nil"/>
                    <w:tr2bl w:val="nil"/>
                  </w:tcBorders>
                  <w:noWrap w:val="0"/>
                  <w:vAlign w:val="center"/>
                </w:tcPr>
                <w:p w14:paraId="761C49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c>
                <w:tcPr>
                  <w:tcW w:w="1196" w:type="pct"/>
                  <w:vMerge w:val="continue"/>
                  <w:tcBorders>
                    <w:tl2br w:val="nil"/>
                    <w:tr2bl w:val="nil"/>
                  </w:tcBorders>
                  <w:noWrap w:val="0"/>
                  <w:vAlign w:val="center"/>
                </w:tcPr>
                <w:p w14:paraId="4AEE4C6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p>
              </w:tc>
            </w:tr>
            <w:tr w14:paraId="1CD0BD1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tcBorders>
                    <w:tl2br w:val="nil"/>
                    <w:tr2bl w:val="nil"/>
                  </w:tcBorders>
                  <w:noWrap w:val="0"/>
                  <w:vAlign w:val="center"/>
                </w:tcPr>
                <w:p w14:paraId="082B5D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906" w:type="pct"/>
                  <w:gridSpan w:val="2"/>
                  <w:tcBorders>
                    <w:tl2br w:val="nil"/>
                    <w:tr2bl w:val="nil"/>
                  </w:tcBorders>
                  <w:noWrap w:val="0"/>
                  <w:vAlign w:val="center"/>
                </w:tcPr>
                <w:p w14:paraId="700C4D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生产设备噪声、风机等噪声</w:t>
                  </w:r>
                </w:p>
              </w:tc>
              <w:tc>
                <w:tcPr>
                  <w:tcW w:w="564" w:type="pct"/>
                  <w:tcBorders>
                    <w:tl2br w:val="nil"/>
                    <w:tr2bl w:val="nil"/>
                  </w:tcBorders>
                  <w:noWrap w:val="0"/>
                  <w:vAlign w:val="center"/>
                </w:tcPr>
                <w:p w14:paraId="184AD85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783" w:type="pct"/>
                  <w:tcBorders>
                    <w:tl2br w:val="nil"/>
                    <w:tr2bl w:val="nil"/>
                  </w:tcBorders>
                  <w:noWrap w:val="0"/>
                  <w:vAlign w:val="center"/>
                </w:tcPr>
                <w:p w14:paraId="12A7C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减振、消声、墙体隔声</w:t>
                  </w:r>
                </w:p>
              </w:tc>
              <w:tc>
                <w:tcPr>
                  <w:tcW w:w="1174" w:type="pct"/>
                  <w:tcBorders>
                    <w:tl2br w:val="nil"/>
                    <w:tr2bl w:val="nil"/>
                  </w:tcBorders>
                  <w:noWrap w:val="0"/>
                  <w:vAlign w:val="center"/>
                </w:tcPr>
                <w:p w14:paraId="486A2EC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GB12348-2008</w:t>
                  </w:r>
                  <w:r>
                    <w:rPr>
                      <w:rFonts w:hint="default" w:ascii="Times New Roman" w:hAnsi="Times New Roman" w:eastAsia="宋体" w:cs="Times New Roman"/>
                      <w:sz w:val="21"/>
                      <w:szCs w:val="21"/>
                      <w:lang w:eastAsia="zh-CN"/>
                    </w:rPr>
                    <w:t>）</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类</w:t>
                  </w:r>
                </w:p>
              </w:tc>
              <w:tc>
                <w:tcPr>
                  <w:tcW w:w="1196" w:type="pct"/>
                  <w:tcBorders>
                    <w:tl2br w:val="nil"/>
                    <w:tr2bl w:val="nil"/>
                  </w:tcBorders>
                  <w:noWrap w:val="0"/>
                  <w:vAlign w:val="center"/>
                </w:tcPr>
                <w:p w14:paraId="560819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已落实，本项目采取减振、建筑隔声等措施，经检测结果可知，</w:t>
                  </w:r>
                  <w:r>
                    <w:rPr>
                      <w:rFonts w:hint="default" w:ascii="Times New Roman" w:hAnsi="Times New Roman" w:eastAsia="宋体" w:cs="Times New Roman"/>
                      <w:sz w:val="21"/>
                      <w:szCs w:val="21"/>
                      <w:lang w:eastAsia="zh-CN"/>
                    </w:rPr>
                    <w:t>厂界</w:t>
                  </w:r>
                  <w:r>
                    <w:rPr>
                      <w:rFonts w:hint="default" w:ascii="Times New Roman" w:hAnsi="Times New Roman" w:eastAsia="宋体" w:cs="Times New Roman"/>
                      <w:sz w:val="21"/>
                      <w:szCs w:val="21"/>
                      <w:lang w:val="en-US" w:eastAsia="zh-CN"/>
                    </w:rPr>
                    <w:t>噪声满足</w:t>
                  </w:r>
                  <w:r>
                    <w:rPr>
                      <w:rFonts w:hint="default" w:ascii="Times New Roman" w:hAnsi="Times New Roman" w:eastAsia="宋体" w:cs="Times New Roman"/>
                      <w:sz w:val="21"/>
                      <w:szCs w:val="21"/>
                    </w:rPr>
                    <w:t>《工业企业厂界环境噪声排放标准》（GB12348-2008）</w:t>
                  </w:r>
                  <w:r>
                    <w:rPr>
                      <w:rFonts w:hint="default" w:ascii="Times New Roman" w:hAnsi="Times New Roman" w:eastAsia="宋体" w:cs="Times New Roman"/>
                      <w:sz w:val="21"/>
                      <w:szCs w:val="21"/>
                      <w:lang w:val="en-US" w:eastAsia="zh-CN"/>
                    </w:rPr>
                    <w:t>中</w:t>
                  </w: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类标准</w:t>
                  </w:r>
                  <w:r>
                    <w:rPr>
                      <w:rFonts w:hint="default" w:ascii="Times New Roman" w:hAnsi="Times New Roman" w:eastAsia="宋体" w:cs="Times New Roman"/>
                      <w:sz w:val="21"/>
                      <w:szCs w:val="21"/>
                      <w:lang w:val="zh-CN" w:eastAsia="zh-CN"/>
                    </w:rPr>
                    <w:t>要求。</w:t>
                  </w:r>
                </w:p>
              </w:tc>
            </w:tr>
            <w:tr w14:paraId="20D246B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374" w:type="pct"/>
                  <w:tcBorders>
                    <w:tl2br w:val="nil"/>
                    <w:tr2bl w:val="nil"/>
                  </w:tcBorders>
                  <w:noWrap w:val="0"/>
                  <w:vAlign w:val="center"/>
                </w:tcPr>
                <w:p w14:paraId="7411272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固体废物</w:t>
                  </w:r>
                </w:p>
              </w:tc>
              <w:tc>
                <w:tcPr>
                  <w:tcW w:w="3428" w:type="pct"/>
                  <w:gridSpan w:val="5"/>
                  <w:tcBorders>
                    <w:tl2br w:val="nil"/>
                    <w:tr2bl w:val="nil"/>
                  </w:tcBorders>
                  <w:noWrap w:val="0"/>
                  <w:vAlign w:val="center"/>
                </w:tcPr>
                <w:p w14:paraId="30CA07C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①一般工业废物：</w:t>
                  </w:r>
                </w:p>
                <w:p w14:paraId="205E3E1B">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制冷剂采用密闭专用容器收集，暂存于一般工业固体废物贮存区，定期交由具有相应资质的单位利用和处置；废旧动力蓄电池暂存于动力蓄电池贮存区内，定期交售给新能源汽车生产企业建立的动力蓄电池回收服务网点，或符合国家对动力蓄电池梯次利用管理有关要求的梯次利用企业，或者从事废旧动力蓄电池综合利用的企业处置；废弃车用电子零部件分类收集暂存于一般工业固体废物贮存区，定期交由具有相应废弃电器产品处理资格企业、电子废物拆解利用处置单位名录内企业处置；废安全气囊（引爆后）、海绵及座椅材料、内饰材料、安全带及相关纺织品及轻质物料分类收集暂存于一般工业固体废物贮存区，定期交由相应处理能力或经营范围的单位利用和处置；不可利用废物、布袋除尘器收集粉尘袋装，暂存于一般工业固体废物贮存区，定期交由环卫部门统一处理；废布袋定期更换，由厂家回收处理。</w:t>
                  </w:r>
                </w:p>
                <w:p w14:paraId="60FB7B23">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②</w:t>
                  </w:r>
                  <w:r>
                    <w:rPr>
                      <w:rFonts w:hint="eastAsia" w:ascii="Times New Roman" w:hAnsi="Times New Roman" w:eastAsia="宋体" w:cs="Times New Roman"/>
                      <w:sz w:val="21"/>
                      <w:szCs w:val="21"/>
                      <w:lang w:val="en-US" w:eastAsia="zh-CN"/>
                    </w:rPr>
                    <w:t>职工生活垃圾：暂存于垃圾箱内，定期交由环卫部门统一处理。</w:t>
                  </w:r>
                </w:p>
                <w:p w14:paraId="0F2DDD23">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③</w:t>
                  </w:r>
                  <w:r>
                    <w:rPr>
                      <w:rFonts w:hint="eastAsia" w:ascii="Times New Roman" w:hAnsi="Times New Roman" w:eastAsia="宋体" w:cs="Times New Roman"/>
                      <w:sz w:val="21"/>
                      <w:szCs w:val="21"/>
                      <w:lang w:val="en-US" w:eastAsia="zh-CN"/>
                    </w:rPr>
                    <w:t>危险废物：</w:t>
                  </w:r>
                </w:p>
                <w:p w14:paraId="2A8F9230">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废有机溶剂与含有机溶剂废物（风窗玻璃清洗液、防冻液和动力电池冷却液等）、废矿物油与含矿物油废物（汽油、柴油、发动机机油、液压油、润滑油、机油过滤器等）、废尾气催化剂、废电路板、含汞废物、废铅酸蓄电池、浮油、浮渣和油泥、废活性炭、废防酸滤铅网、发生铅蓄电池破损时产生的铅尘及沾染油污的手套和抹布分类收集，暂存于危险废物贮存库，定期交由持有相应类别危险废物经营许可证的单位处理。</w:t>
                  </w:r>
                </w:p>
              </w:tc>
              <w:tc>
                <w:tcPr>
                  <w:tcW w:w="1196" w:type="pct"/>
                  <w:tcBorders>
                    <w:tl2br w:val="nil"/>
                    <w:tr2bl w:val="nil"/>
                  </w:tcBorders>
                  <w:noWrap w:val="0"/>
                  <w:vAlign w:val="center"/>
                </w:tcPr>
                <w:p w14:paraId="11F74D59">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已落实，本项目产生的危险废物分类</w:t>
                  </w:r>
                  <w:r>
                    <w:rPr>
                      <w:rFonts w:hint="default" w:ascii="Times New Roman" w:hAnsi="Times New Roman" w:eastAsia="宋体" w:cs="Times New Roman"/>
                      <w:sz w:val="21"/>
                      <w:szCs w:val="21"/>
                      <w:lang w:val="zh-CN"/>
                    </w:rPr>
                    <w:t>暂存至危废暂存间，定期由有资质单位进行处理；</w:t>
                  </w:r>
                  <w:r>
                    <w:rPr>
                      <w:rFonts w:hint="default" w:ascii="Times New Roman" w:hAnsi="Times New Roman" w:eastAsia="宋体" w:cs="Times New Roman"/>
                      <w:sz w:val="21"/>
                      <w:szCs w:val="21"/>
                      <w:lang w:val="en-US" w:eastAsia="zh-CN"/>
                    </w:rPr>
                    <w:t>一般固体废物中</w:t>
                  </w:r>
                  <w:r>
                    <w:rPr>
                      <w:rFonts w:hint="default" w:ascii="Times New Roman" w:hAnsi="Times New Roman" w:eastAsia="宋体" w:cs="Times New Roman"/>
                      <w:sz w:val="21"/>
                      <w:szCs w:val="21"/>
                      <w:lang w:val="zh-CN"/>
                    </w:rPr>
                    <w:t>废制冷剂委托具有相关资质单位进行处理；</w:t>
                  </w:r>
                  <w:r>
                    <w:rPr>
                      <w:rFonts w:hint="default" w:ascii="Times New Roman" w:hAnsi="Times New Roman" w:eastAsia="宋体" w:cs="Times New Roman"/>
                      <w:sz w:val="21"/>
                      <w:szCs w:val="21"/>
                      <w:lang w:val="en-US" w:eastAsia="zh-CN"/>
                    </w:rPr>
                    <w:t>其他可利用的一般固体废物外售综合利用处理；</w:t>
                  </w:r>
                  <w:r>
                    <w:rPr>
                      <w:rFonts w:hint="default" w:ascii="Times New Roman" w:hAnsi="Times New Roman" w:eastAsia="宋体" w:cs="Times New Roman"/>
                      <w:sz w:val="21"/>
                      <w:szCs w:val="21"/>
                      <w:lang w:val="zh-CN"/>
                    </w:rPr>
                    <w:t>布袋回收粉尘及生活垃圾定期由环卫部门统一处理</w:t>
                  </w:r>
                  <w:r>
                    <w:rPr>
                      <w:rFonts w:hint="default" w:ascii="Times New Roman" w:hAnsi="Times New Roman" w:eastAsia="宋体" w:cs="Times New Roman"/>
                      <w:sz w:val="21"/>
                      <w:szCs w:val="21"/>
                      <w:lang w:val="en-US" w:eastAsia="zh-CN"/>
                    </w:rPr>
                    <w:t>，不会造成二次污染。</w:t>
                  </w:r>
                </w:p>
              </w:tc>
            </w:tr>
            <w:tr w14:paraId="4EE4930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374" w:type="pct"/>
                  <w:tcBorders>
                    <w:tl2br w:val="nil"/>
                    <w:tr2bl w:val="nil"/>
                  </w:tcBorders>
                  <w:noWrap w:val="0"/>
                  <w:vAlign w:val="center"/>
                </w:tcPr>
                <w:p w14:paraId="5CEF5BD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土壤及地下水</w:t>
                  </w:r>
                </w:p>
                <w:p w14:paraId="42D9721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污染防治措施</w:t>
                  </w:r>
                </w:p>
              </w:tc>
              <w:tc>
                <w:tcPr>
                  <w:tcW w:w="3428" w:type="pct"/>
                  <w:gridSpan w:val="5"/>
                  <w:tcBorders>
                    <w:tl2br w:val="nil"/>
                    <w:tr2bl w:val="nil"/>
                  </w:tcBorders>
                  <w:noWrap w:val="0"/>
                  <w:vAlign w:val="center"/>
                </w:tcPr>
                <w:p w14:paraId="5D4E5C0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本项目厂区除绿化区域外，地面均进行硬化处理，并结合本项目特点，将厂区划分为重点防渗区、一般防渗区和简单防渗区，</w:t>
                  </w:r>
                </w:p>
                <w:p w14:paraId="1E7A9DB9">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①重点防渗区：汽车拆解区（包含预处理区、安全气囊引爆区）、危险废物贮存库（含铅酸蓄电池贮存区）、传统燃料机动车区、电动汽车区、动力蓄电池贮存区、事故应急池、雨水收集池、污水池。汽车拆解区、危废暂存库四周设置防腐沟，地面及四侧墙裙铺设一层2mm厚的高密度聚乙烯（HDPE）防渗层，高密度聚乙烯材料具有良好的耐酸、耐腐蚀、防渗效果，渗透系数≤10</w:t>
                  </w:r>
                  <w:r>
                    <w:rPr>
                      <w:rFonts w:hint="eastAsia" w:ascii="Times New Roman" w:hAnsi="Times New Roman" w:eastAsia="宋体" w:cs="Times New Roman"/>
                      <w:sz w:val="21"/>
                      <w:szCs w:val="21"/>
                      <w:vertAlign w:val="superscript"/>
                      <w:lang w:val="en-US" w:eastAsia="zh-CN"/>
                    </w:rPr>
                    <w:t>-10</w:t>
                  </w:r>
                  <w:r>
                    <w:rPr>
                      <w:rFonts w:hint="eastAsia" w:ascii="Times New Roman" w:hAnsi="Times New Roman" w:eastAsia="宋体" w:cs="Times New Roman"/>
                      <w:sz w:val="21"/>
                      <w:szCs w:val="21"/>
                      <w:lang w:val="en-US" w:eastAsia="zh-CN"/>
                    </w:rPr>
                    <w:t>cm/s，在聚乙烯层上铺设一层10cm后的耐酸混凝土层，最后涂刷2mm厚环氧树脂；危险废物贮存库应设置液体导流和收集装置，地面应无液体积聚，如有冲洗废水应纳入废水收集处理设施处理；拆解区及贮存区应采取防油渗措施，按照GB 50037的要求在防渗地面上涂刷有耐磨性能的防油渗涂料；动力蓄电池拆卸及其贮存区应满足HJ 1186中的相关要求，地面应采用环氧地坪等硬化措施，地面应做防酸、防腐、防渗、硬化及绝缘处理；初期雨水池、污水池、事故应急池参照HJ 610-2016中重点防渗区的要求，即等效黏土防渗层厚度≥6.0m，渗透系数k≤1×10</w:t>
                  </w:r>
                  <w:r>
                    <w:rPr>
                      <w:rFonts w:hint="eastAsia" w:ascii="Times New Roman" w:hAnsi="Times New Roman" w:eastAsia="宋体" w:cs="Times New Roman"/>
                      <w:sz w:val="21"/>
                      <w:szCs w:val="21"/>
                      <w:vertAlign w:val="superscript"/>
                      <w:lang w:val="en-US" w:eastAsia="zh-CN"/>
                    </w:rPr>
                    <w:t>-7</w:t>
                  </w:r>
                  <w:r>
                    <w:rPr>
                      <w:rFonts w:hint="eastAsia" w:ascii="Times New Roman" w:hAnsi="Times New Roman" w:eastAsia="宋体" w:cs="Times New Roman"/>
                      <w:sz w:val="21"/>
                      <w:szCs w:val="21"/>
                      <w:lang w:val="en-US" w:eastAsia="zh-CN"/>
                    </w:rPr>
                    <w:t>cm/s。</w:t>
                  </w:r>
                </w:p>
                <w:p w14:paraId="1137495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②</w:t>
                  </w:r>
                  <w:r>
                    <w:rPr>
                      <w:rFonts w:hint="eastAsia" w:ascii="Times New Roman" w:hAnsi="Times New Roman" w:eastAsia="宋体" w:cs="Times New Roman"/>
                      <w:sz w:val="21"/>
                      <w:szCs w:val="21"/>
                      <w:lang w:val="en-US" w:eastAsia="zh-CN"/>
                    </w:rPr>
                    <w:t>一般防渗区：地磅间采用天然或人工材料构筑防渗层，防渗层的厚度应相当于渗透系数为1.0×10</w:t>
                  </w:r>
                  <w:r>
                    <w:rPr>
                      <w:rFonts w:hint="eastAsia" w:ascii="Times New Roman" w:hAnsi="Times New Roman" w:eastAsia="宋体" w:cs="Times New Roman"/>
                      <w:sz w:val="21"/>
                      <w:szCs w:val="21"/>
                      <w:vertAlign w:val="superscript"/>
                      <w:lang w:val="en-US" w:eastAsia="zh-CN"/>
                    </w:rPr>
                    <w:t>-7</w:t>
                  </w:r>
                  <w:r>
                    <w:rPr>
                      <w:rFonts w:hint="eastAsia" w:ascii="Times New Roman" w:hAnsi="Times New Roman" w:eastAsia="宋体" w:cs="Times New Roman"/>
                      <w:sz w:val="21"/>
                      <w:szCs w:val="21"/>
                      <w:lang w:val="en-US" w:eastAsia="zh-CN"/>
                    </w:rPr>
                    <w:t>cm/s、厚度1.5m的粘土层的防渗性能。一般工业固体废物贮存区、回用件贮存区采取不低于15cm厚基础混凝土层+防油渗隔离层。</w:t>
                  </w:r>
                </w:p>
                <w:p w14:paraId="0DC29610">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③</w:t>
                  </w:r>
                  <w:r>
                    <w:rPr>
                      <w:rFonts w:hint="eastAsia" w:ascii="Times New Roman" w:hAnsi="Times New Roman" w:eastAsia="宋体" w:cs="Times New Roman"/>
                      <w:sz w:val="21"/>
                      <w:szCs w:val="21"/>
                      <w:lang w:val="en-US" w:eastAsia="zh-CN"/>
                    </w:rPr>
                    <w:t>简单防渗区：厂内其他除绿化外以外的区域，均已采取地面硬化。可满足简单防渗区要求。</w:t>
                  </w:r>
                </w:p>
              </w:tc>
              <w:tc>
                <w:tcPr>
                  <w:tcW w:w="1196" w:type="pct"/>
                  <w:tcBorders>
                    <w:tl2br w:val="nil"/>
                    <w:tr2bl w:val="nil"/>
                  </w:tcBorders>
                  <w:noWrap w:val="0"/>
                  <w:vAlign w:val="center"/>
                </w:tcPr>
                <w:p w14:paraId="3D4F76A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已落实，厂区已按照</w:t>
                  </w:r>
                  <w:r>
                    <w:rPr>
                      <w:rFonts w:hint="default" w:ascii="Times New Roman" w:hAnsi="Times New Roman" w:eastAsia="宋体" w:cs="Times New Roman"/>
                      <w:sz w:val="21"/>
                      <w:szCs w:val="21"/>
                      <w:lang w:val="zh-CN" w:eastAsia="zh-CN"/>
                    </w:rPr>
                    <w:t>《危险废物贮存污染控制标准》（GB18597-2001）要求，设置危险废物贮存场所，</w:t>
                  </w:r>
                  <w:r>
                    <w:rPr>
                      <w:rFonts w:hint="default" w:ascii="Times New Roman" w:hAnsi="Times New Roman" w:eastAsia="宋体" w:cs="Times New Roman"/>
                      <w:sz w:val="21"/>
                      <w:szCs w:val="21"/>
                      <w:lang w:val="en-US" w:eastAsia="zh-CN"/>
                    </w:rPr>
                    <w:t>并采取防酸、防腐、防渗处理。</w:t>
                  </w:r>
                </w:p>
              </w:tc>
            </w:tr>
            <w:tr w14:paraId="7635E2A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374" w:type="pct"/>
                  <w:tcBorders>
                    <w:tl2br w:val="nil"/>
                    <w:tr2bl w:val="nil"/>
                  </w:tcBorders>
                  <w:noWrap w:val="0"/>
                  <w:vAlign w:val="center"/>
                </w:tcPr>
                <w:p w14:paraId="07B75B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环境风险防范措施</w:t>
                  </w:r>
                </w:p>
              </w:tc>
              <w:tc>
                <w:tcPr>
                  <w:tcW w:w="3428" w:type="pct"/>
                  <w:gridSpan w:val="5"/>
                  <w:tcBorders>
                    <w:tl2br w:val="nil"/>
                    <w:tr2bl w:val="nil"/>
                  </w:tcBorders>
                  <w:noWrap w:val="0"/>
                  <w:vAlign w:val="center"/>
                </w:tcPr>
                <w:p w14:paraId="3534EA41">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作业区地面混凝土强度等级不低于C20，厚度不低于150mm，其中物流通道路面和拆解作业区域强度不低于C30，厚度不低于200mm。大型拆解设备承重区域的硬化标准参照设备工艺要求执行；危险废物贮存库地面应设置液体导流和收集装置，地面应无液体积聚；拆解区应有防漏、截流和清污措施。</w:t>
                  </w:r>
                </w:p>
                <w:p w14:paraId="766EAD4A">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电动汽车拆解作业人员在带电作业过程中应进行安全防护，穿戴好绝缘工作服等必要的安全防护装备。使用的作业工具应是绝缘的或经绝缘处理的。作业时，应有专职监督人员实时监护。</w:t>
                  </w:r>
                </w:p>
                <w:p w14:paraId="79A4928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在厂区建设一座事故应急池及一座初期雨水收集池，能够防止事故泄漏或消防废水、污染雨水造成的环境污染事故。</w:t>
                  </w:r>
                </w:p>
                <w:p w14:paraId="32F38C70">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危险废物转移处置应委托有危险废物经营许可证的废物处理专业公司进行，并向环保部门申报登记，办理危险废物的运输转移手续，对危险废物进行全过程严格管理和安全处置。</w:t>
                  </w:r>
                </w:p>
                <w:p w14:paraId="389F35F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420" w:firstLineChars="200"/>
                    <w:jc w:val="both"/>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制定突发环境事件应急预案并报送至生态环境局备案。</w:t>
                  </w:r>
                </w:p>
              </w:tc>
              <w:tc>
                <w:tcPr>
                  <w:tcW w:w="1196" w:type="pct"/>
                  <w:tcBorders>
                    <w:tl2br w:val="nil"/>
                    <w:tr2bl w:val="nil"/>
                  </w:tcBorders>
                  <w:noWrap w:val="0"/>
                  <w:vAlign w:val="center"/>
                </w:tcPr>
                <w:p w14:paraId="19EE06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已落实，厂区已</w:t>
                  </w:r>
                  <w:r>
                    <w:rPr>
                      <w:rFonts w:hint="default" w:ascii="Times New Roman" w:hAnsi="Times New Roman" w:eastAsia="宋体" w:cs="Times New Roman"/>
                      <w:color w:val="000000"/>
                      <w:sz w:val="21"/>
                      <w:szCs w:val="21"/>
                      <w:lang w:val="zh-CN"/>
                    </w:rPr>
                    <w:t>制定突发环境事件应急预案，并报生态环境行政主管部门备案。</w:t>
                  </w:r>
                  <w:r>
                    <w:rPr>
                      <w:rFonts w:hint="default" w:ascii="Times New Roman" w:hAnsi="Times New Roman" w:eastAsia="宋体" w:cs="Times New Roman"/>
                      <w:color w:val="000000"/>
                      <w:sz w:val="21"/>
                      <w:szCs w:val="21"/>
                      <w:lang w:val="en-US" w:eastAsia="zh-CN"/>
                    </w:rPr>
                    <w:t>并按要求</w:t>
                  </w:r>
                  <w:r>
                    <w:rPr>
                      <w:rFonts w:hint="default" w:ascii="Times New Roman" w:hAnsi="Times New Roman" w:eastAsia="宋体" w:cs="Times New Roman"/>
                      <w:color w:val="000000"/>
                      <w:sz w:val="21"/>
                      <w:szCs w:val="21"/>
                      <w:lang w:val="zh-CN"/>
                    </w:rPr>
                    <w:t>落实环境风险防范措施。</w:t>
                  </w:r>
                </w:p>
              </w:tc>
            </w:tr>
            <w:tr w14:paraId="52961D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374" w:type="pct"/>
                  <w:tcBorders>
                    <w:tl2br w:val="nil"/>
                    <w:tr2bl w:val="nil"/>
                  </w:tcBorders>
                  <w:noWrap w:val="0"/>
                  <w:vAlign w:val="center"/>
                </w:tcPr>
                <w:p w14:paraId="4C56A9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其他环境管理要求</w:t>
                  </w:r>
                </w:p>
              </w:tc>
              <w:tc>
                <w:tcPr>
                  <w:tcW w:w="3428" w:type="pct"/>
                  <w:gridSpan w:val="5"/>
                  <w:tcBorders>
                    <w:tl2br w:val="nil"/>
                    <w:tr2bl w:val="nil"/>
                  </w:tcBorders>
                  <w:noWrap w:val="0"/>
                  <w:vAlign w:val="center"/>
                </w:tcPr>
                <w:p w14:paraId="73BDEC0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default" w:ascii="Times New Roman" w:hAnsi="Times New Roman" w:eastAsia="宋体" w:cs="Times New Roman"/>
                      <w:spacing w:val="-8"/>
                      <w:sz w:val="21"/>
                      <w:szCs w:val="21"/>
                      <w:lang w:val="en-US" w:eastAsia="zh-CN"/>
                    </w:rPr>
                    <w:t>1</w:t>
                  </w:r>
                  <w:r>
                    <w:rPr>
                      <w:rFonts w:hint="eastAsia" w:ascii="Times New Roman" w:hAnsi="Times New Roman" w:eastAsia="宋体" w:cs="Times New Roman"/>
                      <w:spacing w:val="-8"/>
                      <w:sz w:val="21"/>
                      <w:szCs w:val="21"/>
                      <w:lang w:val="en-US" w:eastAsia="zh-CN"/>
                    </w:rPr>
                    <w:t>、验收管理</w:t>
                  </w:r>
                </w:p>
                <w:p w14:paraId="54975355">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依据《建设项目环境保护管理条例》（国务院第</w:t>
                  </w:r>
                  <w:r>
                    <w:rPr>
                      <w:rFonts w:hint="default" w:ascii="Times New Roman" w:hAnsi="Times New Roman" w:eastAsia="宋体" w:cs="Times New Roman"/>
                      <w:spacing w:val="-8"/>
                      <w:sz w:val="21"/>
                      <w:szCs w:val="21"/>
                      <w:lang w:val="en-US" w:eastAsia="zh-CN"/>
                    </w:rPr>
                    <w:t>682</w:t>
                  </w:r>
                  <w:r>
                    <w:rPr>
                      <w:rFonts w:hint="eastAsia" w:ascii="Times New Roman" w:hAnsi="Times New Roman" w:eastAsia="宋体" w:cs="Times New Roman"/>
                      <w:spacing w:val="-8"/>
                      <w:sz w:val="21"/>
                      <w:szCs w:val="21"/>
                      <w:lang w:val="en-US" w:eastAsia="zh-CN"/>
                    </w:rPr>
                    <w:t>号令）及国环规环评〔</w:t>
                  </w:r>
                  <w:r>
                    <w:rPr>
                      <w:rFonts w:hint="default" w:ascii="Times New Roman" w:hAnsi="Times New Roman" w:eastAsia="宋体" w:cs="Times New Roman"/>
                      <w:spacing w:val="-8"/>
                      <w:sz w:val="21"/>
                      <w:szCs w:val="21"/>
                      <w:lang w:val="en-US" w:eastAsia="zh-CN"/>
                    </w:rPr>
                    <w:t>2017</w:t>
                  </w:r>
                  <w:r>
                    <w:rPr>
                      <w:rFonts w:hint="eastAsia" w:ascii="Times New Roman" w:hAnsi="Times New Roman" w:eastAsia="宋体" w:cs="Times New Roman"/>
                      <w:spacing w:val="-8"/>
                      <w:sz w:val="21"/>
                      <w:szCs w:val="21"/>
                      <w:lang w:val="en-US" w:eastAsia="zh-CN"/>
                    </w:rPr>
                    <w:t>〕</w:t>
                  </w:r>
                  <w:r>
                    <w:rPr>
                      <w:rFonts w:hint="default" w:ascii="Times New Roman" w:hAnsi="Times New Roman" w:eastAsia="宋体" w:cs="Times New Roman"/>
                      <w:spacing w:val="-8"/>
                      <w:sz w:val="21"/>
                      <w:szCs w:val="21"/>
                      <w:lang w:val="en-US" w:eastAsia="zh-CN"/>
                    </w:rPr>
                    <w:t>4</w:t>
                  </w:r>
                  <w:r>
                    <w:rPr>
                      <w:rFonts w:hint="eastAsia" w:ascii="Times New Roman" w:hAnsi="Times New Roman" w:eastAsia="宋体" w:cs="Times New Roman"/>
                      <w:spacing w:val="-8"/>
                      <w:sz w:val="21"/>
                      <w:szCs w:val="21"/>
                      <w:lang w:val="en-US" w:eastAsia="zh-CN"/>
                    </w:rPr>
                    <w:t>号《建设项目竣工环境保护验收暂行办法》的有关规定，企业建设完成后，需按照相关标准及条例，组织对配套建设的环境保护设施进行验收，编制验收报告，公开相关信息，接受社会监督，确保建设项目需要配套建设的环境保护设施与主体工程同时投产或者使用，并对验收内容、结论和所公开信息的真实性、准确性和完整性负责。验收期限一般不超过</w:t>
                  </w:r>
                  <w:r>
                    <w:rPr>
                      <w:rFonts w:hint="default" w:ascii="Times New Roman" w:hAnsi="Times New Roman" w:eastAsia="宋体" w:cs="Times New Roman"/>
                      <w:spacing w:val="-8"/>
                      <w:sz w:val="21"/>
                      <w:szCs w:val="21"/>
                      <w:lang w:val="en-US" w:eastAsia="zh-CN"/>
                    </w:rPr>
                    <w:t>3</w:t>
                  </w:r>
                  <w:r>
                    <w:rPr>
                      <w:rFonts w:hint="eastAsia" w:ascii="Times New Roman" w:hAnsi="Times New Roman" w:eastAsia="宋体" w:cs="Times New Roman"/>
                      <w:spacing w:val="-8"/>
                      <w:sz w:val="21"/>
                      <w:szCs w:val="21"/>
                      <w:lang w:val="en-US" w:eastAsia="zh-CN"/>
                    </w:rPr>
                    <w:t>个月，建设项目配套建设的环境保护设施经验收合格后，其主体工程方可投入生产或着使用；未经验收或者验收不合格的，不得投入生产或者使用。</w:t>
                  </w:r>
                </w:p>
                <w:p w14:paraId="49625144">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除按照国家需要保密的情形外，建设单位应当通过其网站或其他便于公众知晓的方式向社会公开下列信息：</w:t>
                  </w:r>
                </w:p>
                <w:p w14:paraId="363986DD">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（一）建设项目配套建设的环境保护设施竣工后，公开竣工日期；</w:t>
                  </w:r>
                </w:p>
                <w:p w14:paraId="31342A31">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（二）对建设项目配套建设的环境保护设施进行调试前，公开调试的起止日期；</w:t>
                  </w:r>
                </w:p>
                <w:p w14:paraId="48281E5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（三）验收报告编制完成后</w:t>
                  </w:r>
                  <w:r>
                    <w:rPr>
                      <w:rFonts w:hint="default" w:ascii="Times New Roman" w:hAnsi="Times New Roman" w:eastAsia="宋体" w:cs="Times New Roman"/>
                      <w:spacing w:val="-8"/>
                      <w:sz w:val="21"/>
                      <w:szCs w:val="21"/>
                      <w:lang w:val="en-US" w:eastAsia="zh-CN"/>
                    </w:rPr>
                    <w:t>5</w:t>
                  </w:r>
                  <w:r>
                    <w:rPr>
                      <w:rFonts w:hint="eastAsia" w:ascii="Times New Roman" w:hAnsi="Times New Roman" w:eastAsia="宋体" w:cs="Times New Roman"/>
                      <w:spacing w:val="-8"/>
                      <w:sz w:val="21"/>
                      <w:szCs w:val="21"/>
                      <w:lang w:val="en-US" w:eastAsia="zh-CN"/>
                    </w:rPr>
                    <w:t>个工作日内，公开验收报告，公示的期限不得少于</w:t>
                  </w:r>
                  <w:r>
                    <w:rPr>
                      <w:rFonts w:hint="default" w:ascii="Times New Roman" w:hAnsi="Times New Roman" w:eastAsia="宋体" w:cs="Times New Roman"/>
                      <w:spacing w:val="-8"/>
                      <w:sz w:val="21"/>
                      <w:szCs w:val="21"/>
                      <w:lang w:val="en-US" w:eastAsia="zh-CN"/>
                    </w:rPr>
                    <w:t>20</w:t>
                  </w:r>
                  <w:r>
                    <w:rPr>
                      <w:rFonts w:hint="eastAsia" w:ascii="Times New Roman" w:hAnsi="Times New Roman" w:eastAsia="宋体" w:cs="Times New Roman"/>
                      <w:spacing w:val="-8"/>
                      <w:sz w:val="21"/>
                      <w:szCs w:val="21"/>
                      <w:lang w:val="en-US" w:eastAsia="zh-CN"/>
                    </w:rPr>
                    <w:t>个工作日。</w:t>
                  </w:r>
                </w:p>
                <w:p w14:paraId="2A548770">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（四）建设单位公开上述信息的同时，应当向所在地县级以上环境保护主管部门报送相关信息，并接受监督检查。</w:t>
                  </w:r>
                </w:p>
                <w:p w14:paraId="0379C7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验收报告公示期满后</w:t>
                  </w:r>
                  <w:r>
                    <w:rPr>
                      <w:rFonts w:hint="default" w:ascii="Times New Roman" w:hAnsi="Times New Roman" w:eastAsia="宋体" w:cs="Times New Roman"/>
                      <w:spacing w:val="-8"/>
                      <w:sz w:val="21"/>
                      <w:szCs w:val="21"/>
                      <w:lang w:val="en-US" w:eastAsia="zh-CN"/>
                    </w:rPr>
                    <w:t>5</w:t>
                  </w:r>
                  <w:r>
                    <w:rPr>
                      <w:rFonts w:hint="eastAsia" w:ascii="Times New Roman" w:hAnsi="Times New Roman" w:eastAsia="宋体" w:cs="Times New Roman"/>
                      <w:spacing w:val="-8"/>
                      <w:sz w:val="21"/>
                      <w:szCs w:val="21"/>
                      <w:lang w:val="en-US" w:eastAsia="zh-CN"/>
                    </w:rPr>
                    <w:t>个工作日内，建设单位应当登陆全国建设项目竣工环境保护验收信息平台，填报建设项目基本信息、环境保护设施验收情况等相关信息，环境保护主管部门对上述信息予以公开</w:t>
                  </w:r>
                </w:p>
                <w:p w14:paraId="1CED507D">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2、排污许可管理</w:t>
                  </w:r>
                </w:p>
                <w:p w14:paraId="12349BAF">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根据《关于强化建设项目环评事中事后监管的实施意见》（环评</w:t>
                  </w:r>
                  <w:r>
                    <w:rPr>
                      <w:rFonts w:hint="default" w:ascii="Times New Roman" w:hAnsi="Times New Roman" w:eastAsia="宋体" w:cs="Times New Roman"/>
                      <w:spacing w:val="-8"/>
                      <w:sz w:val="21"/>
                      <w:szCs w:val="21"/>
                      <w:lang w:val="en-US" w:eastAsia="zh-CN"/>
                    </w:rPr>
                    <w:t>〔2018〕11</w:t>
                  </w:r>
                  <w:r>
                    <w:rPr>
                      <w:rFonts w:hint="eastAsia" w:ascii="Times New Roman" w:hAnsi="Times New Roman" w:eastAsia="宋体" w:cs="Times New Roman"/>
                      <w:spacing w:val="-8"/>
                      <w:sz w:val="21"/>
                      <w:szCs w:val="21"/>
                      <w:lang w:val="en-US" w:eastAsia="zh-CN"/>
                    </w:rPr>
                    <w:t>号）、《排污许可管理管理条例》（中华人民共和国国务院令第</w:t>
                  </w:r>
                  <w:r>
                    <w:rPr>
                      <w:rFonts w:hint="default" w:ascii="Times New Roman" w:hAnsi="Times New Roman" w:eastAsia="宋体" w:cs="Times New Roman"/>
                      <w:spacing w:val="-8"/>
                      <w:sz w:val="21"/>
                      <w:szCs w:val="21"/>
                      <w:lang w:val="en-US" w:eastAsia="zh-CN"/>
                    </w:rPr>
                    <w:t>736</w:t>
                  </w:r>
                  <w:r>
                    <w:rPr>
                      <w:rFonts w:hint="eastAsia" w:ascii="Times New Roman" w:hAnsi="Times New Roman" w:eastAsia="宋体" w:cs="Times New Roman"/>
                      <w:spacing w:val="-8"/>
                      <w:sz w:val="21"/>
                      <w:szCs w:val="21"/>
                      <w:lang w:val="en-US" w:eastAsia="zh-CN"/>
                    </w:rPr>
                    <w:t>号）和《固定污染源排污许可分类管理名录（</w:t>
                  </w:r>
                  <w:r>
                    <w:rPr>
                      <w:rFonts w:hint="default" w:ascii="Times New Roman" w:hAnsi="Times New Roman" w:eastAsia="宋体" w:cs="Times New Roman"/>
                      <w:spacing w:val="-8"/>
                      <w:sz w:val="21"/>
                      <w:szCs w:val="21"/>
                      <w:lang w:val="en-US" w:eastAsia="zh-CN"/>
                    </w:rPr>
                    <w:t>2019</w:t>
                  </w:r>
                  <w:r>
                    <w:rPr>
                      <w:rFonts w:hint="eastAsia" w:ascii="Times New Roman" w:hAnsi="Times New Roman" w:eastAsia="宋体" w:cs="Times New Roman"/>
                      <w:spacing w:val="-8"/>
                      <w:sz w:val="21"/>
                      <w:szCs w:val="21"/>
                      <w:lang w:val="en-US" w:eastAsia="zh-CN"/>
                    </w:rPr>
                    <w:t>年版）》等要求，“在名录规定的时限后建成的排污单位，应当在启动生产设施或者在实际排污之前申请排污许可证”。</w:t>
                  </w:r>
                </w:p>
                <w:p w14:paraId="526C7BC6">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3、环境监测管理</w:t>
                  </w:r>
                </w:p>
                <w:p w14:paraId="5D461C1D">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（1）环境管理目标</w:t>
                  </w:r>
                </w:p>
                <w:p w14:paraId="2B8386A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环境管理计划的制定和实施是工程在施工期和运营期环保措施得以落实的重要保证。通过环境管理，可以使工程建设和环境保护得以同步实施，使地方生态环境主管部门具有可监督的依据。通过环保措施的实施及环境管理，使项目建设对周围环境带来的不利影响降至最低程度。</w:t>
                  </w:r>
                </w:p>
                <w:p w14:paraId="2581ECF7">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根据本项目的废水、废气及噪声等产污节点分析，环保人员负责每日的环境保护工作的检查和管理，具体内容如下：</w:t>
                  </w:r>
                </w:p>
                <w:p w14:paraId="06D5A724">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①认真贯彻并监督企业各部门严格执行国家关于保护环境方面的方针、政策、法律和法令，协调生产建设和环境保护的关系。</w:t>
                  </w:r>
                </w:p>
                <w:p w14:paraId="7EDECF09">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②负责环保工作和“三废”处理的管理监督工作，建立和健全环保管理制度和环保岗位责任制。</w:t>
                  </w:r>
                </w:p>
                <w:p w14:paraId="670E5FC1">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③负责监督和检查环保设施的运行状况、治理效果，落实环保设施的日常维护和维修等工作，拟定潜在环境问题发生的预防措施，组织制定和实施环保设施出现故障的应急计划。</w:t>
                  </w:r>
                </w:p>
                <w:p w14:paraId="26BAB781">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④在建设期和运营期确保各项环保措施的实施，真正落实评价报告提出的各项污染防治措施，并配合各级环保管理和监测机构对施工期环保情况的监督工作。</w:t>
                  </w:r>
                </w:p>
                <w:p w14:paraId="7958E667">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⑤安排各污染源的定期监测工作，及时掌握环境质量总的变化动态，将日常监测数据进行逐月逐年统计，并存档备案。</w:t>
                  </w:r>
                </w:p>
                <w:p w14:paraId="6E9AD242">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 xml:space="preserve">⑥做好环境保护知识的宣传工作和环保技能的培训工作，提高工作人员的环保意识和能力，保证各项环保措施的正常有效实施。 </w:t>
                  </w:r>
                </w:p>
                <w:p w14:paraId="20D3A8A5">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⑦制定相应的经济责任制和奖惩制度，使环保管理工作真正落到实处，有效地增强企业部门和个人的环保意识，调动其参与环保管理的积极性。</w:t>
                  </w:r>
                </w:p>
                <w:p w14:paraId="7500F9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（2）环境管理机构</w:t>
                  </w:r>
                </w:p>
                <w:p w14:paraId="0D2B53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根据本建设项目的工程特点及严格的环境保护要求，环境管理应作为本项目的重要管理内容，因此，环境管理应由一名人员专职负责，对运营期的环境进行管理。</w:t>
                  </w:r>
                </w:p>
                <w:p w14:paraId="5F512F16">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eastAsia" w:ascii="Times New Roman" w:hAnsi="Times New Roman" w:eastAsia="宋体" w:cs="Times New Roman"/>
                      <w:spacing w:val="-8"/>
                      <w:sz w:val="21"/>
                      <w:szCs w:val="21"/>
                      <w:lang w:val="en-US" w:eastAsia="zh-CN"/>
                    </w:rPr>
                  </w:pPr>
                  <w:r>
                    <w:rPr>
                      <w:rFonts w:hint="eastAsia" w:ascii="Times New Roman" w:hAnsi="Times New Roman" w:eastAsia="宋体" w:cs="Times New Roman"/>
                      <w:spacing w:val="-8"/>
                      <w:sz w:val="21"/>
                      <w:szCs w:val="21"/>
                      <w:lang w:val="en-US" w:eastAsia="zh-CN"/>
                    </w:rPr>
                    <w:t>（3）环境管理体系</w:t>
                  </w:r>
                </w:p>
                <w:p w14:paraId="42CB902E">
                  <w:pPr>
                    <w:keepNext w:val="0"/>
                    <w:keepLines w:val="0"/>
                    <w:pageBreakBefore w:val="0"/>
                    <w:widowControl/>
                    <w:kinsoku/>
                    <w:wordWrap/>
                    <w:overflowPunct/>
                    <w:topLinePunct w:val="0"/>
                    <w:autoSpaceDE/>
                    <w:autoSpaceDN/>
                    <w:bidi w:val="0"/>
                    <w:adjustRightInd w:val="0"/>
                    <w:snapToGrid w:val="0"/>
                    <w:spacing w:after="0" w:line="240" w:lineRule="auto"/>
                    <w:ind w:left="0" w:leftChars="0" w:firstLine="388" w:firstLineChars="200"/>
                    <w:jc w:val="both"/>
                    <w:textAlignment w:val="auto"/>
                    <w:rPr>
                      <w:rFonts w:hint="default" w:ascii="Times New Roman" w:hAnsi="Times New Roman" w:eastAsia="宋体" w:cs="Times New Roman"/>
                      <w:spacing w:val="-8"/>
                      <w:sz w:val="21"/>
                      <w:szCs w:val="21"/>
                    </w:rPr>
                  </w:pPr>
                  <w:r>
                    <w:rPr>
                      <w:rFonts w:hint="eastAsia" w:ascii="Times New Roman" w:hAnsi="Times New Roman" w:eastAsia="宋体" w:cs="Times New Roman"/>
                      <w:spacing w:val="-8"/>
                      <w:sz w:val="21"/>
                      <w:szCs w:val="21"/>
                      <w:lang w:val="en-US" w:eastAsia="zh-CN"/>
                    </w:rPr>
                    <w:t>环境管理体系作为管理体系中的一部分，应与之相协调统一。需配备一名环境管理人员，使环境管理很好地贯穿于管理体系的整个过程，并落实到管理的各个层次，把管理与环境管理紧密地结合起立，不但要建立完善的管理体系和各种规章制度，也要建立完善的环境管理体系，使环境管理工作真正落到实处。</w:t>
                  </w:r>
                </w:p>
              </w:tc>
              <w:tc>
                <w:tcPr>
                  <w:tcW w:w="1196" w:type="pct"/>
                  <w:tcBorders>
                    <w:tl2br w:val="nil"/>
                    <w:tr2bl w:val="nil"/>
                  </w:tcBorders>
                  <w:noWrap w:val="0"/>
                  <w:vAlign w:val="center"/>
                </w:tcPr>
                <w:p w14:paraId="2C2784B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both"/>
                    <w:textAlignment w:val="auto"/>
                    <w:rPr>
                      <w:rFonts w:hint="default" w:ascii="Times New Roman" w:hAnsi="Times New Roman" w:eastAsia="宋体" w:cs="Times New Roman"/>
                      <w:spacing w:val="-8"/>
                      <w:sz w:val="21"/>
                      <w:szCs w:val="21"/>
                      <w:lang w:val="en-US" w:eastAsia="zh-CN"/>
                    </w:rPr>
                  </w:pPr>
                  <w:r>
                    <w:rPr>
                      <w:rFonts w:hint="default" w:ascii="Times New Roman" w:hAnsi="Times New Roman" w:eastAsia="宋体" w:cs="Times New Roman"/>
                      <w:spacing w:val="-8"/>
                      <w:sz w:val="21"/>
                      <w:szCs w:val="21"/>
                      <w:lang w:val="en-US" w:eastAsia="zh-CN"/>
                    </w:rPr>
                    <w:t>本项目已</w:t>
                  </w:r>
                  <w:r>
                    <w:rPr>
                      <w:rFonts w:hint="default" w:ascii="Times New Roman" w:hAnsi="Times New Roman" w:eastAsia="宋体" w:cs="Times New Roman"/>
                      <w:spacing w:val="-8"/>
                      <w:sz w:val="21"/>
                      <w:szCs w:val="21"/>
                    </w:rPr>
                    <w:t>取得排污许可证</w:t>
                  </w:r>
                  <w:r>
                    <w:rPr>
                      <w:rFonts w:hint="default" w:ascii="Times New Roman" w:hAnsi="Times New Roman" w:eastAsia="宋体" w:cs="Times New Roman"/>
                      <w:spacing w:val="-8"/>
                      <w:sz w:val="21"/>
                      <w:szCs w:val="21"/>
                      <w:lang w:eastAsia="zh-CN"/>
                    </w:rPr>
                    <w:t>，</w:t>
                  </w:r>
                  <w:r>
                    <w:rPr>
                      <w:rFonts w:hint="default" w:ascii="Times New Roman" w:hAnsi="Times New Roman" w:eastAsia="宋体" w:cs="Times New Roman"/>
                      <w:spacing w:val="-8"/>
                      <w:sz w:val="21"/>
                      <w:szCs w:val="21"/>
                      <w:lang w:val="en-US" w:eastAsia="zh-CN"/>
                    </w:rPr>
                    <w:t>详见附件。</w:t>
                  </w:r>
                </w:p>
              </w:tc>
            </w:tr>
          </w:tbl>
          <w:p w14:paraId="40709FE8">
            <w:pPr>
              <w:widowControl w:val="0"/>
              <w:spacing w:after="0" w:line="360" w:lineRule="auto"/>
              <w:jc w:val="both"/>
              <w:rPr>
                <w:rFonts w:asciiTheme="minorEastAsia" w:hAnsiTheme="minorEastAsia" w:eastAsiaTheme="minorEastAsia" w:cstheme="minorEastAsia"/>
                <w:color w:val="000000"/>
                <w:sz w:val="21"/>
                <w:szCs w:val="21"/>
              </w:rPr>
            </w:pPr>
          </w:p>
        </w:tc>
      </w:tr>
    </w:tbl>
    <w:p w14:paraId="3E9797B4">
      <w:pPr>
        <w:pStyle w:val="24"/>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7799A02">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表五</w:t>
      </w:r>
      <w:r>
        <w:rPr>
          <w:rFonts w:hint="eastAsia" w:asciiTheme="minorEastAsia" w:hAnsiTheme="minorEastAsia" w:eastAsiaTheme="minorEastAsia" w:cstheme="minorEastAsia"/>
          <w:b/>
          <w:color w:val="000000"/>
          <w:sz w:val="24"/>
          <w:szCs w:val="24"/>
          <w:lang w:val="en-US" w:eastAsia="zh-CN"/>
        </w:rPr>
        <w:t xml:space="preserve">  质量保证及质量控制</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DB3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0" w:hRule="atLeast"/>
          <w:jc w:val="center"/>
        </w:trPr>
        <w:tc>
          <w:tcPr>
            <w:tcW w:w="5000" w:type="pct"/>
          </w:tcPr>
          <w:p w14:paraId="761A8684">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验收监测质量保证及质量控制：</w:t>
            </w:r>
          </w:p>
          <w:p w14:paraId="5840BB56">
            <w:pPr>
              <w:widowControl w:val="0"/>
              <w:adjustRightInd w:val="0"/>
              <w:snapToGrid w:val="0"/>
              <w:spacing w:after="0" w:line="360" w:lineRule="auto"/>
              <w:ind w:firstLine="482" w:firstLineChars="200"/>
              <w:jc w:val="both"/>
              <w:rPr>
                <w:rFonts w:hint="default" w:ascii="Times New Roman" w:hAnsi="Times New Roman" w:eastAsia="宋体" w:cs="Times New Roman"/>
                <w:b/>
                <w:bCs/>
                <w:color w:val="auto"/>
                <w:kern w:val="2"/>
                <w:sz w:val="24"/>
                <w:szCs w:val="24"/>
              </w:rPr>
            </w:pPr>
            <w:r>
              <w:rPr>
                <w:rFonts w:hint="default" w:ascii="Times New Roman" w:hAnsi="Times New Roman" w:eastAsia="宋体" w:cs="Times New Roman"/>
                <w:b/>
                <w:bCs/>
                <w:color w:val="auto"/>
                <w:kern w:val="2"/>
                <w:sz w:val="24"/>
                <w:szCs w:val="24"/>
              </w:rPr>
              <w:t>1、验收监测分析方法</w:t>
            </w:r>
          </w:p>
          <w:p w14:paraId="4BED7A04">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项目验收监测分析方法详见表</w:t>
            </w:r>
            <w:r>
              <w:rPr>
                <w:rFonts w:hint="default" w:ascii="Times New Roman" w:hAnsi="Times New Roman" w:eastAsia="宋体" w:cs="Times New Roman"/>
                <w:color w:val="auto"/>
                <w:kern w:val="2"/>
                <w:sz w:val="24"/>
                <w:szCs w:val="24"/>
                <w:lang w:val="en-US" w:eastAsia="zh-CN"/>
              </w:rPr>
              <w:t>5-1</w:t>
            </w:r>
            <w:r>
              <w:rPr>
                <w:rFonts w:hint="default" w:ascii="Times New Roman" w:hAnsi="Times New Roman" w:eastAsia="宋体" w:cs="Times New Roman"/>
                <w:color w:val="auto"/>
                <w:kern w:val="2"/>
                <w:sz w:val="24"/>
                <w:szCs w:val="24"/>
              </w:rPr>
              <w:t>。</w:t>
            </w:r>
          </w:p>
          <w:p w14:paraId="17920A18">
            <w:pPr>
              <w:pStyle w:val="13"/>
              <w:spacing w:line="240" w:lineRule="auto"/>
              <w:jc w:val="center"/>
              <w:rPr>
                <w:rFonts w:hint="default" w:ascii="Times New Roman" w:hAnsi="Times New Roman" w:cs="Times New Roman" w:eastAsiaTheme="minorEastAsia"/>
                <w:b/>
                <w:bCs/>
                <w:sz w:val="21"/>
                <w:szCs w:val="21"/>
                <w:u w:val="none"/>
              </w:rPr>
            </w:pPr>
            <w:r>
              <w:rPr>
                <w:rFonts w:hint="default" w:ascii="Times New Roman" w:hAnsi="Times New Roman" w:cs="Times New Roman" w:eastAsiaTheme="minorEastAsia"/>
                <w:b/>
                <w:bCs/>
                <w:sz w:val="21"/>
                <w:szCs w:val="21"/>
                <w:u w:val="none"/>
              </w:rPr>
              <w:t>表</w:t>
            </w:r>
            <w:r>
              <w:rPr>
                <w:rFonts w:hint="default" w:ascii="Times New Roman" w:hAnsi="Times New Roman" w:cs="Times New Roman" w:eastAsiaTheme="minorEastAsia"/>
                <w:b/>
                <w:bCs/>
                <w:sz w:val="21"/>
                <w:szCs w:val="21"/>
                <w:u w:val="none"/>
                <w:lang w:val="en-US" w:eastAsia="zh-CN"/>
              </w:rPr>
              <w:t>5-1</w:t>
            </w:r>
            <w:r>
              <w:rPr>
                <w:rFonts w:hint="default" w:ascii="Times New Roman" w:hAnsi="Times New Roman" w:cs="Times New Roman" w:eastAsiaTheme="minorEastAsia"/>
                <w:b/>
                <w:bCs/>
                <w:sz w:val="21"/>
                <w:szCs w:val="21"/>
                <w:u w:val="none"/>
              </w:rPr>
              <w:t xml:space="preserve"> </w:t>
            </w:r>
            <w:r>
              <w:rPr>
                <w:rFonts w:hint="eastAsia" w:ascii="Times New Roman" w:hAnsi="Times New Roman" w:cs="Times New Roman" w:eastAsiaTheme="minorEastAsia"/>
                <w:b/>
                <w:bCs/>
                <w:sz w:val="21"/>
                <w:szCs w:val="21"/>
                <w:u w:val="none"/>
                <w:lang w:val="en-US" w:eastAsia="zh-CN"/>
              </w:rPr>
              <w:t xml:space="preserve">  </w:t>
            </w:r>
            <w:r>
              <w:rPr>
                <w:rFonts w:hint="default" w:ascii="Times New Roman" w:hAnsi="Times New Roman" w:cs="Times New Roman" w:eastAsiaTheme="minorEastAsia"/>
                <w:b/>
                <w:bCs/>
                <w:sz w:val="21"/>
                <w:szCs w:val="21"/>
                <w:u w:val="none"/>
              </w:rPr>
              <w:t>验收监测项目、方法及来源</w:t>
            </w:r>
          </w:p>
          <w:tbl>
            <w:tblPr>
              <w:tblStyle w:val="10"/>
              <w:tblW w:w="4989"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4705"/>
              <w:gridCol w:w="1074"/>
              <w:gridCol w:w="995"/>
            </w:tblGrid>
            <w:tr w14:paraId="3D634D4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913" w:type="pct"/>
                  <w:tcBorders>
                    <w:tl2br w:val="nil"/>
                    <w:tr2bl w:val="nil"/>
                  </w:tcBorders>
                  <w:vAlign w:val="center"/>
                </w:tcPr>
                <w:p w14:paraId="1FEFE9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项目</w:t>
                  </w:r>
                </w:p>
              </w:tc>
              <w:tc>
                <w:tcPr>
                  <w:tcW w:w="2838" w:type="pct"/>
                  <w:tcBorders>
                    <w:tl2br w:val="nil"/>
                    <w:tr2bl w:val="nil"/>
                  </w:tcBorders>
                  <w:vAlign w:val="center"/>
                </w:tcPr>
                <w:p w14:paraId="5873D3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检测方法</w:t>
                  </w:r>
                </w:p>
              </w:tc>
              <w:tc>
                <w:tcPr>
                  <w:tcW w:w="648" w:type="pct"/>
                  <w:tcBorders>
                    <w:tl2br w:val="nil"/>
                    <w:tr2bl w:val="nil"/>
                  </w:tcBorders>
                  <w:vAlign w:val="center"/>
                </w:tcPr>
                <w:p w14:paraId="5755985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检出限</w:t>
                  </w:r>
                </w:p>
              </w:tc>
              <w:tc>
                <w:tcPr>
                  <w:tcW w:w="600" w:type="pct"/>
                  <w:tcBorders>
                    <w:tl2br w:val="nil"/>
                    <w:tr2bl w:val="nil"/>
                  </w:tcBorders>
                  <w:vAlign w:val="center"/>
                </w:tcPr>
                <w:p w14:paraId="1A7A8C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单位</w:t>
                  </w:r>
                </w:p>
              </w:tc>
            </w:tr>
            <w:tr w14:paraId="79AA85C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3" w:type="pct"/>
                  <w:tcBorders>
                    <w:tl2br w:val="nil"/>
                    <w:tr2bl w:val="nil"/>
                  </w:tcBorders>
                  <w:vAlign w:val="center"/>
                </w:tcPr>
                <w:p w14:paraId="5DFEC3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硫酸雾</w:t>
                  </w:r>
                </w:p>
              </w:tc>
              <w:tc>
                <w:tcPr>
                  <w:tcW w:w="2838" w:type="pct"/>
                  <w:tcBorders>
                    <w:tl2br w:val="nil"/>
                    <w:tr2bl w:val="nil"/>
                  </w:tcBorders>
                  <w:vAlign w:val="center"/>
                </w:tcPr>
                <w:p w14:paraId="4F6689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固定污染源废气 硫酸雾的测定 离子色谱法</w:t>
                  </w:r>
                </w:p>
                <w:p w14:paraId="57E0FF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HJ 544-2016</w:t>
                  </w:r>
                </w:p>
              </w:tc>
              <w:tc>
                <w:tcPr>
                  <w:tcW w:w="648" w:type="pct"/>
                  <w:tcBorders>
                    <w:tl2br w:val="nil"/>
                    <w:tr2bl w:val="nil"/>
                  </w:tcBorders>
                  <w:vAlign w:val="center"/>
                </w:tcPr>
                <w:p w14:paraId="64C415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w:t>
                  </w:r>
                </w:p>
              </w:tc>
              <w:tc>
                <w:tcPr>
                  <w:tcW w:w="600" w:type="pct"/>
                  <w:tcBorders>
                    <w:tl2br w:val="nil"/>
                    <w:tr2bl w:val="nil"/>
                  </w:tcBorders>
                  <w:vAlign w:val="center"/>
                </w:tcPr>
                <w:p w14:paraId="7A54B4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mg/m</w:t>
                  </w:r>
                  <w:r>
                    <w:rPr>
                      <w:rFonts w:hint="eastAsia" w:ascii="Times New Roman" w:hAnsi="Times New Roman" w:eastAsia="宋体" w:cs="Times New Roman"/>
                      <w:sz w:val="21"/>
                      <w:szCs w:val="21"/>
                      <w:vertAlign w:val="superscript"/>
                      <w:lang w:val="en-US" w:eastAsia="zh-CN"/>
                    </w:rPr>
                    <w:t>3</w:t>
                  </w:r>
                </w:p>
              </w:tc>
            </w:tr>
            <w:tr w14:paraId="526BF89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913" w:type="pct"/>
                  <w:tcBorders>
                    <w:tl2br w:val="nil"/>
                    <w:tr2bl w:val="nil"/>
                  </w:tcBorders>
                  <w:shd w:val="clear" w:color="auto" w:fill="auto"/>
                  <w:vAlign w:val="center"/>
                </w:tcPr>
                <w:p w14:paraId="3F328C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硫酸雾</w:t>
                  </w:r>
                </w:p>
              </w:tc>
              <w:tc>
                <w:tcPr>
                  <w:tcW w:w="2838" w:type="pct"/>
                  <w:tcBorders>
                    <w:tl2br w:val="nil"/>
                    <w:tr2bl w:val="nil"/>
                  </w:tcBorders>
                  <w:shd w:val="clear" w:color="auto" w:fill="auto"/>
                  <w:vAlign w:val="center"/>
                </w:tcPr>
                <w:p w14:paraId="2F2196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固定污染源废气硫酸雾的测定离子色谱法</w:t>
                  </w:r>
                </w:p>
                <w:p w14:paraId="4806FC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 544-2016</w:t>
                  </w:r>
                </w:p>
              </w:tc>
              <w:tc>
                <w:tcPr>
                  <w:tcW w:w="648" w:type="pct"/>
                  <w:tcBorders>
                    <w:tl2br w:val="nil"/>
                    <w:tr2bl w:val="nil"/>
                  </w:tcBorders>
                  <w:shd w:val="clear" w:color="auto" w:fill="auto"/>
                  <w:vAlign w:val="center"/>
                </w:tcPr>
                <w:p w14:paraId="427030F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0.005</w:t>
                  </w:r>
                </w:p>
              </w:tc>
              <w:tc>
                <w:tcPr>
                  <w:tcW w:w="600" w:type="pct"/>
                  <w:tcBorders>
                    <w:tl2br w:val="nil"/>
                    <w:tr2bl w:val="nil"/>
                  </w:tcBorders>
                  <w:shd w:val="clear" w:color="auto" w:fill="auto"/>
                  <w:vAlign w:val="center"/>
                </w:tcPr>
                <w:p w14:paraId="182CC9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mg/m</w:t>
                  </w:r>
                  <w:r>
                    <w:rPr>
                      <w:rFonts w:hint="eastAsia" w:ascii="Times New Roman" w:hAnsi="Times New Roman" w:eastAsia="宋体" w:cs="Times New Roman"/>
                      <w:sz w:val="21"/>
                      <w:szCs w:val="21"/>
                      <w:vertAlign w:val="superscript"/>
                      <w:lang w:eastAsia="zh-CN"/>
                    </w:rPr>
                    <w:t>3</w:t>
                  </w:r>
                </w:p>
              </w:tc>
            </w:tr>
            <w:tr w14:paraId="7DE1F99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791BE8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2838" w:type="pct"/>
                  <w:tcBorders>
                    <w:tl2br w:val="nil"/>
                    <w:tr2bl w:val="nil"/>
                  </w:tcBorders>
                  <w:vAlign w:val="center"/>
                </w:tcPr>
                <w:p w14:paraId="69B54F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固定污染源废气 铅的测定 火焰原子吸收分光光度法 HJ 685-2014</w:t>
                  </w:r>
                </w:p>
              </w:tc>
              <w:tc>
                <w:tcPr>
                  <w:tcW w:w="648" w:type="pct"/>
                  <w:tcBorders>
                    <w:tl2br w:val="nil"/>
                    <w:tr2bl w:val="nil"/>
                  </w:tcBorders>
                  <w:vAlign w:val="center"/>
                </w:tcPr>
                <w:p w14:paraId="446163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1.0×10</w:t>
                  </w:r>
                  <w:r>
                    <w:rPr>
                      <w:rFonts w:hint="eastAsia" w:ascii="Times New Roman" w:hAnsi="Times New Roman" w:eastAsia="宋体" w:cs="Times New Roman"/>
                      <w:sz w:val="21"/>
                      <w:szCs w:val="21"/>
                      <w:vertAlign w:val="superscript"/>
                    </w:rPr>
                    <w:t>-2</w:t>
                  </w:r>
                </w:p>
              </w:tc>
              <w:tc>
                <w:tcPr>
                  <w:tcW w:w="600" w:type="pct"/>
                  <w:tcBorders>
                    <w:tl2br w:val="nil"/>
                    <w:tr2bl w:val="nil"/>
                  </w:tcBorders>
                  <w:vAlign w:val="center"/>
                </w:tcPr>
                <w:p w14:paraId="7BB796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4DEB387D">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shd w:val="clear" w:color="auto" w:fill="auto"/>
                  <w:vAlign w:val="center"/>
                </w:tcPr>
                <w:p w14:paraId="6FE1BD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铅</w:t>
                  </w:r>
                </w:p>
              </w:tc>
              <w:tc>
                <w:tcPr>
                  <w:tcW w:w="2838" w:type="pct"/>
                  <w:tcBorders>
                    <w:tl2br w:val="nil"/>
                    <w:tr2bl w:val="nil"/>
                  </w:tcBorders>
                  <w:shd w:val="clear" w:color="auto" w:fill="auto"/>
                  <w:vAlign w:val="center"/>
                </w:tcPr>
                <w:p w14:paraId="787F93A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环境空气铅的测定石墨炉原子吸收分光光度法</w:t>
                  </w:r>
                </w:p>
                <w:p w14:paraId="00E314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HJ539-2015</w:t>
                  </w:r>
                </w:p>
              </w:tc>
              <w:tc>
                <w:tcPr>
                  <w:tcW w:w="648" w:type="pct"/>
                  <w:tcBorders>
                    <w:tl2br w:val="nil"/>
                    <w:tr2bl w:val="nil"/>
                  </w:tcBorders>
                  <w:shd w:val="clear" w:color="auto" w:fill="auto"/>
                  <w:vAlign w:val="center"/>
                </w:tcPr>
                <w:p w14:paraId="0F77C0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eastAsia" w:ascii="Times New Roman" w:hAnsi="Times New Roman" w:eastAsia="宋体" w:cs="Times New Roman"/>
                      <w:sz w:val="21"/>
                      <w:szCs w:val="21"/>
                    </w:rPr>
                    <w:t>0.009</w:t>
                  </w:r>
                </w:p>
              </w:tc>
              <w:tc>
                <w:tcPr>
                  <w:tcW w:w="600" w:type="pct"/>
                  <w:tcBorders>
                    <w:tl2br w:val="nil"/>
                    <w:tr2bl w:val="nil"/>
                  </w:tcBorders>
                  <w:shd w:val="clear" w:color="auto" w:fill="auto"/>
                  <w:vAlign w:val="center"/>
                </w:tcPr>
                <w:p w14:paraId="2C3EFB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en-US"/>
                    </w:rPr>
                  </w:pPr>
                  <w:r>
                    <w:rPr>
                      <w:rFonts w:hint="default" w:ascii="Times New Roman" w:hAnsi="Times New Roman" w:eastAsia="宋体" w:cs="Times New Roman"/>
                      <w:sz w:val="21"/>
                      <w:szCs w:val="21"/>
                    </w:rPr>
                    <w:t>μg/m</w:t>
                  </w:r>
                  <w:r>
                    <w:rPr>
                      <w:rFonts w:hint="default" w:ascii="Times New Roman" w:hAnsi="Times New Roman" w:eastAsia="宋体" w:cs="Times New Roman"/>
                      <w:sz w:val="21"/>
                      <w:szCs w:val="21"/>
                      <w:vertAlign w:val="superscript"/>
                    </w:rPr>
                    <w:t>3</w:t>
                  </w:r>
                </w:p>
              </w:tc>
            </w:tr>
            <w:tr w14:paraId="211CC02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1323366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非甲烷总烃</w:t>
                  </w:r>
                </w:p>
              </w:tc>
              <w:tc>
                <w:tcPr>
                  <w:tcW w:w="2838" w:type="pct"/>
                  <w:tcBorders>
                    <w:tl2br w:val="nil"/>
                    <w:tr2bl w:val="nil"/>
                  </w:tcBorders>
                  <w:vAlign w:val="center"/>
                </w:tcPr>
                <w:p w14:paraId="218D56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 总烃、甲烷和非甲烷总烃的测定</w:t>
                  </w:r>
                </w:p>
                <w:p w14:paraId="058D19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直接进样-气相色谱法HJ 604-2017</w:t>
                  </w:r>
                </w:p>
              </w:tc>
              <w:tc>
                <w:tcPr>
                  <w:tcW w:w="648" w:type="pct"/>
                  <w:tcBorders>
                    <w:tl2br w:val="nil"/>
                    <w:tr2bl w:val="nil"/>
                  </w:tcBorders>
                  <w:vAlign w:val="center"/>
                </w:tcPr>
                <w:p w14:paraId="2367D1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0.07</w:t>
                  </w:r>
                </w:p>
              </w:tc>
              <w:tc>
                <w:tcPr>
                  <w:tcW w:w="600" w:type="pct"/>
                  <w:tcBorders>
                    <w:tl2br w:val="nil"/>
                    <w:tr2bl w:val="nil"/>
                  </w:tcBorders>
                  <w:vAlign w:val="center"/>
                </w:tcPr>
                <w:p w14:paraId="75D604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12A995F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6BEDAF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2838" w:type="pct"/>
                  <w:tcBorders>
                    <w:tl2br w:val="nil"/>
                    <w:tr2bl w:val="nil"/>
                  </w:tcBorders>
                  <w:vAlign w:val="center"/>
                </w:tcPr>
                <w:p w14:paraId="6CE4A0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固定污染源排气中颗粒物测定与气态污染物采样方法 GB/T 16157-1996</w:t>
                  </w:r>
                </w:p>
              </w:tc>
              <w:tc>
                <w:tcPr>
                  <w:tcW w:w="648" w:type="pct"/>
                  <w:tcBorders>
                    <w:tl2br w:val="nil"/>
                    <w:tr2bl w:val="nil"/>
                  </w:tcBorders>
                  <w:vAlign w:val="center"/>
                </w:tcPr>
                <w:p w14:paraId="2CFF0B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600" w:type="pct"/>
                  <w:tcBorders>
                    <w:tl2br w:val="nil"/>
                    <w:tr2bl w:val="nil"/>
                  </w:tcBorders>
                  <w:vAlign w:val="center"/>
                </w:tcPr>
                <w:p w14:paraId="7A86DF0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3014744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0155EE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2838" w:type="pct"/>
                  <w:tcBorders>
                    <w:tl2br w:val="nil"/>
                    <w:tr2bl w:val="nil"/>
                  </w:tcBorders>
                  <w:vAlign w:val="center"/>
                </w:tcPr>
                <w:p w14:paraId="3AA1B96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环境空气 总悬浮颗粒物的测定 重量法</w:t>
                  </w:r>
                </w:p>
                <w:p w14:paraId="3CE265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GB/T 15432-1995</w:t>
                  </w:r>
                </w:p>
              </w:tc>
              <w:tc>
                <w:tcPr>
                  <w:tcW w:w="648" w:type="pct"/>
                  <w:tcBorders>
                    <w:tl2br w:val="nil"/>
                    <w:tr2bl w:val="nil"/>
                  </w:tcBorders>
                  <w:vAlign w:val="center"/>
                </w:tcPr>
                <w:p w14:paraId="798978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0.001</w:t>
                  </w:r>
                </w:p>
              </w:tc>
              <w:tc>
                <w:tcPr>
                  <w:tcW w:w="600" w:type="pct"/>
                  <w:tcBorders>
                    <w:tl2br w:val="nil"/>
                    <w:tr2bl w:val="nil"/>
                  </w:tcBorders>
                  <w:vAlign w:val="center"/>
                </w:tcPr>
                <w:p w14:paraId="23F496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mg/m³</w:t>
                  </w:r>
                </w:p>
              </w:tc>
            </w:tr>
            <w:tr w14:paraId="1844AEA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4474F7E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w:t>
                  </w:r>
                  <w:r>
                    <w:rPr>
                      <w:rFonts w:hint="eastAsia" w:ascii="Times New Roman" w:hAnsi="Times New Roman" w:eastAsia="宋体" w:cs="Times New Roman"/>
                      <w:sz w:val="21"/>
                      <w:szCs w:val="21"/>
                      <w:lang w:eastAsia="zh-CN"/>
                    </w:rPr>
                    <w:t>H</w:t>
                  </w:r>
                </w:p>
              </w:tc>
              <w:tc>
                <w:tcPr>
                  <w:tcW w:w="2838" w:type="pct"/>
                  <w:tcBorders>
                    <w:tl2br w:val="nil"/>
                    <w:tr2bl w:val="nil"/>
                  </w:tcBorders>
                  <w:vAlign w:val="center"/>
                </w:tcPr>
                <w:p w14:paraId="30B66D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水质 pH值的测定 电极法HJ 1147-2020</w:t>
                  </w:r>
                </w:p>
              </w:tc>
              <w:tc>
                <w:tcPr>
                  <w:tcW w:w="648" w:type="pct"/>
                  <w:tcBorders>
                    <w:tl2br w:val="nil"/>
                    <w:tr2bl w:val="nil"/>
                  </w:tcBorders>
                  <w:vAlign w:val="center"/>
                </w:tcPr>
                <w:p w14:paraId="34098E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w:t>
                  </w:r>
                </w:p>
              </w:tc>
              <w:tc>
                <w:tcPr>
                  <w:tcW w:w="600" w:type="pct"/>
                  <w:tcBorders>
                    <w:tl2br w:val="nil"/>
                    <w:tr2bl w:val="nil"/>
                  </w:tcBorders>
                  <w:vAlign w:val="center"/>
                </w:tcPr>
                <w:p w14:paraId="35BE0D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无量纲</w:t>
                  </w:r>
                </w:p>
              </w:tc>
            </w:tr>
            <w:tr w14:paraId="6C7BE46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7E6D30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COD</w:t>
                  </w:r>
                </w:p>
              </w:tc>
              <w:tc>
                <w:tcPr>
                  <w:tcW w:w="2838" w:type="pct"/>
                  <w:tcBorders>
                    <w:tl2br w:val="nil"/>
                    <w:tr2bl w:val="nil"/>
                  </w:tcBorders>
                  <w:vAlign w:val="center"/>
                </w:tcPr>
                <w:p w14:paraId="0C04FB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水质 化学需氧量的测定 重铬酸盐法</w:t>
                  </w:r>
                </w:p>
                <w:p w14:paraId="1CB35E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w:t>
                  </w:r>
                  <w:r>
                    <w:rPr>
                      <w:rFonts w:hint="eastAsia" w:ascii="Times New Roman" w:hAnsi="Times New Roman" w:eastAsia="宋体" w:cs="Times New Roman"/>
                      <w:sz w:val="21"/>
                      <w:szCs w:val="21"/>
                      <w:lang w:val="en-US" w:eastAsia="zh-CN"/>
                    </w:rPr>
                    <w:t xml:space="preserve"> 828-2017</w:t>
                  </w:r>
                </w:p>
              </w:tc>
              <w:tc>
                <w:tcPr>
                  <w:tcW w:w="648" w:type="pct"/>
                  <w:tcBorders>
                    <w:tl2br w:val="nil"/>
                    <w:tr2bl w:val="nil"/>
                  </w:tcBorders>
                  <w:vAlign w:val="center"/>
                </w:tcPr>
                <w:p w14:paraId="1328BA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w:t>
                  </w:r>
                </w:p>
              </w:tc>
              <w:tc>
                <w:tcPr>
                  <w:tcW w:w="600" w:type="pct"/>
                  <w:tcBorders>
                    <w:tl2br w:val="nil"/>
                    <w:tr2bl w:val="nil"/>
                  </w:tcBorders>
                  <w:vAlign w:val="center"/>
                </w:tcPr>
                <w:p w14:paraId="658877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31ADC7C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913" w:type="pct"/>
                  <w:tcBorders>
                    <w:tl2br w:val="nil"/>
                    <w:tr2bl w:val="nil"/>
                  </w:tcBorders>
                  <w:vAlign w:val="center"/>
                </w:tcPr>
                <w:p w14:paraId="0D17EA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BOD</w:t>
                  </w:r>
                  <w:r>
                    <w:rPr>
                      <w:rFonts w:hint="eastAsia" w:ascii="Times New Roman" w:hAnsi="Times New Roman" w:eastAsia="宋体" w:cs="Times New Roman"/>
                      <w:sz w:val="21"/>
                      <w:szCs w:val="21"/>
                      <w:vertAlign w:val="subscript"/>
                      <w:lang w:eastAsia="zh-CN"/>
                    </w:rPr>
                    <w:t>5</w:t>
                  </w:r>
                </w:p>
              </w:tc>
              <w:tc>
                <w:tcPr>
                  <w:tcW w:w="2838" w:type="pct"/>
                  <w:tcBorders>
                    <w:tl2br w:val="nil"/>
                    <w:tr2bl w:val="nil"/>
                  </w:tcBorders>
                  <w:vAlign w:val="center"/>
                </w:tcPr>
                <w:p w14:paraId="4607C5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 xml:space="preserve">水质 五日生化需氧量（BOD5）的测定 </w:t>
                  </w:r>
                </w:p>
                <w:p w14:paraId="073174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稀释与接种法</w:t>
                  </w:r>
                  <w:r>
                    <w:rPr>
                      <w:rFonts w:hint="eastAsia" w:ascii="Times New Roman" w:hAnsi="Times New Roman" w:eastAsia="宋体" w:cs="Times New Roman"/>
                      <w:sz w:val="21"/>
                      <w:szCs w:val="21"/>
                      <w:lang w:val="en-US" w:eastAsia="zh-CN"/>
                    </w:rPr>
                    <w:t xml:space="preserve"> </w:t>
                  </w:r>
                  <w:r>
                    <w:rPr>
                      <w:rFonts w:hint="eastAsia" w:ascii="Times New Roman" w:hAnsi="Times New Roman" w:eastAsia="宋体" w:cs="Times New Roman"/>
                      <w:sz w:val="21"/>
                      <w:szCs w:val="21"/>
                      <w:lang w:eastAsia="zh-CN"/>
                    </w:rPr>
                    <w:t>HJ 505-2009</w:t>
                  </w:r>
                </w:p>
              </w:tc>
              <w:tc>
                <w:tcPr>
                  <w:tcW w:w="648" w:type="pct"/>
                  <w:tcBorders>
                    <w:tl2br w:val="nil"/>
                    <w:tr2bl w:val="nil"/>
                  </w:tcBorders>
                  <w:vAlign w:val="center"/>
                </w:tcPr>
                <w:p w14:paraId="044003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0.5</w:t>
                  </w:r>
                </w:p>
              </w:tc>
              <w:tc>
                <w:tcPr>
                  <w:tcW w:w="600" w:type="pct"/>
                  <w:tcBorders>
                    <w:tl2br w:val="nil"/>
                    <w:tr2bl w:val="nil"/>
                  </w:tcBorders>
                  <w:vAlign w:val="center"/>
                </w:tcPr>
                <w:p w14:paraId="784E45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6ACE52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7" w:hRule="exact"/>
                <w:jc w:val="center"/>
              </w:trPr>
              <w:tc>
                <w:tcPr>
                  <w:tcW w:w="913" w:type="pct"/>
                  <w:tcBorders>
                    <w:tl2br w:val="nil"/>
                    <w:tr2bl w:val="nil"/>
                  </w:tcBorders>
                  <w:vAlign w:val="center"/>
                </w:tcPr>
                <w:p w14:paraId="6ADADF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NH</w:t>
                  </w:r>
                  <w:r>
                    <w:rPr>
                      <w:rFonts w:hint="eastAsia" w:ascii="Times New Roman" w:hAnsi="Times New Roman" w:eastAsia="宋体" w:cs="Times New Roman"/>
                      <w:sz w:val="21"/>
                      <w:szCs w:val="21"/>
                      <w:vertAlign w:val="subscript"/>
                      <w:lang w:eastAsia="zh-CN"/>
                    </w:rPr>
                    <w:t>3</w:t>
                  </w:r>
                  <w:r>
                    <w:rPr>
                      <w:rFonts w:hint="eastAsia" w:ascii="Times New Roman" w:hAnsi="Times New Roman" w:eastAsia="宋体" w:cs="Times New Roman"/>
                      <w:sz w:val="21"/>
                      <w:szCs w:val="21"/>
                      <w:lang w:eastAsia="zh-CN"/>
                    </w:rPr>
                    <w:t>-N</w:t>
                  </w:r>
                </w:p>
              </w:tc>
              <w:tc>
                <w:tcPr>
                  <w:tcW w:w="2838" w:type="pct"/>
                  <w:tcBorders>
                    <w:tl2br w:val="nil"/>
                    <w:tr2bl w:val="nil"/>
                  </w:tcBorders>
                  <w:vAlign w:val="center"/>
                </w:tcPr>
                <w:p w14:paraId="5F2582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eastAsia="zh-CN"/>
                    </w:rPr>
                    <w:t>水质 氨氮的测定 纳氏试剂分光光度法</w:t>
                  </w:r>
                </w:p>
                <w:p w14:paraId="2E905F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HJ 535-2009</w:t>
                  </w:r>
                </w:p>
              </w:tc>
              <w:tc>
                <w:tcPr>
                  <w:tcW w:w="648" w:type="pct"/>
                  <w:tcBorders>
                    <w:tl2br w:val="nil"/>
                    <w:tr2bl w:val="nil"/>
                  </w:tcBorders>
                  <w:vAlign w:val="center"/>
                </w:tcPr>
                <w:p w14:paraId="54A31D1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0.025</w:t>
                  </w:r>
                </w:p>
              </w:tc>
              <w:tc>
                <w:tcPr>
                  <w:tcW w:w="600" w:type="pct"/>
                  <w:tcBorders>
                    <w:tl2br w:val="nil"/>
                    <w:tr2bl w:val="nil"/>
                  </w:tcBorders>
                  <w:vAlign w:val="center"/>
                </w:tcPr>
                <w:p w14:paraId="4B10808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56605C6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57572D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SS</w:t>
                  </w:r>
                </w:p>
              </w:tc>
              <w:tc>
                <w:tcPr>
                  <w:tcW w:w="2838" w:type="pct"/>
                  <w:tcBorders>
                    <w:tl2br w:val="nil"/>
                    <w:tr2bl w:val="nil"/>
                  </w:tcBorders>
                  <w:vAlign w:val="center"/>
                </w:tcPr>
                <w:p w14:paraId="647E92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水质 悬浮物测定 重量法GB 11901-1989</w:t>
                  </w:r>
                </w:p>
              </w:tc>
              <w:tc>
                <w:tcPr>
                  <w:tcW w:w="648" w:type="pct"/>
                  <w:tcBorders>
                    <w:tl2br w:val="nil"/>
                    <w:tr2bl w:val="nil"/>
                  </w:tcBorders>
                  <w:vAlign w:val="center"/>
                </w:tcPr>
                <w:p w14:paraId="0112099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600" w:type="pct"/>
                  <w:tcBorders>
                    <w:tl2br w:val="nil"/>
                    <w:tr2bl w:val="nil"/>
                  </w:tcBorders>
                  <w:vAlign w:val="center"/>
                </w:tcPr>
                <w:p w14:paraId="61BE16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66C3273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6B3F629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2838" w:type="pct"/>
                  <w:tcBorders>
                    <w:tl2br w:val="nil"/>
                    <w:tr2bl w:val="nil"/>
                  </w:tcBorders>
                  <w:vAlign w:val="center"/>
                </w:tcPr>
                <w:p w14:paraId="7AB8384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水质 石油类和动植物油类的测定 红外分光光度法HJ 637-201</w:t>
                  </w:r>
                  <w:r>
                    <w:rPr>
                      <w:rFonts w:hint="eastAsia" w:ascii="Times New Roman" w:hAnsi="Times New Roman" w:eastAsia="宋体" w:cs="Times New Roman"/>
                      <w:sz w:val="21"/>
                      <w:szCs w:val="21"/>
                      <w:lang w:val="en-US" w:eastAsia="zh-CN"/>
                    </w:rPr>
                    <w:t>8</w:t>
                  </w:r>
                </w:p>
              </w:tc>
              <w:tc>
                <w:tcPr>
                  <w:tcW w:w="648" w:type="pct"/>
                  <w:tcBorders>
                    <w:tl2br w:val="nil"/>
                    <w:tr2bl w:val="nil"/>
                  </w:tcBorders>
                  <w:vAlign w:val="center"/>
                </w:tcPr>
                <w:p w14:paraId="2A1FFA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0.06</w:t>
                  </w:r>
                </w:p>
              </w:tc>
              <w:tc>
                <w:tcPr>
                  <w:tcW w:w="600" w:type="pct"/>
                  <w:tcBorders>
                    <w:tl2br w:val="nil"/>
                    <w:tr2bl w:val="nil"/>
                  </w:tcBorders>
                  <w:vAlign w:val="center"/>
                </w:tcPr>
                <w:p w14:paraId="243AEE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mg/L</w:t>
                  </w:r>
                </w:p>
              </w:tc>
            </w:tr>
            <w:tr w14:paraId="5B4C6FB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913" w:type="pct"/>
                  <w:tcBorders>
                    <w:tl2br w:val="nil"/>
                    <w:tr2bl w:val="nil"/>
                  </w:tcBorders>
                  <w:vAlign w:val="center"/>
                </w:tcPr>
                <w:p w14:paraId="664276B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噪声</w:t>
                  </w:r>
                </w:p>
              </w:tc>
              <w:tc>
                <w:tcPr>
                  <w:tcW w:w="2838" w:type="pct"/>
                  <w:tcBorders>
                    <w:tl2br w:val="nil"/>
                    <w:tr2bl w:val="nil"/>
                  </w:tcBorders>
                  <w:vAlign w:val="center"/>
                </w:tcPr>
                <w:p w14:paraId="1521E6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声环境质量标准</w:t>
                  </w:r>
                </w:p>
                <w:p w14:paraId="52B27B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GB3096-2008</w:t>
                  </w:r>
                </w:p>
              </w:tc>
              <w:tc>
                <w:tcPr>
                  <w:tcW w:w="648" w:type="pct"/>
                  <w:tcBorders>
                    <w:tl2br w:val="nil"/>
                    <w:tr2bl w:val="nil"/>
                  </w:tcBorders>
                  <w:vAlign w:val="center"/>
                </w:tcPr>
                <w:p w14:paraId="315478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w:t>
                  </w:r>
                </w:p>
              </w:tc>
              <w:tc>
                <w:tcPr>
                  <w:tcW w:w="600" w:type="pct"/>
                  <w:tcBorders>
                    <w:tl2br w:val="nil"/>
                    <w:tr2bl w:val="nil"/>
                  </w:tcBorders>
                  <w:vAlign w:val="center"/>
                </w:tcPr>
                <w:p w14:paraId="3827E2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dB(A)</w:t>
                  </w:r>
                </w:p>
              </w:tc>
            </w:tr>
          </w:tbl>
          <w:p w14:paraId="5044C1C0">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rPr>
            </w:pPr>
            <w:r>
              <w:rPr>
                <w:rFonts w:hint="eastAsia" w:ascii="Times New Roman" w:hAnsi="Times New Roman" w:eastAsia="宋体" w:cs="Times New Roman"/>
                <w:b/>
                <w:bCs/>
                <w:color w:val="auto"/>
                <w:kern w:val="2"/>
                <w:sz w:val="24"/>
                <w:szCs w:val="24"/>
                <w:lang w:val="en-US" w:eastAsia="zh-CN"/>
              </w:rPr>
              <w:t>2、</w:t>
            </w:r>
            <w:r>
              <w:rPr>
                <w:rFonts w:hint="eastAsia" w:ascii="Times New Roman" w:hAnsi="Times New Roman" w:eastAsia="宋体" w:cs="Times New Roman"/>
                <w:b/>
                <w:bCs/>
                <w:color w:val="auto"/>
                <w:kern w:val="2"/>
                <w:sz w:val="24"/>
                <w:szCs w:val="24"/>
              </w:rPr>
              <w:t>监测仪器</w:t>
            </w:r>
          </w:p>
          <w:p w14:paraId="5ABC85F5">
            <w:pPr>
              <w:pStyle w:val="13"/>
              <w:spacing w:line="240" w:lineRule="auto"/>
              <w:jc w:val="center"/>
              <w:rPr>
                <w:rFonts w:hint="default" w:ascii="Times New Roman" w:hAnsi="Times New Roman" w:cs="Times New Roman" w:eastAsiaTheme="minorEastAsia"/>
                <w:b/>
                <w:bCs/>
                <w:sz w:val="21"/>
                <w:szCs w:val="21"/>
                <w:u w:val="none"/>
                <w:lang w:val="en-US" w:eastAsia="zh-CN"/>
              </w:rPr>
            </w:pPr>
            <w:r>
              <w:rPr>
                <w:rFonts w:hint="default" w:ascii="Times New Roman" w:hAnsi="Times New Roman" w:cs="Times New Roman" w:eastAsiaTheme="minorEastAsia"/>
                <w:b/>
                <w:bCs/>
                <w:sz w:val="21"/>
                <w:szCs w:val="21"/>
                <w:u w:val="none"/>
              </w:rPr>
              <w:t>表</w:t>
            </w:r>
            <w:r>
              <w:rPr>
                <w:rFonts w:hint="eastAsia" w:ascii="Times New Roman" w:hAnsi="Times New Roman" w:cs="Times New Roman" w:eastAsiaTheme="minorEastAsia"/>
                <w:b/>
                <w:bCs/>
                <w:sz w:val="21"/>
                <w:szCs w:val="21"/>
                <w:u w:val="none"/>
                <w:lang w:val="en-US" w:eastAsia="zh-CN"/>
              </w:rPr>
              <w:t>5-2</w:t>
            </w:r>
            <w:r>
              <w:rPr>
                <w:rFonts w:hint="default" w:ascii="Times New Roman" w:hAnsi="Times New Roman" w:cs="Times New Roman" w:eastAsiaTheme="minorEastAsia"/>
                <w:b/>
                <w:bCs/>
                <w:sz w:val="21"/>
                <w:szCs w:val="21"/>
                <w:u w:val="none"/>
              </w:rPr>
              <w:t xml:space="preserve">  监测</w:t>
            </w:r>
            <w:r>
              <w:rPr>
                <w:rFonts w:hint="eastAsia" w:ascii="Times New Roman" w:hAnsi="Times New Roman" w:cs="Times New Roman" w:eastAsiaTheme="minorEastAsia"/>
                <w:b/>
                <w:bCs/>
                <w:sz w:val="21"/>
                <w:szCs w:val="21"/>
                <w:u w:val="none"/>
                <w:lang w:val="en-US" w:eastAsia="zh-CN"/>
              </w:rPr>
              <w:t>仪器一览表</w:t>
            </w:r>
          </w:p>
          <w:tbl>
            <w:tblPr>
              <w:tblStyle w:val="11"/>
              <w:tblW w:w="4998"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2555"/>
              <w:gridCol w:w="2661"/>
              <w:gridCol w:w="1528"/>
              <w:gridCol w:w="1559"/>
            </w:tblGrid>
            <w:tr w14:paraId="163CB3D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vAlign w:val="center"/>
                </w:tcPr>
                <w:p w14:paraId="354DF2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检测项目</w:t>
                  </w:r>
                </w:p>
              </w:tc>
              <w:tc>
                <w:tcPr>
                  <w:tcW w:w="1602" w:type="pct"/>
                  <w:tcBorders>
                    <w:tl2br w:val="nil"/>
                    <w:tr2bl w:val="nil"/>
                  </w:tcBorders>
                  <w:vAlign w:val="center"/>
                </w:tcPr>
                <w:p w14:paraId="5A72DB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仪器名称</w:t>
                  </w:r>
                </w:p>
              </w:tc>
              <w:tc>
                <w:tcPr>
                  <w:tcW w:w="920" w:type="pct"/>
                  <w:tcBorders>
                    <w:tl2br w:val="nil"/>
                    <w:tr2bl w:val="nil"/>
                  </w:tcBorders>
                  <w:vAlign w:val="center"/>
                </w:tcPr>
                <w:p w14:paraId="16D91D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仪器型号</w:t>
                  </w:r>
                </w:p>
              </w:tc>
              <w:tc>
                <w:tcPr>
                  <w:tcW w:w="938" w:type="pct"/>
                  <w:tcBorders>
                    <w:tl2br w:val="nil"/>
                    <w:tr2bl w:val="nil"/>
                  </w:tcBorders>
                  <w:vAlign w:val="center"/>
                </w:tcPr>
                <w:p w14:paraId="21DAE8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仪器编号</w:t>
                  </w:r>
                </w:p>
              </w:tc>
            </w:tr>
            <w:tr w14:paraId="020EA69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25BFCA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噪声</w:t>
                  </w:r>
                </w:p>
              </w:tc>
              <w:tc>
                <w:tcPr>
                  <w:tcW w:w="1602" w:type="pct"/>
                  <w:tcBorders>
                    <w:tl2br w:val="nil"/>
                    <w:tr2bl w:val="nil"/>
                  </w:tcBorders>
                  <w:shd w:val="clear" w:color="auto" w:fill="auto"/>
                  <w:vAlign w:val="center"/>
                </w:tcPr>
                <w:p w14:paraId="3083A0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声级计</w:t>
                  </w:r>
                </w:p>
              </w:tc>
              <w:tc>
                <w:tcPr>
                  <w:tcW w:w="920" w:type="pct"/>
                  <w:tcBorders>
                    <w:tl2br w:val="nil"/>
                    <w:tr2bl w:val="nil"/>
                  </w:tcBorders>
                  <w:shd w:val="clear" w:color="auto" w:fill="auto"/>
                  <w:vAlign w:val="center"/>
                </w:tcPr>
                <w:p w14:paraId="5E553A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AWA5636</w:t>
                  </w:r>
                </w:p>
              </w:tc>
              <w:tc>
                <w:tcPr>
                  <w:tcW w:w="938" w:type="pct"/>
                  <w:tcBorders>
                    <w:tl2br w:val="nil"/>
                    <w:tr2bl w:val="nil"/>
                  </w:tcBorders>
                  <w:shd w:val="clear" w:color="auto" w:fill="auto"/>
                  <w:vAlign w:val="center"/>
                </w:tcPr>
                <w:p w14:paraId="340E192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KD-SJJ-01</w:t>
                  </w:r>
                </w:p>
              </w:tc>
            </w:tr>
            <w:tr w14:paraId="182B0F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336BED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悬浮颗粒、悬浮物</w:t>
                  </w:r>
                </w:p>
              </w:tc>
              <w:tc>
                <w:tcPr>
                  <w:tcW w:w="1602" w:type="pct"/>
                  <w:tcBorders>
                    <w:tl2br w:val="nil"/>
                    <w:tr2bl w:val="nil"/>
                  </w:tcBorders>
                  <w:shd w:val="clear" w:color="auto" w:fill="auto"/>
                  <w:vAlign w:val="center"/>
                </w:tcPr>
                <w:p w14:paraId="602BFE9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电子天平</w:t>
                  </w:r>
                </w:p>
              </w:tc>
              <w:tc>
                <w:tcPr>
                  <w:tcW w:w="920" w:type="pct"/>
                  <w:tcBorders>
                    <w:tl2br w:val="nil"/>
                    <w:tr2bl w:val="nil"/>
                  </w:tcBorders>
                  <w:shd w:val="clear" w:color="auto" w:fill="auto"/>
                  <w:vAlign w:val="center"/>
                </w:tcPr>
                <w:p w14:paraId="3D95D9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PTY-124/223</w:t>
                  </w:r>
                </w:p>
              </w:tc>
              <w:tc>
                <w:tcPr>
                  <w:tcW w:w="938" w:type="pct"/>
                  <w:tcBorders>
                    <w:tl2br w:val="nil"/>
                    <w:tr2bl w:val="nil"/>
                  </w:tcBorders>
                  <w:shd w:val="clear" w:color="auto" w:fill="auto"/>
                  <w:vAlign w:val="center"/>
                </w:tcPr>
                <w:p w14:paraId="7326C7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KD-TP-01</w:t>
                  </w:r>
                </w:p>
              </w:tc>
            </w:tr>
            <w:tr w14:paraId="3A8D16C3">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243FC71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氨氮</w:t>
                  </w:r>
                </w:p>
              </w:tc>
              <w:tc>
                <w:tcPr>
                  <w:tcW w:w="1602" w:type="pct"/>
                  <w:tcBorders>
                    <w:tl2br w:val="nil"/>
                    <w:tr2bl w:val="nil"/>
                  </w:tcBorders>
                  <w:shd w:val="clear" w:color="auto" w:fill="auto"/>
                  <w:vAlign w:val="center"/>
                </w:tcPr>
                <w:p w14:paraId="17C565D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紫外可见分光光度计</w:t>
                  </w:r>
                </w:p>
              </w:tc>
              <w:tc>
                <w:tcPr>
                  <w:tcW w:w="920" w:type="pct"/>
                  <w:tcBorders>
                    <w:tl2br w:val="nil"/>
                    <w:tr2bl w:val="nil"/>
                  </w:tcBorders>
                  <w:shd w:val="clear" w:color="auto" w:fill="auto"/>
                  <w:vAlign w:val="center"/>
                </w:tcPr>
                <w:p w14:paraId="38C62C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UV-5100型</w:t>
                  </w:r>
                </w:p>
              </w:tc>
              <w:tc>
                <w:tcPr>
                  <w:tcW w:w="938" w:type="pct"/>
                  <w:tcBorders>
                    <w:tl2br w:val="nil"/>
                    <w:tr2bl w:val="nil"/>
                  </w:tcBorders>
                  <w:shd w:val="clear" w:color="auto" w:fill="auto"/>
                  <w:vAlign w:val="center"/>
                </w:tcPr>
                <w:p w14:paraId="2FB01C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KD-ZWGD-02</w:t>
                  </w:r>
                </w:p>
              </w:tc>
            </w:tr>
            <w:tr w14:paraId="3996030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171522C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pH</w:t>
                  </w:r>
                </w:p>
              </w:tc>
              <w:tc>
                <w:tcPr>
                  <w:tcW w:w="1602" w:type="pct"/>
                  <w:tcBorders>
                    <w:tl2br w:val="nil"/>
                    <w:tr2bl w:val="nil"/>
                  </w:tcBorders>
                  <w:shd w:val="clear" w:color="auto" w:fill="auto"/>
                  <w:vAlign w:val="center"/>
                </w:tcPr>
                <w:p w14:paraId="485291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 H 计</w:t>
                  </w:r>
                </w:p>
              </w:tc>
              <w:tc>
                <w:tcPr>
                  <w:tcW w:w="920" w:type="pct"/>
                  <w:tcBorders>
                    <w:tl2br w:val="nil"/>
                    <w:tr2bl w:val="nil"/>
                  </w:tcBorders>
                  <w:shd w:val="clear" w:color="auto" w:fill="auto"/>
                  <w:vAlign w:val="center"/>
                </w:tcPr>
                <w:p w14:paraId="385B2A9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PHS-3E</w:t>
                  </w:r>
                </w:p>
              </w:tc>
              <w:tc>
                <w:tcPr>
                  <w:tcW w:w="938" w:type="pct"/>
                  <w:tcBorders>
                    <w:tl2br w:val="nil"/>
                    <w:tr2bl w:val="nil"/>
                  </w:tcBorders>
                  <w:shd w:val="clear" w:color="auto" w:fill="auto"/>
                  <w:vAlign w:val="center"/>
                </w:tcPr>
                <w:p w14:paraId="2F67269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KD-PH-01</w:t>
                  </w:r>
                </w:p>
              </w:tc>
            </w:tr>
            <w:tr w14:paraId="3F96470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6CA2AD8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化学需氧量</w:t>
                  </w:r>
                </w:p>
              </w:tc>
              <w:tc>
                <w:tcPr>
                  <w:tcW w:w="1602" w:type="pct"/>
                  <w:tcBorders>
                    <w:tl2br w:val="nil"/>
                    <w:tr2bl w:val="nil"/>
                  </w:tcBorders>
                  <w:shd w:val="clear" w:color="auto" w:fill="auto"/>
                  <w:vAlign w:val="center"/>
                </w:tcPr>
                <w:p w14:paraId="6B9E61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COD自动消解回流仪</w:t>
                  </w:r>
                </w:p>
              </w:tc>
              <w:tc>
                <w:tcPr>
                  <w:tcW w:w="920" w:type="pct"/>
                  <w:tcBorders>
                    <w:tl2br w:val="nil"/>
                    <w:tr2bl w:val="nil"/>
                  </w:tcBorders>
                  <w:shd w:val="clear" w:color="auto" w:fill="auto"/>
                  <w:vAlign w:val="center"/>
                </w:tcPr>
                <w:p w14:paraId="2840C7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YHCOD-100</w:t>
                  </w:r>
                </w:p>
              </w:tc>
              <w:tc>
                <w:tcPr>
                  <w:tcW w:w="938" w:type="pct"/>
                  <w:tcBorders>
                    <w:tl2br w:val="nil"/>
                    <w:tr2bl w:val="nil"/>
                  </w:tcBorders>
                  <w:shd w:val="clear" w:color="auto" w:fill="auto"/>
                  <w:vAlign w:val="center"/>
                </w:tcPr>
                <w:p w14:paraId="0609BE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KD-COD-01</w:t>
                  </w:r>
                </w:p>
              </w:tc>
            </w:tr>
            <w:tr w14:paraId="69F613C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409529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石油类</w:t>
                  </w:r>
                </w:p>
              </w:tc>
              <w:tc>
                <w:tcPr>
                  <w:tcW w:w="1602" w:type="pct"/>
                  <w:tcBorders>
                    <w:tl2br w:val="nil"/>
                    <w:tr2bl w:val="nil"/>
                  </w:tcBorders>
                  <w:shd w:val="clear" w:color="auto" w:fill="auto"/>
                  <w:vAlign w:val="center"/>
                </w:tcPr>
                <w:p w14:paraId="774A40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红外分光测油仪</w:t>
                  </w:r>
                </w:p>
              </w:tc>
              <w:tc>
                <w:tcPr>
                  <w:tcW w:w="920" w:type="pct"/>
                  <w:tcBorders>
                    <w:tl2br w:val="nil"/>
                    <w:tr2bl w:val="nil"/>
                  </w:tcBorders>
                  <w:shd w:val="clear" w:color="auto" w:fill="auto"/>
                  <w:vAlign w:val="center"/>
                </w:tcPr>
                <w:p w14:paraId="028547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OIL-460</w:t>
                  </w:r>
                </w:p>
              </w:tc>
              <w:tc>
                <w:tcPr>
                  <w:tcW w:w="938" w:type="pct"/>
                  <w:tcBorders>
                    <w:tl2br w:val="nil"/>
                    <w:tr2bl w:val="nil"/>
                  </w:tcBorders>
                  <w:shd w:val="clear" w:color="auto" w:fill="auto"/>
                  <w:vAlign w:val="center"/>
                </w:tcPr>
                <w:p w14:paraId="20F99A4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KD-HW-02</w:t>
                  </w:r>
                </w:p>
              </w:tc>
            </w:tr>
            <w:tr w14:paraId="1DA05D3C">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2F79481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非甲烷总烃</w:t>
                  </w:r>
                </w:p>
              </w:tc>
              <w:tc>
                <w:tcPr>
                  <w:tcW w:w="1602" w:type="pct"/>
                  <w:tcBorders>
                    <w:tl2br w:val="nil"/>
                    <w:tr2bl w:val="nil"/>
                  </w:tcBorders>
                  <w:shd w:val="clear" w:color="auto" w:fill="auto"/>
                  <w:vAlign w:val="center"/>
                </w:tcPr>
                <w:p w14:paraId="49DB1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气相色谱仪</w:t>
                  </w:r>
                </w:p>
              </w:tc>
              <w:tc>
                <w:tcPr>
                  <w:tcW w:w="920" w:type="pct"/>
                  <w:tcBorders>
                    <w:tl2br w:val="nil"/>
                    <w:tr2bl w:val="nil"/>
                  </w:tcBorders>
                  <w:shd w:val="clear" w:color="auto" w:fill="auto"/>
                  <w:vAlign w:val="center"/>
                </w:tcPr>
                <w:p w14:paraId="2C0E4F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GC9790</w:t>
                  </w:r>
                </w:p>
              </w:tc>
              <w:tc>
                <w:tcPr>
                  <w:tcW w:w="938" w:type="pct"/>
                  <w:tcBorders>
                    <w:tl2br w:val="nil"/>
                    <w:tr2bl w:val="nil"/>
                  </w:tcBorders>
                  <w:shd w:val="clear" w:color="auto" w:fill="auto"/>
                  <w:vAlign w:val="center"/>
                </w:tcPr>
                <w:p w14:paraId="54E0BA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KD-QXSP-01</w:t>
                  </w:r>
                </w:p>
              </w:tc>
            </w:tr>
            <w:tr w14:paraId="6D4CBD7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19BD40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硫酸雾</w:t>
                  </w:r>
                </w:p>
              </w:tc>
              <w:tc>
                <w:tcPr>
                  <w:tcW w:w="1602" w:type="pct"/>
                  <w:tcBorders>
                    <w:tl2br w:val="nil"/>
                    <w:tr2bl w:val="nil"/>
                  </w:tcBorders>
                  <w:shd w:val="clear" w:color="auto" w:fill="auto"/>
                  <w:vAlign w:val="center"/>
                </w:tcPr>
                <w:p w14:paraId="3D18BF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离子色谱仪</w:t>
                  </w:r>
                </w:p>
              </w:tc>
              <w:tc>
                <w:tcPr>
                  <w:tcW w:w="920" w:type="pct"/>
                  <w:tcBorders>
                    <w:tl2br w:val="nil"/>
                    <w:tr2bl w:val="nil"/>
                  </w:tcBorders>
                  <w:shd w:val="clear" w:color="auto" w:fill="auto"/>
                  <w:vAlign w:val="center"/>
                </w:tcPr>
                <w:p w14:paraId="17CDF2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PIC-10</w:t>
                  </w:r>
                </w:p>
              </w:tc>
              <w:tc>
                <w:tcPr>
                  <w:tcW w:w="938" w:type="pct"/>
                  <w:tcBorders>
                    <w:tl2br w:val="nil"/>
                    <w:tr2bl w:val="nil"/>
                  </w:tcBorders>
                  <w:shd w:val="clear" w:color="auto" w:fill="auto"/>
                  <w:vAlign w:val="center"/>
                </w:tcPr>
                <w:p w14:paraId="014EA9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KD-LZSP-02</w:t>
                  </w:r>
                </w:p>
              </w:tc>
            </w:tr>
            <w:tr w14:paraId="20900C5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18F0D3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1602" w:type="pct"/>
                  <w:tcBorders>
                    <w:tl2br w:val="nil"/>
                    <w:tr2bl w:val="nil"/>
                  </w:tcBorders>
                  <w:shd w:val="clear" w:color="auto" w:fill="auto"/>
                  <w:vAlign w:val="center"/>
                </w:tcPr>
                <w:p w14:paraId="2B6A17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石墨炉原子吸收分光光度计</w:t>
                  </w:r>
                </w:p>
              </w:tc>
              <w:tc>
                <w:tcPr>
                  <w:tcW w:w="920" w:type="pct"/>
                  <w:tcBorders>
                    <w:tl2br w:val="nil"/>
                    <w:tr2bl w:val="nil"/>
                  </w:tcBorders>
                  <w:shd w:val="clear" w:color="auto" w:fill="auto"/>
                  <w:vAlign w:val="center"/>
                </w:tcPr>
                <w:p w14:paraId="70ECDB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AA-7001G</w:t>
                  </w:r>
                </w:p>
              </w:tc>
              <w:tc>
                <w:tcPr>
                  <w:tcW w:w="938" w:type="pct"/>
                  <w:tcBorders>
                    <w:tl2br w:val="nil"/>
                    <w:tr2bl w:val="nil"/>
                  </w:tcBorders>
                  <w:shd w:val="clear" w:color="auto" w:fill="auto"/>
                  <w:vAlign w:val="center"/>
                </w:tcPr>
                <w:p w14:paraId="49567A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KD-YZXS-02</w:t>
                  </w:r>
                </w:p>
              </w:tc>
            </w:tr>
            <w:tr w14:paraId="5567390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61B3C4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铅</w:t>
                  </w:r>
                </w:p>
              </w:tc>
              <w:tc>
                <w:tcPr>
                  <w:tcW w:w="1602" w:type="pct"/>
                  <w:tcBorders>
                    <w:tl2br w:val="nil"/>
                    <w:tr2bl w:val="nil"/>
                  </w:tcBorders>
                  <w:shd w:val="clear" w:color="auto" w:fill="auto"/>
                  <w:vAlign w:val="center"/>
                </w:tcPr>
                <w:p w14:paraId="09F03E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原子吸收分光光度计</w:t>
                  </w:r>
                </w:p>
              </w:tc>
              <w:tc>
                <w:tcPr>
                  <w:tcW w:w="920" w:type="pct"/>
                  <w:tcBorders>
                    <w:tl2br w:val="nil"/>
                    <w:tr2bl w:val="nil"/>
                  </w:tcBorders>
                  <w:shd w:val="clear" w:color="auto" w:fill="auto"/>
                  <w:vAlign w:val="center"/>
                </w:tcPr>
                <w:p w14:paraId="5F297B2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AA-7003F</w:t>
                  </w:r>
                </w:p>
              </w:tc>
              <w:tc>
                <w:tcPr>
                  <w:tcW w:w="938" w:type="pct"/>
                  <w:tcBorders>
                    <w:tl2br w:val="nil"/>
                    <w:tr2bl w:val="nil"/>
                  </w:tcBorders>
                  <w:shd w:val="clear" w:color="auto" w:fill="auto"/>
                  <w:vAlign w:val="center"/>
                </w:tcPr>
                <w:p w14:paraId="14024F4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KD-YZXS-01</w:t>
                  </w:r>
                </w:p>
              </w:tc>
            </w:tr>
            <w:tr w14:paraId="6ABD9484">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1538" w:type="pct"/>
                  <w:tcBorders>
                    <w:tl2br w:val="nil"/>
                    <w:tr2bl w:val="nil"/>
                  </w:tcBorders>
                  <w:shd w:val="clear" w:color="auto" w:fill="auto"/>
                  <w:vAlign w:val="center"/>
                </w:tcPr>
                <w:p w14:paraId="0E1807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颗粒物</w:t>
                  </w:r>
                </w:p>
              </w:tc>
              <w:tc>
                <w:tcPr>
                  <w:tcW w:w="1602" w:type="pct"/>
                  <w:tcBorders>
                    <w:tl2br w:val="nil"/>
                    <w:tr2bl w:val="nil"/>
                  </w:tcBorders>
                  <w:shd w:val="clear" w:color="auto" w:fill="auto"/>
                  <w:vAlign w:val="center"/>
                </w:tcPr>
                <w:p w14:paraId="256E08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电子天平</w:t>
                  </w:r>
                </w:p>
              </w:tc>
              <w:tc>
                <w:tcPr>
                  <w:tcW w:w="920" w:type="pct"/>
                  <w:tcBorders>
                    <w:tl2br w:val="nil"/>
                    <w:tr2bl w:val="nil"/>
                  </w:tcBorders>
                  <w:shd w:val="clear" w:color="auto" w:fill="auto"/>
                  <w:vAlign w:val="center"/>
                </w:tcPr>
                <w:p w14:paraId="33CB75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PT-104/55S</w:t>
                  </w:r>
                </w:p>
              </w:tc>
              <w:tc>
                <w:tcPr>
                  <w:tcW w:w="938" w:type="pct"/>
                  <w:tcBorders>
                    <w:tl2br w:val="nil"/>
                    <w:tr2bl w:val="nil"/>
                  </w:tcBorders>
                  <w:shd w:val="clear" w:color="auto" w:fill="auto"/>
                  <w:vAlign w:val="center"/>
                </w:tcPr>
                <w:p w14:paraId="2DB7BDC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KD-TP-02</w:t>
                  </w:r>
                </w:p>
              </w:tc>
            </w:tr>
            <w:tr w14:paraId="5D2FA9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0" w:type="auto"/>
                  <w:tcBorders>
                    <w:tl2br w:val="nil"/>
                    <w:tr2bl w:val="nil"/>
                  </w:tcBorders>
                  <w:shd w:val="clear" w:color="auto" w:fill="auto"/>
                  <w:vAlign w:val="center"/>
                </w:tcPr>
                <w:p w14:paraId="1A03D9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五日生化需氧量</w:t>
                  </w:r>
                </w:p>
              </w:tc>
              <w:tc>
                <w:tcPr>
                  <w:tcW w:w="0" w:type="auto"/>
                  <w:tcBorders>
                    <w:tl2br w:val="nil"/>
                    <w:tr2bl w:val="nil"/>
                  </w:tcBorders>
                  <w:shd w:val="clear" w:color="auto" w:fill="auto"/>
                  <w:vAlign w:val="center"/>
                </w:tcPr>
                <w:p w14:paraId="17FF22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溶解氧测定仪</w:t>
                  </w:r>
                </w:p>
              </w:tc>
              <w:tc>
                <w:tcPr>
                  <w:tcW w:w="0" w:type="auto"/>
                  <w:tcBorders>
                    <w:tl2br w:val="nil"/>
                    <w:tr2bl w:val="nil"/>
                  </w:tcBorders>
                  <w:shd w:val="clear" w:color="auto" w:fill="auto"/>
                  <w:vAlign w:val="center"/>
                </w:tcPr>
                <w:p w14:paraId="0172994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JPBJ-608</w:t>
                  </w:r>
                </w:p>
              </w:tc>
              <w:tc>
                <w:tcPr>
                  <w:tcW w:w="0" w:type="auto"/>
                  <w:tcBorders>
                    <w:tl2br w:val="nil"/>
                    <w:tr2bl w:val="nil"/>
                  </w:tcBorders>
                  <w:shd w:val="clear" w:color="auto" w:fill="auto"/>
                  <w:vAlign w:val="center"/>
                </w:tcPr>
                <w:p w14:paraId="31BF0E3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rPr>
                    <w:t>KD-DO-01</w:t>
                  </w:r>
                </w:p>
              </w:tc>
            </w:tr>
          </w:tbl>
          <w:p w14:paraId="2A8C0DC3">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3、质量保证及质量控制</w:t>
            </w:r>
          </w:p>
          <w:p w14:paraId="4027C968">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（1）及时了解、记录生产工况，保证监测过程中生产达到设计生产稳定状态。</w:t>
            </w:r>
          </w:p>
          <w:p w14:paraId="60277D4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（2）合理布设监测点位，保证各监测点位布设的科学性、代表性和可比性。</w:t>
            </w:r>
          </w:p>
          <w:p w14:paraId="115B9DA8">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（3）验收监测时，按国家污染物排放标准和环境质量标准要求，所有监测项目采用现行有效标准监测方法，监测人员经过考核并持有上岗证书。</w:t>
            </w:r>
          </w:p>
          <w:p w14:paraId="4582AF3B">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（4）实验室落实质量控制措施，保证验收监测分析结果的准确性、可靠性。</w:t>
            </w:r>
          </w:p>
          <w:p w14:paraId="1B6C9AC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（5）实验室落实质量控制措施，保证验收监测分析结果的准确性、可靠性。</w:t>
            </w:r>
          </w:p>
          <w:p w14:paraId="6A89119A">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（6）噪声在测定前、后均对仪器进行校准。校准前、后示值偏差不大于0.5dB，若大于0.5dB则测试数据无效。</w:t>
            </w:r>
          </w:p>
          <w:p w14:paraId="10E956D7">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（7）废气样品采集、运输、保存、实验室分析和数据计算按相关检测标准要求进行。</w:t>
            </w:r>
          </w:p>
          <w:p w14:paraId="3526B275">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（8）水质样品采集、运输、保存、实验室分析和数据计算按相关检测标准要求进行。</w:t>
            </w:r>
          </w:p>
          <w:p w14:paraId="5C4DDD6F">
            <w:pPr>
              <w:widowControl w:val="0"/>
              <w:adjustRightInd w:val="0"/>
              <w:snapToGrid w:val="0"/>
              <w:spacing w:after="0" w:line="360" w:lineRule="auto"/>
              <w:ind w:firstLine="480" w:firstLineChars="200"/>
              <w:jc w:val="both"/>
              <w:rPr>
                <w:rFonts w:hint="default" w:ascii="Times New Roman" w:hAnsi="Times New Roman" w:eastAsia="宋体" w:cs="Times New Roman"/>
                <w:color w:val="auto"/>
                <w:kern w:val="2"/>
                <w:sz w:val="24"/>
                <w:szCs w:val="24"/>
              </w:rPr>
            </w:pPr>
            <w:r>
              <w:rPr>
                <w:rFonts w:hint="default" w:ascii="Times New Roman" w:hAnsi="Times New Roman" w:eastAsia="宋体" w:cs="Times New Roman"/>
                <w:color w:val="auto"/>
                <w:kern w:val="2"/>
                <w:sz w:val="24"/>
                <w:szCs w:val="24"/>
              </w:rPr>
              <w:t>（9）监测报告严格实行三级审核制度，经过初审、审核，最后由授权签字人审定。</w:t>
            </w:r>
          </w:p>
          <w:p w14:paraId="6C8F281D">
            <w:pPr>
              <w:pStyle w:val="13"/>
              <w:spacing w:before="0" w:after="0" w:line="360" w:lineRule="auto"/>
              <w:rPr>
                <w:rFonts w:hint="default" w:ascii="宋体" w:hAnsi="宋体" w:eastAsia="宋体" w:cs="宋体"/>
                <w:bCs/>
                <w:color w:val="000000"/>
                <w:kern w:val="2"/>
                <w:sz w:val="21"/>
                <w:szCs w:val="21"/>
              </w:rPr>
            </w:pPr>
          </w:p>
        </w:tc>
      </w:tr>
    </w:tbl>
    <w:p w14:paraId="4A605E34">
      <w:pPr>
        <w:pStyle w:val="24"/>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26DA83E">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表六</w:t>
      </w:r>
      <w:r>
        <w:rPr>
          <w:rFonts w:hint="eastAsia" w:asciiTheme="minorEastAsia" w:hAnsiTheme="minorEastAsia" w:eastAsiaTheme="minorEastAsia" w:cstheme="minorEastAsia"/>
          <w:b/>
          <w:color w:val="000000"/>
          <w:sz w:val="24"/>
          <w:szCs w:val="24"/>
          <w:lang w:val="en-US" w:eastAsia="zh-CN"/>
        </w:rPr>
        <w:t xml:space="preserve">  验收监测内容</w:t>
      </w:r>
    </w:p>
    <w:tbl>
      <w:tblPr>
        <w:tblStyle w:val="10"/>
        <w:tblW w:w="89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0"/>
      </w:tblGrid>
      <w:tr w14:paraId="5046A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7" w:hRule="atLeast"/>
          <w:jc w:val="center"/>
        </w:trPr>
        <w:tc>
          <w:tcPr>
            <w:tcW w:w="8920" w:type="dxa"/>
          </w:tcPr>
          <w:p w14:paraId="6D5CCDFE">
            <w:pPr>
              <w:widowControl w:val="0"/>
              <w:adjustRightInd w:val="0"/>
              <w:snapToGrid w:val="0"/>
              <w:spacing w:after="0" w:line="360" w:lineRule="auto"/>
              <w:jc w:val="both"/>
              <w:rPr>
                <w:rFonts w:hint="eastAsia" w:ascii="Times New Roman" w:hAnsi="Times New Roman" w:eastAsia="宋体" w:cs="Times New Roman"/>
                <w:b w:val="0"/>
                <w:bCs w:val="0"/>
                <w:color w:val="auto"/>
                <w:kern w:val="2"/>
                <w:sz w:val="24"/>
                <w:szCs w:val="24"/>
              </w:rPr>
            </w:pPr>
            <w:r>
              <w:rPr>
                <w:rFonts w:hint="eastAsia" w:ascii="Times New Roman" w:hAnsi="Times New Roman" w:eastAsia="宋体" w:cs="Times New Roman"/>
                <w:b w:val="0"/>
                <w:bCs w:val="0"/>
                <w:color w:val="auto"/>
                <w:kern w:val="2"/>
                <w:sz w:val="24"/>
                <w:szCs w:val="24"/>
              </w:rPr>
              <w:t>验收监测内容：</w:t>
            </w:r>
          </w:p>
          <w:p w14:paraId="65097C46">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rPr>
            </w:pPr>
            <w:bookmarkStart w:id="16" w:name="_Toc18856"/>
            <w:bookmarkStart w:id="17" w:name="_Toc10893"/>
            <w:r>
              <w:rPr>
                <w:rFonts w:hint="eastAsia" w:ascii="Times New Roman" w:hAnsi="Times New Roman" w:eastAsia="宋体" w:cs="Times New Roman"/>
                <w:b/>
                <w:bCs/>
                <w:color w:val="auto"/>
                <w:kern w:val="2"/>
                <w:sz w:val="24"/>
                <w:szCs w:val="24"/>
                <w:lang w:val="en-US" w:eastAsia="zh-CN"/>
              </w:rPr>
              <w:t>1、</w:t>
            </w:r>
            <w:r>
              <w:rPr>
                <w:rFonts w:hint="eastAsia" w:ascii="Times New Roman" w:hAnsi="Times New Roman" w:eastAsia="宋体" w:cs="Times New Roman"/>
                <w:b/>
                <w:bCs/>
                <w:color w:val="auto"/>
                <w:kern w:val="2"/>
                <w:sz w:val="24"/>
                <w:szCs w:val="24"/>
              </w:rPr>
              <w:t>废气监测内容</w:t>
            </w:r>
            <w:bookmarkEnd w:id="16"/>
          </w:p>
          <w:p w14:paraId="78421750">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rPr>
            </w:pPr>
            <w:bookmarkStart w:id="18" w:name="_Toc21762"/>
            <w:r>
              <w:rPr>
                <w:rFonts w:hint="eastAsia" w:ascii="Times New Roman" w:hAnsi="Times New Roman" w:eastAsia="宋体" w:cs="Times New Roman"/>
                <w:color w:val="auto"/>
                <w:kern w:val="2"/>
                <w:sz w:val="24"/>
                <w:szCs w:val="24"/>
                <w:lang w:val="en-US" w:eastAsia="zh-CN"/>
              </w:rPr>
              <w:t>有</w:t>
            </w:r>
            <w:r>
              <w:rPr>
                <w:rFonts w:hint="eastAsia" w:ascii="Times New Roman" w:hAnsi="Times New Roman" w:eastAsia="宋体" w:cs="Times New Roman"/>
                <w:color w:val="auto"/>
                <w:kern w:val="2"/>
                <w:sz w:val="24"/>
                <w:szCs w:val="24"/>
              </w:rPr>
              <w:t>组织排放监测的点位、项目和频次见表</w:t>
            </w:r>
            <w:r>
              <w:rPr>
                <w:rFonts w:hint="eastAsia" w:ascii="Times New Roman" w:hAnsi="Times New Roman" w:eastAsia="宋体" w:cs="Times New Roman"/>
                <w:color w:val="auto"/>
                <w:kern w:val="2"/>
                <w:sz w:val="24"/>
                <w:szCs w:val="24"/>
                <w:lang w:val="en-US" w:eastAsia="zh-CN"/>
              </w:rPr>
              <w:t>6-1</w:t>
            </w:r>
            <w:r>
              <w:rPr>
                <w:rFonts w:hint="eastAsia" w:ascii="Times New Roman" w:hAnsi="Times New Roman" w:eastAsia="宋体" w:cs="Times New Roman"/>
                <w:color w:val="auto"/>
                <w:kern w:val="2"/>
                <w:sz w:val="24"/>
                <w:szCs w:val="24"/>
              </w:rPr>
              <w:t>。</w:t>
            </w:r>
          </w:p>
          <w:p w14:paraId="2D8941FE">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表6-1  有组织排放监测的点位、项目和频次</w:t>
            </w:r>
          </w:p>
          <w:tbl>
            <w:tblPr>
              <w:tblStyle w:val="10"/>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3199"/>
              <w:gridCol w:w="2328"/>
              <w:gridCol w:w="1326"/>
            </w:tblGrid>
            <w:tr w14:paraId="3AB3B341">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noWrap w:val="0"/>
                  <w:vAlign w:val="center"/>
                </w:tcPr>
                <w:p w14:paraId="546EE5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污染源</w:t>
                  </w:r>
                </w:p>
              </w:tc>
              <w:tc>
                <w:tcPr>
                  <w:tcW w:w="3199" w:type="dxa"/>
                  <w:noWrap w:val="0"/>
                  <w:vAlign w:val="center"/>
                </w:tcPr>
                <w:p w14:paraId="1D2548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328" w:type="dxa"/>
                  <w:noWrap w:val="0"/>
                  <w:vAlign w:val="center"/>
                </w:tcPr>
                <w:p w14:paraId="7A0FA3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1326" w:type="dxa"/>
                  <w:noWrap w:val="0"/>
                  <w:vAlign w:val="center"/>
                </w:tcPr>
                <w:p w14:paraId="5EA2AD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监测频次</w:t>
                  </w:r>
                </w:p>
              </w:tc>
            </w:tr>
            <w:tr w14:paraId="1F760BD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restart"/>
                  <w:noWrap w:val="0"/>
                  <w:vAlign w:val="center"/>
                </w:tcPr>
                <w:p w14:paraId="25C9DE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lang w:val="en-US" w:eastAsia="zh-CN"/>
                    </w:rPr>
                    <w:t>有组织废气</w:t>
                  </w:r>
                </w:p>
              </w:tc>
              <w:tc>
                <w:tcPr>
                  <w:tcW w:w="3199" w:type="dxa"/>
                  <w:noWrap w:val="0"/>
                  <w:vAlign w:val="center"/>
                </w:tcPr>
                <w:p w14:paraId="5362B3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处理措施前</w:t>
                  </w:r>
                </w:p>
              </w:tc>
              <w:tc>
                <w:tcPr>
                  <w:tcW w:w="2328" w:type="dxa"/>
                  <w:vMerge w:val="restart"/>
                  <w:noWrap w:val="0"/>
                  <w:vAlign w:val="center"/>
                </w:tcPr>
                <w:p w14:paraId="6CA8F6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颗粒物、非甲烷总烃、硫酸雾、铅及其化合物、废气量</w:t>
                  </w:r>
                </w:p>
              </w:tc>
              <w:tc>
                <w:tcPr>
                  <w:tcW w:w="1326" w:type="dxa"/>
                  <w:vMerge w:val="restart"/>
                  <w:noWrap w:val="0"/>
                  <w:vAlign w:val="center"/>
                </w:tcPr>
                <w:p w14:paraId="56198B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tr w14:paraId="29891CF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continue"/>
                  <w:noWrap w:val="0"/>
                  <w:vAlign w:val="center"/>
                </w:tcPr>
                <w:p w14:paraId="584F03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3199" w:type="dxa"/>
                  <w:noWrap w:val="0"/>
                  <w:vAlign w:val="center"/>
                </w:tcPr>
                <w:p w14:paraId="6BCC52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处理措施后</w:t>
                  </w:r>
                </w:p>
              </w:tc>
              <w:tc>
                <w:tcPr>
                  <w:tcW w:w="2328" w:type="dxa"/>
                  <w:vMerge w:val="continue"/>
                  <w:noWrap w:val="0"/>
                  <w:vAlign w:val="center"/>
                </w:tcPr>
                <w:p w14:paraId="49BBE9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326" w:type="dxa"/>
                  <w:vMerge w:val="continue"/>
                  <w:noWrap w:val="0"/>
                  <w:vAlign w:val="center"/>
                </w:tcPr>
                <w:p w14:paraId="6B8F75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p>
              </w:tc>
            </w:tr>
          </w:tbl>
          <w:p w14:paraId="66162F7A">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无组织排放监测的点位、项目和频次见表6-2。</w:t>
            </w:r>
          </w:p>
          <w:p w14:paraId="53E0A13D">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表6-2  无组织排放监测的点位、项目和频次</w:t>
            </w:r>
          </w:p>
          <w:tbl>
            <w:tblPr>
              <w:tblStyle w:val="10"/>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669"/>
              <w:gridCol w:w="3199"/>
              <w:gridCol w:w="2328"/>
              <w:gridCol w:w="1326"/>
            </w:tblGrid>
            <w:tr w14:paraId="687E3EB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noWrap w:val="0"/>
                  <w:vAlign w:val="center"/>
                </w:tcPr>
                <w:p w14:paraId="2B0C1C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污染源</w:t>
                  </w:r>
                </w:p>
              </w:tc>
              <w:tc>
                <w:tcPr>
                  <w:tcW w:w="3199" w:type="dxa"/>
                  <w:noWrap w:val="0"/>
                  <w:vAlign w:val="center"/>
                </w:tcPr>
                <w:p w14:paraId="2639B4E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监测点位</w:t>
                  </w:r>
                </w:p>
              </w:tc>
              <w:tc>
                <w:tcPr>
                  <w:tcW w:w="2328" w:type="dxa"/>
                  <w:noWrap w:val="0"/>
                  <w:vAlign w:val="center"/>
                </w:tcPr>
                <w:p w14:paraId="3B8005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监测因子</w:t>
                  </w:r>
                </w:p>
              </w:tc>
              <w:tc>
                <w:tcPr>
                  <w:tcW w:w="1326" w:type="dxa"/>
                  <w:noWrap w:val="0"/>
                  <w:vAlign w:val="center"/>
                </w:tcPr>
                <w:p w14:paraId="727C3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监测频次</w:t>
                  </w:r>
                </w:p>
              </w:tc>
            </w:tr>
            <w:tr w14:paraId="75B2861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restart"/>
                  <w:noWrap w:val="0"/>
                  <w:vAlign w:val="center"/>
                </w:tcPr>
                <w:p w14:paraId="15655C1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无组织废气</w:t>
                  </w:r>
                </w:p>
              </w:tc>
              <w:tc>
                <w:tcPr>
                  <w:tcW w:w="3199" w:type="dxa"/>
                  <w:noWrap w:val="0"/>
                  <w:vAlign w:val="center"/>
                </w:tcPr>
                <w:p w14:paraId="699EA2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eastAsia="宋体" w:cs="Times New Roman"/>
                      <w:sz w:val="21"/>
                      <w:szCs w:val="21"/>
                    </w:rPr>
                    <w:t>厂界上风向设1个参照点，下风向布设</w:t>
                  </w:r>
                  <w:r>
                    <w:rPr>
                      <w:rFonts w:hint="eastAsia" w:ascii="Times New Roman" w:hAnsi="Times New Roman" w:eastAsia="宋体" w:cs="Times New Roman"/>
                      <w:sz w:val="21"/>
                      <w:szCs w:val="21"/>
                      <w:lang w:val="en-US" w:eastAsia="zh-CN"/>
                    </w:rPr>
                    <w:t>3</w:t>
                  </w:r>
                  <w:r>
                    <w:rPr>
                      <w:rFonts w:hint="eastAsia" w:ascii="Times New Roman" w:hAnsi="Times New Roman" w:eastAsia="宋体" w:cs="Times New Roman"/>
                      <w:sz w:val="21"/>
                      <w:szCs w:val="21"/>
                    </w:rPr>
                    <w:t>个监控点位（厂界10m范围内）</w:t>
                  </w:r>
                </w:p>
              </w:tc>
              <w:tc>
                <w:tcPr>
                  <w:tcW w:w="2328" w:type="dxa"/>
                  <w:noWrap w:val="0"/>
                  <w:vAlign w:val="center"/>
                </w:tcPr>
                <w:p w14:paraId="364298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颗粒物、非甲烷总烃、硫酸雾、铅及其化合物</w:t>
                  </w:r>
                </w:p>
              </w:tc>
              <w:tc>
                <w:tcPr>
                  <w:tcW w:w="1326" w:type="dxa"/>
                  <w:noWrap w:val="0"/>
                  <w:vAlign w:val="center"/>
                </w:tcPr>
                <w:p w14:paraId="71404A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tr w14:paraId="3DE25D6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669" w:type="dxa"/>
                  <w:vMerge w:val="continue"/>
                  <w:noWrap w:val="0"/>
                  <w:vAlign w:val="center"/>
                </w:tcPr>
                <w:p w14:paraId="55CD58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p>
              </w:tc>
              <w:tc>
                <w:tcPr>
                  <w:tcW w:w="3199" w:type="dxa"/>
                  <w:noWrap w:val="0"/>
                  <w:vAlign w:val="center"/>
                </w:tcPr>
                <w:p w14:paraId="2A62549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厂区内部车间外</w:t>
                  </w:r>
                </w:p>
              </w:tc>
              <w:tc>
                <w:tcPr>
                  <w:tcW w:w="2328" w:type="dxa"/>
                  <w:noWrap w:val="0"/>
                  <w:vAlign w:val="center"/>
                </w:tcPr>
                <w:p w14:paraId="2653BF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w:t>
                  </w:r>
                </w:p>
              </w:tc>
              <w:tc>
                <w:tcPr>
                  <w:tcW w:w="1326" w:type="dxa"/>
                  <w:noWrap w:val="0"/>
                  <w:vAlign w:val="center"/>
                </w:tcPr>
                <w:p w14:paraId="3D9736B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3次/天，连续2天</w:t>
                  </w:r>
                </w:p>
              </w:tc>
            </w:tr>
            <w:bookmarkEnd w:id="18"/>
          </w:tbl>
          <w:p w14:paraId="3B2BBC32">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2、废水监测内容</w:t>
            </w:r>
          </w:p>
          <w:p w14:paraId="39E89AA2">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在企业厂区内污水总排口布设1个监测点位，主要监测因子及频次如下：</w:t>
            </w:r>
          </w:p>
          <w:p w14:paraId="68EE36FD">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表6-3  废水水质监测布点</w:t>
            </w:r>
          </w:p>
          <w:tbl>
            <w:tblPr>
              <w:tblStyle w:val="10"/>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369"/>
              <w:gridCol w:w="3068"/>
              <w:gridCol w:w="2257"/>
            </w:tblGrid>
            <w:tr w14:paraId="5B1CA8FF">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59E3C8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序号</w:t>
                  </w:r>
                </w:p>
              </w:tc>
              <w:tc>
                <w:tcPr>
                  <w:tcW w:w="2369" w:type="dxa"/>
                  <w:noWrap w:val="0"/>
                  <w:vAlign w:val="center"/>
                </w:tcPr>
                <w:p w14:paraId="66914A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点位名称</w:t>
                  </w:r>
                </w:p>
              </w:tc>
              <w:tc>
                <w:tcPr>
                  <w:tcW w:w="3068" w:type="dxa"/>
                  <w:noWrap w:val="0"/>
                  <w:vAlign w:val="center"/>
                </w:tcPr>
                <w:p w14:paraId="5FB587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2257" w:type="dxa"/>
                  <w:noWrap w:val="0"/>
                  <w:vAlign w:val="center"/>
                </w:tcPr>
                <w:p w14:paraId="34C5FB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监测频次</w:t>
                  </w:r>
                </w:p>
              </w:tc>
            </w:tr>
            <w:tr w14:paraId="63B5B690">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28" w:type="dxa"/>
                  <w:noWrap w:val="0"/>
                  <w:vAlign w:val="center"/>
                </w:tcPr>
                <w:p w14:paraId="192567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p>
              </w:tc>
              <w:tc>
                <w:tcPr>
                  <w:tcW w:w="2369" w:type="dxa"/>
                  <w:noWrap w:val="0"/>
                  <w:vAlign w:val="center"/>
                </w:tcPr>
                <w:p w14:paraId="654106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厂区总排口</w:t>
                  </w:r>
                </w:p>
              </w:tc>
              <w:tc>
                <w:tcPr>
                  <w:tcW w:w="3068" w:type="dxa"/>
                  <w:noWrap w:val="0"/>
                  <w:vAlign w:val="center"/>
                </w:tcPr>
                <w:p w14:paraId="09E202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COD</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NH</w:t>
                  </w:r>
                  <w:r>
                    <w:rPr>
                      <w:rFonts w:hint="eastAsia" w:ascii="Times New Roman" w:hAnsi="Times New Roman" w:eastAsia="宋体" w:cs="Times New Roman"/>
                      <w:sz w:val="21"/>
                      <w:szCs w:val="21"/>
                      <w:vertAlign w:val="subscript"/>
                      <w:lang w:val="en-US" w:eastAsia="zh-CN"/>
                    </w:rPr>
                    <w:t>3</w:t>
                  </w:r>
                  <w:r>
                    <w:rPr>
                      <w:rFonts w:hint="eastAsia" w:ascii="Times New Roman" w:hAnsi="Times New Roman" w:eastAsia="宋体" w:cs="Times New Roman"/>
                      <w:sz w:val="21"/>
                      <w:szCs w:val="21"/>
                      <w:lang w:val="en-US" w:eastAsia="zh-CN"/>
                    </w:rPr>
                    <w:t>-N</w:t>
                  </w:r>
                  <w:r>
                    <w:rPr>
                      <w:rFonts w:hint="eastAsia" w:ascii="Times New Roman" w:hAnsi="Times New Roman" w:eastAsia="宋体" w:cs="Times New Roman"/>
                      <w:sz w:val="21"/>
                      <w:szCs w:val="21"/>
                      <w:lang w:val="zh-CN" w:eastAsia="zh-CN"/>
                    </w:rPr>
                    <w:t>、</w:t>
                  </w:r>
                  <w:r>
                    <w:rPr>
                      <w:rFonts w:hint="eastAsia" w:ascii="Times New Roman" w:hAnsi="Times New Roman" w:eastAsia="宋体" w:cs="Times New Roman"/>
                      <w:sz w:val="21"/>
                      <w:szCs w:val="21"/>
                      <w:lang w:val="en-US" w:eastAsia="zh-CN"/>
                    </w:rPr>
                    <w:t>SS、石油类</w:t>
                  </w:r>
                </w:p>
              </w:tc>
              <w:tc>
                <w:tcPr>
                  <w:tcW w:w="2257" w:type="dxa"/>
                  <w:noWrap w:val="0"/>
                  <w:vAlign w:val="center"/>
                </w:tcPr>
                <w:p w14:paraId="342CC0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4次/天，连续2天</w:t>
                  </w:r>
                </w:p>
              </w:tc>
            </w:tr>
          </w:tbl>
          <w:p w14:paraId="5E280237">
            <w:pPr>
              <w:widowControl w:val="0"/>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rPr>
              <w:t>3、噪声监测内容</w:t>
            </w:r>
          </w:p>
          <w:p w14:paraId="276C426E">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本次在企业厂区四周共布设4个噪声监测点位，各监测点名称及布设情况详见表6-4。</w:t>
            </w:r>
          </w:p>
          <w:p w14:paraId="5A737B85">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表6-4   声环境监测点名称及布设情况</w:t>
            </w:r>
          </w:p>
          <w:tbl>
            <w:tblPr>
              <w:tblStyle w:val="10"/>
              <w:tblW w:w="4998" w:type="pct"/>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768"/>
              <w:gridCol w:w="2814"/>
              <w:gridCol w:w="2413"/>
              <w:gridCol w:w="2706"/>
            </w:tblGrid>
            <w:tr w14:paraId="2AF28F5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8" w:hRule="atLeast"/>
                <w:jc w:val="center"/>
              </w:trPr>
              <w:tc>
                <w:tcPr>
                  <w:tcW w:w="441" w:type="pct"/>
                  <w:noWrap w:val="0"/>
                  <w:vAlign w:val="center"/>
                </w:tcPr>
                <w:p w14:paraId="0FBCCC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序号</w:t>
                  </w:r>
                </w:p>
              </w:tc>
              <w:tc>
                <w:tcPr>
                  <w:tcW w:w="1616" w:type="pct"/>
                  <w:noWrap w:val="0"/>
                  <w:vAlign w:val="center"/>
                </w:tcPr>
                <w:p w14:paraId="74C50A6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1386" w:type="pct"/>
                  <w:noWrap w:val="0"/>
                  <w:vAlign w:val="center"/>
                </w:tcPr>
                <w:p w14:paraId="0EF295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监测因子</w:t>
                  </w:r>
                </w:p>
              </w:tc>
              <w:tc>
                <w:tcPr>
                  <w:tcW w:w="1554" w:type="pct"/>
                  <w:noWrap w:val="0"/>
                  <w:vAlign w:val="center"/>
                </w:tcPr>
                <w:p w14:paraId="253986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监测频次</w:t>
                  </w:r>
                </w:p>
              </w:tc>
            </w:tr>
            <w:tr w14:paraId="122711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1966244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N1</w:t>
                  </w:r>
                </w:p>
              </w:tc>
              <w:tc>
                <w:tcPr>
                  <w:tcW w:w="1616" w:type="pct"/>
                  <w:noWrap w:val="0"/>
                  <w:vAlign w:val="center"/>
                </w:tcPr>
                <w:p w14:paraId="15CDD4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厂界东侧1m</w:t>
                  </w:r>
                </w:p>
              </w:tc>
              <w:tc>
                <w:tcPr>
                  <w:tcW w:w="1386" w:type="pct"/>
                  <w:vMerge w:val="restart"/>
                  <w:noWrap w:val="0"/>
                  <w:vAlign w:val="center"/>
                </w:tcPr>
                <w:p w14:paraId="12898D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dB（A）</w:t>
                  </w:r>
                </w:p>
              </w:tc>
              <w:tc>
                <w:tcPr>
                  <w:tcW w:w="1554" w:type="pct"/>
                  <w:vMerge w:val="restart"/>
                  <w:noWrap w:val="0"/>
                  <w:vAlign w:val="center"/>
                </w:tcPr>
                <w:p w14:paraId="1B0218A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2d，昼夜各一次</w:t>
                  </w:r>
                </w:p>
              </w:tc>
            </w:tr>
            <w:tr w14:paraId="35BB80A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33711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N2</w:t>
                  </w:r>
                </w:p>
              </w:tc>
              <w:tc>
                <w:tcPr>
                  <w:tcW w:w="1616" w:type="pct"/>
                  <w:noWrap w:val="0"/>
                  <w:vAlign w:val="center"/>
                </w:tcPr>
                <w:p w14:paraId="362970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厂界南侧1m</w:t>
                  </w:r>
                </w:p>
              </w:tc>
              <w:tc>
                <w:tcPr>
                  <w:tcW w:w="1386" w:type="pct"/>
                  <w:vMerge w:val="continue"/>
                  <w:noWrap w:val="0"/>
                  <w:vAlign w:val="center"/>
                </w:tcPr>
                <w:p w14:paraId="0C9508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61B7A7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tr w14:paraId="495288B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34" w:hRule="atLeast"/>
                <w:jc w:val="center"/>
              </w:trPr>
              <w:tc>
                <w:tcPr>
                  <w:tcW w:w="441" w:type="pct"/>
                  <w:noWrap w:val="0"/>
                  <w:vAlign w:val="center"/>
                </w:tcPr>
                <w:p w14:paraId="04F806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N3</w:t>
                  </w:r>
                </w:p>
              </w:tc>
              <w:tc>
                <w:tcPr>
                  <w:tcW w:w="1616" w:type="pct"/>
                  <w:noWrap w:val="0"/>
                  <w:vAlign w:val="center"/>
                </w:tcPr>
                <w:p w14:paraId="597FFE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厂界西侧1m</w:t>
                  </w:r>
                </w:p>
              </w:tc>
              <w:tc>
                <w:tcPr>
                  <w:tcW w:w="1386" w:type="pct"/>
                  <w:vMerge w:val="continue"/>
                  <w:noWrap w:val="0"/>
                  <w:vAlign w:val="center"/>
                </w:tcPr>
                <w:p w14:paraId="3938DD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2F99B7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tr w14:paraId="301DBD3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188" w:hRule="atLeast"/>
                <w:jc w:val="center"/>
              </w:trPr>
              <w:tc>
                <w:tcPr>
                  <w:tcW w:w="441" w:type="pct"/>
                  <w:noWrap w:val="0"/>
                  <w:vAlign w:val="center"/>
                </w:tcPr>
                <w:p w14:paraId="0AD624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zh-CN" w:eastAsia="zh-CN"/>
                    </w:rPr>
                    <w:t>N4</w:t>
                  </w:r>
                </w:p>
              </w:tc>
              <w:tc>
                <w:tcPr>
                  <w:tcW w:w="1616" w:type="pct"/>
                  <w:noWrap w:val="0"/>
                  <w:vAlign w:val="center"/>
                </w:tcPr>
                <w:p w14:paraId="745771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r>
                    <w:rPr>
                      <w:rFonts w:hint="eastAsia" w:ascii="Times New Roman" w:hAnsi="Times New Roman" w:eastAsia="宋体" w:cs="Times New Roman"/>
                      <w:sz w:val="21"/>
                      <w:szCs w:val="21"/>
                      <w:lang w:val="en-US" w:eastAsia="zh-CN"/>
                    </w:rPr>
                    <w:t>厂界北侧1m</w:t>
                  </w:r>
                </w:p>
              </w:tc>
              <w:tc>
                <w:tcPr>
                  <w:tcW w:w="1386" w:type="pct"/>
                  <w:vMerge w:val="continue"/>
                  <w:noWrap w:val="0"/>
                  <w:vAlign w:val="center"/>
                </w:tcPr>
                <w:p w14:paraId="16D159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c>
                <w:tcPr>
                  <w:tcW w:w="1554" w:type="pct"/>
                  <w:vMerge w:val="continue"/>
                  <w:noWrap w:val="0"/>
                  <w:vAlign w:val="center"/>
                </w:tcPr>
                <w:p w14:paraId="71A1DE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zh-CN" w:eastAsia="zh-CN"/>
                    </w:rPr>
                  </w:pPr>
                </w:p>
              </w:tc>
            </w:tr>
            <w:bookmarkEnd w:id="17"/>
          </w:tbl>
          <w:p w14:paraId="75900A78">
            <w:pPr>
              <w:spacing w:after="0" w:line="360" w:lineRule="auto"/>
              <w:rPr>
                <w:rFonts w:asciiTheme="minorEastAsia" w:hAnsiTheme="minorEastAsia" w:eastAsiaTheme="minorEastAsia" w:cstheme="minorEastAsia"/>
                <w:color w:val="000000"/>
                <w:sz w:val="21"/>
                <w:szCs w:val="21"/>
              </w:rPr>
            </w:pPr>
          </w:p>
          <w:p w14:paraId="5A7D1B3D">
            <w:pPr>
              <w:spacing w:after="0" w:line="360" w:lineRule="auto"/>
              <w:rPr>
                <w:rFonts w:asciiTheme="minorEastAsia" w:hAnsiTheme="minorEastAsia" w:eastAsiaTheme="minorEastAsia" w:cstheme="minorEastAsia"/>
                <w:color w:val="000000"/>
                <w:sz w:val="21"/>
                <w:szCs w:val="21"/>
              </w:rPr>
            </w:pPr>
          </w:p>
        </w:tc>
      </w:tr>
    </w:tbl>
    <w:p w14:paraId="3DC616E4">
      <w:pPr>
        <w:pStyle w:val="24"/>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72DE1610">
      <w:pPr>
        <w:spacing w:after="0" w:line="360" w:lineRule="auto"/>
        <w:ind w:firstLine="241" w:firstLineChars="100"/>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表七</w:t>
      </w:r>
      <w:r>
        <w:rPr>
          <w:rFonts w:hint="eastAsia" w:asciiTheme="minorEastAsia" w:hAnsiTheme="minorEastAsia" w:eastAsiaTheme="minorEastAsia" w:cstheme="minorEastAsia"/>
          <w:b/>
          <w:color w:val="000000"/>
          <w:sz w:val="24"/>
          <w:szCs w:val="24"/>
          <w:lang w:val="en-US" w:eastAsia="zh-CN"/>
        </w:rPr>
        <w:t xml:space="preserve">  验收监测结果</w:t>
      </w:r>
    </w:p>
    <w:tbl>
      <w:tblPr>
        <w:tblStyle w:val="10"/>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14:paraId="1514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8924" w:type="dxa"/>
          </w:tcPr>
          <w:p w14:paraId="6AC6795E">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验收监测期间生产工况记录：</w:t>
            </w:r>
          </w:p>
          <w:p w14:paraId="2DE3C238">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吉林省中孚检测技术服务有限公</w:t>
            </w:r>
            <w:r>
              <w:rPr>
                <w:rFonts w:hint="eastAsia" w:ascii="Times New Roman" w:hAnsi="Times New Roman" w:eastAsia="宋体" w:cs="Times New Roman"/>
                <w:color w:val="000000" w:themeColor="text1"/>
                <w:kern w:val="2"/>
                <w:sz w:val="24"/>
                <w:szCs w:val="24"/>
                <w:lang w:val="en-US" w:eastAsia="zh-CN"/>
                <w14:textFill>
                  <w14:solidFill>
                    <w14:schemeClr w14:val="tx1"/>
                  </w14:solidFill>
                </w14:textFill>
              </w:rPr>
              <w:t>司于2025年11月7日至11月8日</w:t>
            </w:r>
            <w:r>
              <w:rPr>
                <w:rFonts w:hint="eastAsia" w:ascii="Times New Roman" w:hAnsi="Times New Roman" w:eastAsia="宋体" w:cs="Times New Roman"/>
                <w:color w:val="auto"/>
                <w:kern w:val="2"/>
                <w:sz w:val="24"/>
                <w:szCs w:val="24"/>
                <w:lang w:val="en-US" w:eastAsia="zh-CN"/>
              </w:rPr>
              <w:t>对吉林省屹良再生物资回收有限公司废旧汽车回收拆解项目进行了竣工环境保护验收监测。验收监测期间工况稳定，监测具有代表性。</w:t>
            </w:r>
          </w:p>
          <w:p w14:paraId="3EA97E45">
            <w:pPr>
              <w:widowControl w:val="0"/>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heme="minorEastAsia" w:hAnsiTheme="minorEastAsia" w:eastAsiaTheme="minorEastAsia" w:cstheme="minorEastAsia"/>
                <w:sz w:val="24"/>
                <w:szCs w:val="24"/>
                <w:highlight w:val="none"/>
              </w:rPr>
              <w:t>验收</w:t>
            </w:r>
            <w:r>
              <w:rPr>
                <w:rFonts w:hint="eastAsia" w:ascii="Times New Roman" w:hAnsi="Times New Roman" w:eastAsia="宋体" w:cs="Times New Roman"/>
                <w:color w:val="auto"/>
                <w:kern w:val="2"/>
                <w:sz w:val="24"/>
                <w:szCs w:val="24"/>
                <w:lang w:val="en-US" w:eastAsia="zh-CN"/>
              </w:rPr>
              <w:t>监测结果：</w:t>
            </w:r>
          </w:p>
          <w:p w14:paraId="63C49404">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rPr>
            </w:pPr>
            <w:r>
              <w:rPr>
                <w:rFonts w:hint="eastAsia" w:ascii="Times New Roman" w:hAnsi="Times New Roman" w:eastAsia="宋体" w:cs="Times New Roman"/>
                <w:b/>
                <w:bCs/>
                <w:color w:val="auto"/>
                <w:kern w:val="2"/>
                <w:sz w:val="24"/>
                <w:szCs w:val="24"/>
                <w:lang w:val="en-US" w:eastAsia="zh-CN" w:bidi="ar-SA"/>
              </w:rPr>
              <w:t>1、</w:t>
            </w:r>
            <w:r>
              <w:rPr>
                <w:rFonts w:hint="eastAsia" w:ascii="Times New Roman" w:hAnsi="Times New Roman" w:eastAsia="宋体" w:cs="Times New Roman"/>
                <w:b/>
                <w:bCs/>
                <w:color w:val="auto"/>
                <w:kern w:val="2"/>
                <w:sz w:val="24"/>
                <w:szCs w:val="24"/>
                <w:lang w:val="en-US" w:eastAsia="zh-CN"/>
              </w:rPr>
              <w:t>废气</w:t>
            </w:r>
          </w:p>
          <w:p w14:paraId="5E4C5439">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color w:val="auto"/>
                <w:kern w:val="2"/>
                <w:sz w:val="24"/>
                <w:szCs w:val="24"/>
                <w:lang w:val="en-US" w:eastAsia="zh-CN"/>
              </w:rPr>
            </w:pPr>
            <w:r>
              <w:rPr>
                <w:rFonts w:hint="eastAsia" w:ascii="Times New Roman" w:hAnsi="Times New Roman" w:eastAsia="宋体" w:cs="Times New Roman"/>
                <w:color w:val="auto"/>
                <w:kern w:val="2"/>
                <w:sz w:val="24"/>
                <w:szCs w:val="24"/>
                <w:lang w:val="en-US" w:eastAsia="zh-CN"/>
              </w:rPr>
              <w:t>项目有组织废气监测结果详见表7-1。</w:t>
            </w:r>
          </w:p>
          <w:p w14:paraId="1CBE1674">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有组织废气检测结果一览表（1）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0"/>
              <w:tblW w:w="4998"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4"/>
              <w:gridCol w:w="1614"/>
              <w:gridCol w:w="1446"/>
              <w:gridCol w:w="2154"/>
              <w:gridCol w:w="1777"/>
            </w:tblGrid>
            <w:tr w14:paraId="6FA89F5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2249D0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20045E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7" w:type="pct"/>
                  <w:gridSpan w:val="2"/>
                  <w:tcBorders>
                    <w:tl2br w:val="nil"/>
                    <w:tr2bl w:val="nil"/>
                  </w:tcBorders>
                  <w:shd w:val="clear" w:color="auto" w:fill="auto"/>
                  <w:vAlign w:val="center"/>
                </w:tcPr>
                <w:p w14:paraId="3D3226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218487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trPr>
              <w:tc>
                <w:tcPr>
                  <w:tcW w:w="984" w:type="pct"/>
                  <w:vMerge w:val="continue"/>
                  <w:tcBorders>
                    <w:tl2br w:val="nil"/>
                    <w:tr2bl w:val="nil"/>
                  </w:tcBorders>
                  <w:shd w:val="clear" w:color="auto" w:fill="auto"/>
                  <w:vAlign w:val="center"/>
                </w:tcPr>
                <w:p w14:paraId="6D2E32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0DD44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7" w:type="pct"/>
                  <w:tcBorders>
                    <w:tl2br w:val="nil"/>
                    <w:tr2bl w:val="nil"/>
                  </w:tcBorders>
                  <w:shd w:val="clear" w:color="auto" w:fill="auto"/>
                  <w:vAlign w:val="center"/>
                </w:tcPr>
                <w:p w14:paraId="6D76DC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19" w:type="pct"/>
                  <w:tcBorders>
                    <w:tl2br w:val="nil"/>
                    <w:tr2bl w:val="nil"/>
                  </w:tcBorders>
                  <w:shd w:val="clear" w:color="auto" w:fill="auto"/>
                  <w:vAlign w:val="center"/>
                </w:tcPr>
                <w:p w14:paraId="3C94FA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422301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333FA3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7" w:type="pct"/>
                  <w:vMerge w:val="restart"/>
                  <w:tcBorders>
                    <w:tl2br w:val="nil"/>
                    <w:tr2bl w:val="nil"/>
                  </w:tcBorders>
                  <w:shd w:val="clear" w:color="auto" w:fill="auto"/>
                  <w:vAlign w:val="center"/>
                </w:tcPr>
                <w:p w14:paraId="3B36A5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0" w:type="pct"/>
                  <w:tcBorders>
                    <w:tl2br w:val="nil"/>
                    <w:tr2bl w:val="nil"/>
                  </w:tcBorders>
                  <w:shd w:val="clear" w:color="auto" w:fill="auto"/>
                  <w:vAlign w:val="center"/>
                </w:tcPr>
                <w:p w14:paraId="1C9AFA0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0D2CFE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25.7</w:t>
                  </w:r>
                </w:p>
              </w:tc>
              <w:tc>
                <w:tcPr>
                  <w:tcW w:w="1019" w:type="pct"/>
                  <w:tcBorders>
                    <w:tl2br w:val="nil"/>
                    <w:tr2bl w:val="nil"/>
                  </w:tcBorders>
                  <w:shd w:val="clear" w:color="auto" w:fill="auto"/>
                  <w:vAlign w:val="center"/>
                </w:tcPr>
                <w:p w14:paraId="514499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4683</w:t>
                  </w:r>
                </w:p>
              </w:tc>
            </w:tr>
            <w:tr w14:paraId="2A6996A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1D87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15BE80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515245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769C57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28.3</w:t>
                  </w:r>
                </w:p>
              </w:tc>
              <w:tc>
                <w:tcPr>
                  <w:tcW w:w="1019" w:type="pct"/>
                  <w:tcBorders>
                    <w:tl2br w:val="nil"/>
                    <w:tr2bl w:val="nil"/>
                  </w:tcBorders>
                  <w:shd w:val="clear" w:color="auto" w:fill="auto"/>
                  <w:vAlign w:val="center"/>
                </w:tcPr>
                <w:p w14:paraId="4C6F26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4668</w:t>
                  </w:r>
                </w:p>
              </w:tc>
            </w:tr>
            <w:tr w14:paraId="63C1166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718BBD9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4551EF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1A1A45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16EC9D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29.5</w:t>
                  </w:r>
                </w:p>
              </w:tc>
              <w:tc>
                <w:tcPr>
                  <w:tcW w:w="1019" w:type="pct"/>
                  <w:tcBorders>
                    <w:tl2br w:val="nil"/>
                    <w:tr2bl w:val="nil"/>
                  </w:tcBorders>
                  <w:shd w:val="clear" w:color="auto" w:fill="auto"/>
                  <w:vAlign w:val="center"/>
                </w:tcPr>
                <w:p w14:paraId="1C616E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4769</w:t>
                  </w:r>
                </w:p>
              </w:tc>
            </w:tr>
            <w:tr w14:paraId="530878D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68BE68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7" w:type="pct"/>
                  <w:vMerge w:val="continue"/>
                  <w:tcBorders>
                    <w:tl2br w:val="nil"/>
                    <w:tr2bl w:val="nil"/>
                  </w:tcBorders>
                  <w:shd w:val="clear" w:color="auto" w:fill="auto"/>
                  <w:vAlign w:val="center"/>
                </w:tcPr>
                <w:p w14:paraId="53ACD5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6E7796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060AF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28.3</w:t>
                  </w:r>
                </w:p>
              </w:tc>
              <w:tc>
                <w:tcPr>
                  <w:tcW w:w="1019" w:type="pct"/>
                  <w:tcBorders>
                    <w:tl2br w:val="nil"/>
                    <w:tr2bl w:val="nil"/>
                  </w:tcBorders>
                  <w:shd w:val="clear" w:color="auto" w:fill="auto"/>
                  <w:vAlign w:val="center"/>
                </w:tcPr>
                <w:p w14:paraId="233AA0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4827</w:t>
                  </w:r>
                </w:p>
              </w:tc>
            </w:tr>
            <w:tr w14:paraId="65555AE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47AFB6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640E30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1F474C7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2EE7B64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28.9</w:t>
                  </w:r>
                </w:p>
              </w:tc>
              <w:tc>
                <w:tcPr>
                  <w:tcW w:w="1019" w:type="pct"/>
                  <w:tcBorders>
                    <w:tl2br w:val="nil"/>
                    <w:tr2bl w:val="nil"/>
                  </w:tcBorders>
                  <w:shd w:val="clear" w:color="auto" w:fill="auto"/>
                  <w:vAlign w:val="center"/>
                </w:tcPr>
                <w:p w14:paraId="3A63808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4815</w:t>
                  </w:r>
                </w:p>
              </w:tc>
            </w:tr>
            <w:tr w14:paraId="316201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216FE8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576F0D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6E4835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1FFE6E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27.2</w:t>
                  </w:r>
                </w:p>
              </w:tc>
              <w:tc>
                <w:tcPr>
                  <w:tcW w:w="1019" w:type="pct"/>
                  <w:tcBorders>
                    <w:tl2br w:val="nil"/>
                    <w:tr2bl w:val="nil"/>
                  </w:tcBorders>
                  <w:shd w:val="clear" w:color="auto" w:fill="auto"/>
                  <w:vAlign w:val="center"/>
                </w:tcPr>
                <w:p w14:paraId="0A80F5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4869</w:t>
                  </w:r>
                </w:p>
              </w:tc>
            </w:tr>
            <w:tr w14:paraId="12ACA27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175437C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7" w:type="pct"/>
                  <w:vMerge w:val="restart"/>
                  <w:tcBorders>
                    <w:tl2br w:val="nil"/>
                    <w:tr2bl w:val="nil"/>
                  </w:tcBorders>
                  <w:shd w:val="clear" w:color="auto" w:fill="auto"/>
                  <w:vAlign w:val="center"/>
                </w:tcPr>
                <w:p w14:paraId="2CB806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0" w:type="pct"/>
                  <w:tcBorders>
                    <w:tl2br w:val="nil"/>
                    <w:tr2bl w:val="nil"/>
                  </w:tcBorders>
                  <w:shd w:val="clear" w:color="auto" w:fill="auto"/>
                  <w:vAlign w:val="center"/>
                </w:tcPr>
                <w:p w14:paraId="59E05D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7813E50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4.22</w:t>
                  </w:r>
                </w:p>
              </w:tc>
              <w:tc>
                <w:tcPr>
                  <w:tcW w:w="1019" w:type="pct"/>
                  <w:tcBorders>
                    <w:tl2br w:val="nil"/>
                    <w:tr2bl w:val="nil"/>
                  </w:tcBorders>
                  <w:shd w:val="clear" w:color="auto" w:fill="auto"/>
                  <w:vAlign w:val="center"/>
                </w:tcPr>
                <w:p w14:paraId="3C6495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4857</w:t>
                  </w:r>
                </w:p>
              </w:tc>
            </w:tr>
            <w:tr w14:paraId="4D8D801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A1BAD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1BDC1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23109A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5336F1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5.12</w:t>
                  </w:r>
                </w:p>
              </w:tc>
              <w:tc>
                <w:tcPr>
                  <w:tcW w:w="1019" w:type="pct"/>
                  <w:tcBorders>
                    <w:tl2br w:val="nil"/>
                    <w:tr2bl w:val="nil"/>
                  </w:tcBorders>
                  <w:shd w:val="clear" w:color="auto" w:fill="auto"/>
                  <w:vAlign w:val="center"/>
                </w:tcPr>
                <w:p w14:paraId="59C772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4818</w:t>
                  </w:r>
                </w:p>
              </w:tc>
            </w:tr>
            <w:tr w14:paraId="7456946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2B8B3A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15D0A8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6A2592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737F58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4.07</w:t>
                  </w:r>
                </w:p>
              </w:tc>
              <w:tc>
                <w:tcPr>
                  <w:tcW w:w="1019" w:type="pct"/>
                  <w:tcBorders>
                    <w:tl2br w:val="nil"/>
                    <w:tr2bl w:val="nil"/>
                  </w:tcBorders>
                  <w:shd w:val="clear" w:color="auto" w:fill="auto"/>
                  <w:vAlign w:val="center"/>
                </w:tcPr>
                <w:p w14:paraId="76D942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4739</w:t>
                  </w:r>
                </w:p>
              </w:tc>
            </w:tr>
            <w:tr w14:paraId="02CDC51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592BBF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2025.11.8</w:t>
                  </w:r>
                </w:p>
              </w:tc>
              <w:tc>
                <w:tcPr>
                  <w:tcW w:w="927" w:type="pct"/>
                  <w:vMerge w:val="continue"/>
                  <w:tcBorders>
                    <w:tl2br w:val="nil"/>
                    <w:tr2bl w:val="nil"/>
                  </w:tcBorders>
                  <w:shd w:val="clear" w:color="auto" w:fill="auto"/>
                  <w:vAlign w:val="center"/>
                </w:tcPr>
                <w:p w14:paraId="7E71DD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7AA73D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7" w:type="pct"/>
                  <w:tcBorders>
                    <w:tl2br w:val="nil"/>
                    <w:tr2bl w:val="nil"/>
                  </w:tcBorders>
                  <w:shd w:val="clear" w:color="auto" w:fill="auto"/>
                  <w:vAlign w:val="center"/>
                </w:tcPr>
                <w:p w14:paraId="7E88D8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5.18</w:t>
                  </w:r>
                </w:p>
              </w:tc>
              <w:tc>
                <w:tcPr>
                  <w:tcW w:w="1019" w:type="pct"/>
                  <w:tcBorders>
                    <w:tl2br w:val="nil"/>
                    <w:tr2bl w:val="nil"/>
                  </w:tcBorders>
                  <w:shd w:val="clear" w:color="auto" w:fill="auto"/>
                  <w:vAlign w:val="center"/>
                </w:tcPr>
                <w:p w14:paraId="120CA6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4695</w:t>
                  </w:r>
                </w:p>
              </w:tc>
            </w:tr>
            <w:tr w14:paraId="7F45C39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17D713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7AC1A6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5044E3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7" w:type="pct"/>
                  <w:tcBorders>
                    <w:tl2br w:val="nil"/>
                    <w:tr2bl w:val="nil"/>
                  </w:tcBorders>
                  <w:shd w:val="clear" w:color="auto" w:fill="auto"/>
                  <w:vAlign w:val="center"/>
                </w:tcPr>
                <w:p w14:paraId="2370C5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4.23</w:t>
                  </w:r>
                </w:p>
              </w:tc>
              <w:tc>
                <w:tcPr>
                  <w:tcW w:w="1019" w:type="pct"/>
                  <w:tcBorders>
                    <w:tl2br w:val="nil"/>
                    <w:tr2bl w:val="nil"/>
                  </w:tcBorders>
                  <w:shd w:val="clear" w:color="auto" w:fill="auto"/>
                  <w:vAlign w:val="center"/>
                </w:tcPr>
                <w:p w14:paraId="3880D1C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4825</w:t>
                  </w:r>
                </w:p>
              </w:tc>
            </w:tr>
            <w:tr w14:paraId="518B3BD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675EF5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7" w:type="pct"/>
                  <w:vMerge w:val="continue"/>
                  <w:tcBorders>
                    <w:tl2br w:val="nil"/>
                    <w:tr2bl w:val="nil"/>
                  </w:tcBorders>
                  <w:shd w:val="clear" w:color="auto" w:fill="auto"/>
                  <w:vAlign w:val="center"/>
                </w:tcPr>
                <w:p w14:paraId="7546372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0" w:type="pct"/>
                  <w:tcBorders>
                    <w:tl2br w:val="nil"/>
                    <w:tr2bl w:val="nil"/>
                  </w:tcBorders>
                  <w:shd w:val="clear" w:color="auto" w:fill="auto"/>
                  <w:vAlign w:val="center"/>
                </w:tcPr>
                <w:p w14:paraId="082749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7" w:type="pct"/>
                  <w:tcBorders>
                    <w:tl2br w:val="nil"/>
                    <w:tr2bl w:val="nil"/>
                  </w:tcBorders>
                  <w:shd w:val="clear" w:color="auto" w:fill="auto"/>
                  <w:vAlign w:val="center"/>
                </w:tcPr>
                <w:p w14:paraId="0A7AD0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4.27</w:t>
                  </w:r>
                </w:p>
              </w:tc>
              <w:tc>
                <w:tcPr>
                  <w:tcW w:w="1019" w:type="pct"/>
                  <w:tcBorders>
                    <w:tl2br w:val="nil"/>
                    <w:tr2bl w:val="nil"/>
                  </w:tcBorders>
                  <w:shd w:val="clear" w:color="auto" w:fill="auto"/>
                  <w:vAlign w:val="center"/>
                </w:tcPr>
                <w:p w14:paraId="7F5F86C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4764</w:t>
                  </w:r>
                </w:p>
              </w:tc>
            </w:tr>
          </w:tbl>
          <w:p w14:paraId="5CAB3F7A">
            <w:pPr>
              <w:pStyle w:val="3"/>
              <w:spacing w:after="0"/>
              <w:ind w:firstLine="420"/>
              <w:jc w:val="center"/>
              <w:rPr>
                <w:rFonts w:hint="eastAsia" w:asciiTheme="minorEastAsia" w:hAnsiTheme="minorEastAsia" w:eastAsiaTheme="minorEastAsia" w:cstheme="minorEastAsia"/>
                <w:b/>
                <w:bCs/>
                <w:sz w:val="21"/>
                <w:szCs w:val="21"/>
                <w:u w:val="single"/>
              </w:rPr>
            </w:pPr>
          </w:p>
          <w:p w14:paraId="7A62F775">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有组织废气检测结果一览表（2）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0"/>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3"/>
              <w:gridCol w:w="1611"/>
              <w:gridCol w:w="1447"/>
              <w:gridCol w:w="2153"/>
              <w:gridCol w:w="1782"/>
            </w:tblGrid>
            <w:tr w14:paraId="41D102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262B549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6" w:type="pct"/>
                  <w:gridSpan w:val="2"/>
                  <w:vMerge w:val="restart"/>
                  <w:tcBorders>
                    <w:tl2br w:val="nil"/>
                    <w:tr2bl w:val="nil"/>
                  </w:tcBorders>
                  <w:shd w:val="clear" w:color="auto" w:fill="auto"/>
                  <w:vAlign w:val="center"/>
                </w:tcPr>
                <w:p w14:paraId="39740C0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9" w:type="pct"/>
                  <w:gridSpan w:val="2"/>
                  <w:tcBorders>
                    <w:tl2br w:val="nil"/>
                    <w:tr2bl w:val="nil"/>
                  </w:tcBorders>
                  <w:shd w:val="clear" w:color="auto" w:fill="auto"/>
                  <w:vAlign w:val="center"/>
                </w:tcPr>
                <w:p w14:paraId="4C13AB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69648AF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trPr>
              <w:tc>
                <w:tcPr>
                  <w:tcW w:w="984" w:type="pct"/>
                  <w:vMerge w:val="continue"/>
                  <w:tcBorders>
                    <w:tl2br w:val="nil"/>
                    <w:tr2bl w:val="nil"/>
                  </w:tcBorders>
                  <w:shd w:val="clear" w:color="auto" w:fill="auto"/>
                  <w:vAlign w:val="center"/>
                </w:tcPr>
                <w:p w14:paraId="7E53394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6" w:type="pct"/>
                  <w:gridSpan w:val="2"/>
                  <w:vMerge w:val="continue"/>
                  <w:tcBorders>
                    <w:tl2br w:val="nil"/>
                    <w:tr2bl w:val="nil"/>
                  </w:tcBorders>
                  <w:shd w:val="clear" w:color="auto" w:fill="auto"/>
                  <w:vAlign w:val="center"/>
                </w:tcPr>
                <w:p w14:paraId="6174A20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6" w:type="pct"/>
                  <w:tcBorders>
                    <w:tl2br w:val="nil"/>
                    <w:tr2bl w:val="nil"/>
                  </w:tcBorders>
                  <w:shd w:val="clear" w:color="auto" w:fill="auto"/>
                  <w:vAlign w:val="center"/>
                </w:tcPr>
                <w:p w14:paraId="463081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2" w:type="pct"/>
                  <w:tcBorders>
                    <w:tl2br w:val="nil"/>
                    <w:tr2bl w:val="nil"/>
                  </w:tcBorders>
                  <w:shd w:val="clear" w:color="auto" w:fill="auto"/>
                  <w:vAlign w:val="center"/>
                </w:tcPr>
                <w:p w14:paraId="17A14A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58FACAB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6A3ABD6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6DF12DF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1" w:type="pct"/>
                  <w:tcBorders>
                    <w:tl2br w:val="nil"/>
                    <w:tr2bl w:val="nil"/>
                  </w:tcBorders>
                  <w:shd w:val="clear" w:color="auto" w:fill="auto"/>
                  <w:vAlign w:val="center"/>
                </w:tcPr>
                <w:p w14:paraId="523114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02EAE3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245</w:t>
                  </w:r>
                </w:p>
              </w:tc>
              <w:tc>
                <w:tcPr>
                  <w:tcW w:w="1022" w:type="pct"/>
                  <w:tcBorders>
                    <w:tl2br w:val="nil"/>
                    <w:tr2bl w:val="nil"/>
                  </w:tcBorders>
                  <w:shd w:val="clear" w:color="auto" w:fill="auto"/>
                  <w:vAlign w:val="center"/>
                </w:tcPr>
                <w:p w14:paraId="7E4E069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4856</w:t>
                  </w:r>
                </w:p>
              </w:tc>
            </w:tr>
            <w:tr w14:paraId="689884A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0C7BD2A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04B6B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3E2EC4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40E91BB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336</w:t>
                  </w:r>
                </w:p>
              </w:tc>
              <w:tc>
                <w:tcPr>
                  <w:tcW w:w="1022" w:type="pct"/>
                  <w:tcBorders>
                    <w:tl2br w:val="nil"/>
                    <w:tr2bl w:val="nil"/>
                  </w:tcBorders>
                  <w:shd w:val="clear" w:color="auto" w:fill="auto"/>
                  <w:vAlign w:val="center"/>
                </w:tcPr>
                <w:p w14:paraId="256983A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4779</w:t>
                  </w:r>
                </w:p>
              </w:tc>
            </w:tr>
            <w:tr w14:paraId="20F9B81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A0921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FFA16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41D3E6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123694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327</w:t>
                  </w:r>
                </w:p>
              </w:tc>
              <w:tc>
                <w:tcPr>
                  <w:tcW w:w="1022" w:type="pct"/>
                  <w:tcBorders>
                    <w:tl2br w:val="nil"/>
                    <w:tr2bl w:val="nil"/>
                  </w:tcBorders>
                  <w:shd w:val="clear" w:color="auto" w:fill="auto"/>
                  <w:vAlign w:val="center"/>
                </w:tcPr>
                <w:p w14:paraId="34A293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4625</w:t>
                  </w:r>
                </w:p>
              </w:tc>
            </w:tr>
            <w:tr w14:paraId="2C08AC1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6B634A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11C451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03B581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46C82B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299</w:t>
                  </w:r>
                </w:p>
              </w:tc>
              <w:tc>
                <w:tcPr>
                  <w:tcW w:w="1022" w:type="pct"/>
                  <w:tcBorders>
                    <w:tl2br w:val="nil"/>
                    <w:tr2bl w:val="nil"/>
                  </w:tcBorders>
                  <w:shd w:val="clear" w:color="auto" w:fill="auto"/>
                  <w:vAlign w:val="center"/>
                </w:tcPr>
                <w:p w14:paraId="22EE22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4827</w:t>
                  </w:r>
                </w:p>
              </w:tc>
            </w:tr>
            <w:tr w14:paraId="2695BF4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1D3140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074101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1274110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4FD4B5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278</w:t>
                  </w:r>
                </w:p>
              </w:tc>
              <w:tc>
                <w:tcPr>
                  <w:tcW w:w="1022" w:type="pct"/>
                  <w:tcBorders>
                    <w:tl2br w:val="nil"/>
                    <w:tr2bl w:val="nil"/>
                  </w:tcBorders>
                  <w:shd w:val="clear" w:color="auto" w:fill="auto"/>
                  <w:vAlign w:val="center"/>
                </w:tcPr>
                <w:p w14:paraId="0CCFDB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4874</w:t>
                  </w:r>
                </w:p>
              </w:tc>
            </w:tr>
            <w:tr w14:paraId="0F7C824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2352E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6C4E1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36EC39F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60D651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296</w:t>
                  </w:r>
                </w:p>
              </w:tc>
              <w:tc>
                <w:tcPr>
                  <w:tcW w:w="1022" w:type="pct"/>
                  <w:tcBorders>
                    <w:tl2br w:val="nil"/>
                    <w:tr2bl w:val="nil"/>
                  </w:tcBorders>
                  <w:shd w:val="clear" w:color="auto" w:fill="auto"/>
                  <w:vAlign w:val="center"/>
                </w:tcPr>
                <w:p w14:paraId="190CDE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4866</w:t>
                  </w:r>
                </w:p>
              </w:tc>
            </w:tr>
            <w:tr w14:paraId="1799E6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28CB07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1997C1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1" w:type="pct"/>
                  <w:tcBorders>
                    <w:tl2br w:val="nil"/>
                    <w:tr2bl w:val="nil"/>
                  </w:tcBorders>
                  <w:shd w:val="clear" w:color="auto" w:fill="auto"/>
                  <w:vAlign w:val="center"/>
                </w:tcPr>
                <w:p w14:paraId="0691F2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76F631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21.5</w:t>
                  </w:r>
                </w:p>
              </w:tc>
              <w:tc>
                <w:tcPr>
                  <w:tcW w:w="1022" w:type="pct"/>
                  <w:tcBorders>
                    <w:tl2br w:val="nil"/>
                    <w:tr2bl w:val="nil"/>
                  </w:tcBorders>
                  <w:shd w:val="clear" w:color="auto" w:fill="auto"/>
                  <w:vAlign w:val="center"/>
                </w:tcPr>
                <w:p w14:paraId="12EC1F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4827</w:t>
                  </w:r>
                </w:p>
              </w:tc>
            </w:tr>
            <w:tr w14:paraId="6C6C2ED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50C38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2E0AB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77A716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0EDAE3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22.3</w:t>
                  </w:r>
                </w:p>
              </w:tc>
              <w:tc>
                <w:tcPr>
                  <w:tcW w:w="1022" w:type="pct"/>
                  <w:tcBorders>
                    <w:tl2br w:val="nil"/>
                    <w:tr2bl w:val="nil"/>
                  </w:tcBorders>
                  <w:shd w:val="clear" w:color="auto" w:fill="auto"/>
                  <w:vAlign w:val="center"/>
                </w:tcPr>
                <w:p w14:paraId="2B20E3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4855</w:t>
                  </w:r>
                </w:p>
              </w:tc>
            </w:tr>
            <w:tr w14:paraId="278E2AF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2E44EE9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7A6E67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34B38B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72E8A8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21.6</w:t>
                  </w:r>
                </w:p>
              </w:tc>
              <w:tc>
                <w:tcPr>
                  <w:tcW w:w="1022" w:type="pct"/>
                  <w:tcBorders>
                    <w:tl2br w:val="nil"/>
                    <w:tr2bl w:val="nil"/>
                  </w:tcBorders>
                  <w:shd w:val="clear" w:color="auto" w:fill="auto"/>
                  <w:vAlign w:val="center"/>
                </w:tcPr>
                <w:p w14:paraId="39C173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4673</w:t>
                  </w:r>
                </w:p>
              </w:tc>
            </w:tr>
            <w:tr w14:paraId="3BB5220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restart"/>
                  <w:tcBorders>
                    <w:tl2br w:val="nil"/>
                    <w:tr2bl w:val="nil"/>
                  </w:tcBorders>
                  <w:shd w:val="clear" w:color="auto" w:fill="auto"/>
                  <w:vAlign w:val="center"/>
                </w:tcPr>
                <w:p w14:paraId="75CACD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10BDF8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3369D52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4F2F9D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22.4</w:t>
                  </w:r>
                </w:p>
              </w:tc>
              <w:tc>
                <w:tcPr>
                  <w:tcW w:w="1022" w:type="pct"/>
                  <w:tcBorders>
                    <w:tl2br w:val="nil"/>
                    <w:tr2bl w:val="nil"/>
                  </w:tcBorders>
                  <w:shd w:val="clear" w:color="auto" w:fill="auto"/>
                  <w:vAlign w:val="center"/>
                </w:tcPr>
                <w:p w14:paraId="55887D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4834</w:t>
                  </w:r>
                </w:p>
              </w:tc>
            </w:tr>
            <w:tr w14:paraId="175229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358A257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69281D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7E5BC7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59E8EF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23.1</w:t>
                  </w:r>
                </w:p>
              </w:tc>
              <w:tc>
                <w:tcPr>
                  <w:tcW w:w="1022" w:type="pct"/>
                  <w:tcBorders>
                    <w:tl2br w:val="nil"/>
                    <w:tr2bl w:val="nil"/>
                  </w:tcBorders>
                  <w:shd w:val="clear" w:color="auto" w:fill="auto"/>
                  <w:vAlign w:val="center"/>
                </w:tcPr>
                <w:p w14:paraId="1EBAF59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4775</w:t>
                  </w:r>
                </w:p>
              </w:tc>
            </w:tr>
            <w:tr w14:paraId="1926387C">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4" w:type="pct"/>
                  <w:vMerge w:val="continue"/>
                  <w:tcBorders>
                    <w:tl2br w:val="nil"/>
                    <w:tr2bl w:val="nil"/>
                  </w:tcBorders>
                  <w:shd w:val="clear" w:color="auto" w:fill="auto"/>
                  <w:vAlign w:val="center"/>
                </w:tcPr>
                <w:p w14:paraId="641AD0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77668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1" w:type="pct"/>
                  <w:tcBorders>
                    <w:tl2br w:val="nil"/>
                    <w:tr2bl w:val="nil"/>
                  </w:tcBorders>
                  <w:shd w:val="clear" w:color="auto" w:fill="auto"/>
                  <w:vAlign w:val="center"/>
                </w:tcPr>
                <w:p w14:paraId="508D96B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40165D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21.8</w:t>
                  </w:r>
                </w:p>
              </w:tc>
              <w:tc>
                <w:tcPr>
                  <w:tcW w:w="1022" w:type="pct"/>
                  <w:tcBorders>
                    <w:tl2br w:val="nil"/>
                    <w:tr2bl w:val="nil"/>
                  </w:tcBorders>
                  <w:shd w:val="clear" w:color="auto" w:fill="auto"/>
                  <w:vAlign w:val="center"/>
                </w:tcPr>
                <w:p w14:paraId="7C3C2E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4835</w:t>
                  </w:r>
                </w:p>
              </w:tc>
            </w:tr>
          </w:tbl>
          <w:p w14:paraId="7061C73E">
            <w:pPr>
              <w:pStyle w:val="13"/>
              <w:spacing w:line="240" w:lineRule="auto"/>
              <w:jc w:val="center"/>
              <w:rPr>
                <w:rFonts w:hint="eastAsia" w:ascii="Times New Roman" w:hAnsi="Times New Roman" w:cs="Times New Roman" w:eastAsiaTheme="minorEastAsia"/>
                <w:b/>
                <w:bCs/>
                <w:sz w:val="21"/>
                <w:szCs w:val="21"/>
                <w:u w:val="none"/>
                <w:lang w:val="en-US" w:eastAsia="zh-CN"/>
              </w:rPr>
            </w:pPr>
          </w:p>
          <w:p w14:paraId="41B4D8B5">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有组织废气检测结果一览表（3）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0"/>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6"/>
              <w:gridCol w:w="1611"/>
              <w:gridCol w:w="1449"/>
              <w:gridCol w:w="2153"/>
              <w:gridCol w:w="1777"/>
            </w:tblGrid>
            <w:tr w14:paraId="76C3EF7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3914501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4AAD92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6" w:type="pct"/>
                  <w:gridSpan w:val="2"/>
                  <w:tcBorders>
                    <w:tl2br w:val="nil"/>
                    <w:tr2bl w:val="nil"/>
                  </w:tcBorders>
                  <w:shd w:val="clear" w:color="auto" w:fill="auto"/>
                  <w:vAlign w:val="center"/>
                </w:tcPr>
                <w:p w14:paraId="190004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6F71B380">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trPr>
              <w:tc>
                <w:tcPr>
                  <w:tcW w:w="985" w:type="pct"/>
                  <w:vMerge w:val="continue"/>
                  <w:tcBorders>
                    <w:tl2br w:val="nil"/>
                    <w:tr2bl w:val="nil"/>
                  </w:tcBorders>
                  <w:shd w:val="clear" w:color="auto" w:fill="auto"/>
                  <w:vAlign w:val="center"/>
                </w:tcPr>
                <w:p w14:paraId="07DFA1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21C5B0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6" w:type="pct"/>
                  <w:tcBorders>
                    <w:tl2br w:val="nil"/>
                    <w:tr2bl w:val="nil"/>
                  </w:tcBorders>
                  <w:shd w:val="clear" w:color="auto" w:fill="auto"/>
                  <w:vAlign w:val="center"/>
                </w:tcPr>
                <w:p w14:paraId="61AE6BA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硫酸雾（mg/m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0" w:type="pct"/>
                  <w:tcBorders>
                    <w:tl2br w:val="nil"/>
                    <w:tr2bl w:val="nil"/>
                  </w:tcBorders>
                  <w:shd w:val="clear" w:color="auto" w:fill="auto"/>
                  <w:vAlign w:val="center"/>
                </w:tcPr>
                <w:p w14:paraId="0B3CD8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54EA4B3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0F5A7B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5B527C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2" w:type="pct"/>
                  <w:tcBorders>
                    <w:tl2br w:val="nil"/>
                    <w:tr2bl w:val="nil"/>
                  </w:tcBorders>
                  <w:shd w:val="clear" w:color="auto" w:fill="auto"/>
                  <w:vAlign w:val="center"/>
                </w:tcPr>
                <w:p w14:paraId="6212D0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31FB64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795D89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4816</w:t>
                  </w:r>
                </w:p>
              </w:tc>
            </w:tr>
            <w:tr w14:paraId="78AC7AE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005C2C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4C2A8D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066CE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0A91268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397E12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4785</w:t>
                  </w:r>
                </w:p>
              </w:tc>
            </w:tr>
            <w:tr w14:paraId="527CFEE3">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55EE0C5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9197C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87A1E1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591EE2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640662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4818</w:t>
                  </w:r>
                </w:p>
              </w:tc>
            </w:tr>
            <w:tr w14:paraId="3F080C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168A45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228908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46855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43DA84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523E14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4755</w:t>
                  </w:r>
                </w:p>
              </w:tc>
            </w:tr>
            <w:tr w14:paraId="14A8387D">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53D84F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9DA218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63F4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1AE91DE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3640E2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4637</w:t>
                  </w:r>
                </w:p>
              </w:tc>
            </w:tr>
            <w:tr w14:paraId="3B1644C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1800102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1F7D69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69F235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56B7BB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4DBA12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4783</w:t>
                  </w:r>
                </w:p>
              </w:tc>
            </w:tr>
            <w:tr w14:paraId="10990C6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45F7BBA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05075C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2" w:type="pct"/>
                  <w:tcBorders>
                    <w:tl2br w:val="nil"/>
                    <w:tr2bl w:val="nil"/>
                  </w:tcBorders>
                  <w:shd w:val="clear" w:color="auto" w:fill="auto"/>
                  <w:vAlign w:val="center"/>
                </w:tcPr>
                <w:p w14:paraId="4B1BE7D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05563F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564627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4885</w:t>
                  </w:r>
                </w:p>
              </w:tc>
            </w:tr>
            <w:tr w14:paraId="124A952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4A248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2176D1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797EE3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4596CC9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30F201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4767</w:t>
                  </w:r>
                </w:p>
              </w:tc>
            </w:tr>
            <w:tr w14:paraId="7014C92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5C921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276DA4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E797B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413335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4A0010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4735</w:t>
                  </w:r>
                </w:p>
              </w:tc>
            </w:tr>
            <w:tr w14:paraId="259148B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6A4D40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23E996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7DF7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3809A3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41564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4853</w:t>
                  </w:r>
                </w:p>
              </w:tc>
            </w:tr>
            <w:tr w14:paraId="052D698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351FB7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96907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F384E6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7C2A06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4808106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4627</w:t>
                  </w:r>
                </w:p>
              </w:tc>
            </w:tr>
            <w:tr w14:paraId="5BFF843A">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5C110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CA593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E89D2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733998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61A603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4745</w:t>
                  </w:r>
                </w:p>
              </w:tc>
            </w:tr>
          </w:tbl>
          <w:p w14:paraId="7181E0A5">
            <w:pPr>
              <w:pStyle w:val="13"/>
              <w:spacing w:line="240" w:lineRule="auto"/>
              <w:jc w:val="center"/>
              <w:rPr>
                <w:rFonts w:hint="eastAsia" w:ascii="Times New Roman" w:hAnsi="Times New Roman" w:cs="Times New Roman" w:eastAsiaTheme="minorEastAsia"/>
                <w:b/>
                <w:bCs/>
                <w:sz w:val="21"/>
                <w:szCs w:val="21"/>
                <w:u w:val="none"/>
                <w:lang w:val="en-US" w:eastAsia="zh-CN"/>
              </w:rPr>
            </w:pPr>
          </w:p>
          <w:p w14:paraId="68B9884F">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表7-1  有组织废气检测结果一览表（4）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0"/>
              <w:tblW w:w="4999" w:type="pct"/>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716"/>
              <w:gridCol w:w="1611"/>
              <w:gridCol w:w="1449"/>
              <w:gridCol w:w="2153"/>
              <w:gridCol w:w="1777"/>
            </w:tblGrid>
            <w:tr w14:paraId="6D49554B">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2A01B2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757" w:type="pct"/>
                  <w:gridSpan w:val="2"/>
                  <w:vMerge w:val="restart"/>
                  <w:tcBorders>
                    <w:tl2br w:val="nil"/>
                    <w:tr2bl w:val="nil"/>
                  </w:tcBorders>
                  <w:shd w:val="clear" w:color="auto" w:fill="auto"/>
                  <w:vAlign w:val="center"/>
                </w:tcPr>
                <w:p w14:paraId="218B30D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256" w:type="pct"/>
                  <w:gridSpan w:val="2"/>
                  <w:tcBorders>
                    <w:tl2br w:val="nil"/>
                    <w:tr2bl w:val="nil"/>
                  </w:tcBorders>
                  <w:shd w:val="clear" w:color="auto" w:fill="auto"/>
                  <w:vAlign w:val="center"/>
                </w:tcPr>
                <w:p w14:paraId="7B7F5A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监测项目</w:t>
                  </w:r>
                </w:p>
              </w:tc>
            </w:tr>
            <w:tr w14:paraId="77C24264">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78" w:hRule="atLeast"/>
              </w:trPr>
              <w:tc>
                <w:tcPr>
                  <w:tcW w:w="985" w:type="pct"/>
                  <w:vMerge w:val="continue"/>
                  <w:tcBorders>
                    <w:tl2br w:val="nil"/>
                    <w:tr2bl w:val="nil"/>
                  </w:tcBorders>
                  <w:shd w:val="clear" w:color="auto" w:fill="auto"/>
                  <w:vAlign w:val="center"/>
                </w:tcPr>
                <w:p w14:paraId="71B0CF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757" w:type="pct"/>
                  <w:gridSpan w:val="2"/>
                  <w:vMerge w:val="continue"/>
                  <w:tcBorders>
                    <w:tl2br w:val="nil"/>
                    <w:tr2bl w:val="nil"/>
                  </w:tcBorders>
                  <w:shd w:val="clear" w:color="auto" w:fill="auto"/>
                  <w:vAlign w:val="center"/>
                </w:tcPr>
                <w:p w14:paraId="68B56C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36" w:type="pct"/>
                  <w:tcBorders>
                    <w:tl2br w:val="nil"/>
                    <w:tr2bl w:val="nil"/>
                  </w:tcBorders>
                  <w:shd w:val="clear" w:color="auto" w:fill="auto"/>
                  <w:vAlign w:val="center"/>
                </w:tcPr>
                <w:p w14:paraId="7A1383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铅（mg/m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w:t>
                  </w:r>
                </w:p>
              </w:tc>
              <w:tc>
                <w:tcPr>
                  <w:tcW w:w="1020" w:type="pct"/>
                  <w:tcBorders>
                    <w:tl2br w:val="nil"/>
                    <w:tr2bl w:val="nil"/>
                  </w:tcBorders>
                  <w:shd w:val="clear" w:color="auto" w:fill="auto"/>
                  <w:vAlign w:val="center"/>
                </w:tcPr>
                <w:p w14:paraId="67F96D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废气量（m</w:t>
                  </w:r>
                  <w:r>
                    <w:rPr>
                      <w:rFonts w:hint="eastAsia" w:ascii="Times New Roman" w:hAnsi="Times New Roman" w:eastAsia="宋体" w:cs="Times New Roman"/>
                      <w:sz w:val="21"/>
                      <w:szCs w:val="21"/>
                      <w:vertAlign w:val="superscript"/>
                      <w:lang w:val="en-US" w:eastAsia="zh-CN"/>
                    </w:rPr>
                    <w:t>3</w:t>
                  </w:r>
                  <w:r>
                    <w:rPr>
                      <w:rFonts w:hint="eastAsia" w:ascii="Times New Roman" w:hAnsi="Times New Roman" w:eastAsia="宋体" w:cs="Times New Roman"/>
                      <w:sz w:val="21"/>
                      <w:szCs w:val="21"/>
                      <w:lang w:val="en-US" w:eastAsia="zh-CN"/>
                    </w:rPr>
                    <w:t>/h）</w:t>
                  </w:r>
                </w:p>
              </w:tc>
            </w:tr>
            <w:tr w14:paraId="78AE464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258B0E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4BD11AC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1#处理措施前</w:t>
                  </w:r>
                </w:p>
              </w:tc>
              <w:tc>
                <w:tcPr>
                  <w:tcW w:w="832" w:type="pct"/>
                  <w:tcBorders>
                    <w:tl2br w:val="nil"/>
                    <w:tr2bl w:val="nil"/>
                  </w:tcBorders>
                  <w:shd w:val="clear" w:color="auto" w:fill="auto"/>
                  <w:vAlign w:val="center"/>
                </w:tcPr>
                <w:p w14:paraId="277AFB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0EDCA88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54FCBE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4897</w:t>
                  </w:r>
                </w:p>
              </w:tc>
            </w:tr>
            <w:tr w14:paraId="69515D96">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607A0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72CBC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02B073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0453F6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22E3AE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4767</w:t>
                  </w:r>
                </w:p>
              </w:tc>
            </w:tr>
            <w:tr w14:paraId="34AC6EDE">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D88DD2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4B72F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27B82C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0C1EFC1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571843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4638</w:t>
                  </w:r>
                </w:p>
              </w:tc>
            </w:tr>
            <w:tr w14:paraId="43B821A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42B533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6E81217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254F43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267D8A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667320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4558</w:t>
                  </w:r>
                </w:p>
              </w:tc>
            </w:tr>
            <w:tr w14:paraId="333BD181">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455047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6711D5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1F54EE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148AB3E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676822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4831</w:t>
                  </w:r>
                </w:p>
              </w:tc>
            </w:tr>
            <w:tr w14:paraId="111AC8B2">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E57144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4C7A28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0E4A53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21F041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62EA7C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4767</w:t>
                  </w:r>
                </w:p>
              </w:tc>
            </w:tr>
            <w:tr w14:paraId="3E5019F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5CCD2E0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5" w:type="pct"/>
                  <w:vMerge w:val="restart"/>
                  <w:tcBorders>
                    <w:tl2br w:val="nil"/>
                    <w:tr2bl w:val="nil"/>
                  </w:tcBorders>
                  <w:shd w:val="clear" w:color="auto" w:fill="auto"/>
                  <w:vAlign w:val="center"/>
                </w:tcPr>
                <w:p w14:paraId="1A39D9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2#处理措施后</w:t>
                  </w:r>
                </w:p>
              </w:tc>
              <w:tc>
                <w:tcPr>
                  <w:tcW w:w="832" w:type="pct"/>
                  <w:tcBorders>
                    <w:tl2br w:val="nil"/>
                    <w:tr2bl w:val="nil"/>
                  </w:tcBorders>
                  <w:shd w:val="clear" w:color="auto" w:fill="auto"/>
                  <w:vAlign w:val="center"/>
                </w:tcPr>
                <w:p w14:paraId="0E5457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1D8548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5F1CE4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4753</w:t>
                  </w:r>
                </w:p>
              </w:tc>
            </w:tr>
            <w:tr w14:paraId="2546E397">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4A0C8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901A0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FC451A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204C05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71328D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4875</w:t>
                  </w:r>
                </w:p>
              </w:tc>
            </w:tr>
            <w:tr w14:paraId="3FFFDBA9">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8FFD5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4E3AD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F29A3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515EFF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28F2B2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4837</w:t>
                  </w:r>
                </w:p>
              </w:tc>
            </w:tr>
            <w:tr w14:paraId="67CFEDDF">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restart"/>
                  <w:tcBorders>
                    <w:tl2br w:val="nil"/>
                    <w:tr2bl w:val="nil"/>
                  </w:tcBorders>
                  <w:shd w:val="clear" w:color="auto" w:fill="auto"/>
                  <w:vAlign w:val="center"/>
                </w:tcPr>
                <w:p w14:paraId="0FE3627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2025.11.8</w:t>
                  </w:r>
                </w:p>
              </w:tc>
              <w:tc>
                <w:tcPr>
                  <w:tcW w:w="925" w:type="pct"/>
                  <w:vMerge w:val="continue"/>
                  <w:tcBorders>
                    <w:tl2br w:val="nil"/>
                    <w:tr2bl w:val="nil"/>
                  </w:tcBorders>
                  <w:shd w:val="clear" w:color="auto" w:fill="auto"/>
                  <w:vAlign w:val="center"/>
                </w:tcPr>
                <w:p w14:paraId="5D8E69C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03852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236" w:type="pct"/>
                  <w:tcBorders>
                    <w:tl2br w:val="nil"/>
                    <w:tr2bl w:val="nil"/>
                  </w:tcBorders>
                  <w:shd w:val="clear" w:color="auto" w:fill="auto"/>
                  <w:vAlign w:val="center"/>
                </w:tcPr>
                <w:p w14:paraId="4F43DE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0FD8EE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4891</w:t>
                  </w:r>
                </w:p>
              </w:tc>
            </w:tr>
            <w:tr w14:paraId="6A09F695">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2BB42B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36419C5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3690ACC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236" w:type="pct"/>
                  <w:tcBorders>
                    <w:tl2br w:val="nil"/>
                    <w:tr2bl w:val="nil"/>
                  </w:tcBorders>
                  <w:shd w:val="clear" w:color="auto" w:fill="auto"/>
                  <w:vAlign w:val="center"/>
                </w:tcPr>
                <w:p w14:paraId="411D08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46BC7C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4635</w:t>
                  </w:r>
                </w:p>
              </w:tc>
            </w:tr>
            <w:tr w14:paraId="09F13CE8">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7" w:hRule="atLeast"/>
              </w:trPr>
              <w:tc>
                <w:tcPr>
                  <w:tcW w:w="985" w:type="pct"/>
                  <w:vMerge w:val="continue"/>
                  <w:tcBorders>
                    <w:tl2br w:val="nil"/>
                    <w:tr2bl w:val="nil"/>
                  </w:tcBorders>
                  <w:shd w:val="clear" w:color="auto" w:fill="auto"/>
                  <w:vAlign w:val="center"/>
                </w:tcPr>
                <w:p w14:paraId="71B93E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5" w:type="pct"/>
                  <w:vMerge w:val="continue"/>
                  <w:tcBorders>
                    <w:tl2br w:val="nil"/>
                    <w:tr2bl w:val="nil"/>
                  </w:tcBorders>
                  <w:shd w:val="clear" w:color="auto" w:fill="auto"/>
                  <w:vAlign w:val="center"/>
                </w:tcPr>
                <w:p w14:paraId="58BBBF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832" w:type="pct"/>
                  <w:tcBorders>
                    <w:tl2br w:val="nil"/>
                    <w:tr2bl w:val="nil"/>
                  </w:tcBorders>
                  <w:shd w:val="clear" w:color="auto" w:fill="auto"/>
                  <w:vAlign w:val="center"/>
                </w:tcPr>
                <w:p w14:paraId="5D76103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236" w:type="pct"/>
                  <w:tcBorders>
                    <w:tl2br w:val="nil"/>
                    <w:tr2bl w:val="nil"/>
                  </w:tcBorders>
                  <w:shd w:val="clear" w:color="auto" w:fill="auto"/>
                  <w:vAlign w:val="center"/>
                </w:tcPr>
                <w:p w14:paraId="7B1411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ND</w:t>
                  </w:r>
                </w:p>
              </w:tc>
              <w:tc>
                <w:tcPr>
                  <w:tcW w:w="1020" w:type="pct"/>
                  <w:tcBorders>
                    <w:tl2br w:val="nil"/>
                    <w:tr2bl w:val="nil"/>
                  </w:tcBorders>
                  <w:shd w:val="clear" w:color="auto" w:fill="auto"/>
                  <w:vAlign w:val="center"/>
                </w:tcPr>
                <w:p w14:paraId="754907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4874</w:t>
                  </w:r>
                </w:p>
              </w:tc>
            </w:tr>
          </w:tbl>
          <w:p w14:paraId="64ED822B">
            <w:pPr>
              <w:widowControl w:val="0"/>
              <w:adjustRightInd w:val="0"/>
              <w:snapToGrid w:val="0"/>
              <w:spacing w:after="0" w:line="360" w:lineRule="auto"/>
              <w:ind w:firstLine="472" w:firstLineChars="200"/>
              <w:jc w:val="both"/>
              <w:rPr>
                <w:rFonts w:hint="default" w:ascii="Times New Roman" w:hAnsi="Times New Roman" w:eastAsia="宋体" w:cs="Times New Roman"/>
                <w:color w:val="FF0000"/>
                <w:spacing w:val="-2"/>
                <w:kern w:val="2"/>
                <w:sz w:val="24"/>
                <w:szCs w:val="24"/>
                <w:lang w:val="en-US" w:eastAsia="zh-CN"/>
              </w:rPr>
            </w:pP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由上表可知，有组织废气中非甲烷总烃最大排放浓度为5.</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，排放速率为0.02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颗粒物最大排放浓度为23.</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，排放速率为0.11</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0</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kg/h；硫酸雾、铅及其化合物均未检出，满足《大气污染物综合排放标准》（GB16297-1996）中二级标准</w:t>
            </w:r>
            <w:r>
              <w:rPr>
                <w:rFonts w:hint="default" w:ascii="Times New Roman" w:hAnsi="Times New Roman" w:eastAsia="宋体" w:cs="Times New Roman"/>
                <w:color w:val="000000" w:themeColor="text1"/>
                <w:spacing w:val="-2"/>
                <w:kern w:val="2"/>
                <w:sz w:val="24"/>
                <w:szCs w:val="24"/>
                <w:lang w:val="zh-CN" w:eastAsia="zh-CN"/>
                <w14:textFill>
                  <w14:solidFill>
                    <w14:schemeClr w14:val="tx1"/>
                  </w14:solidFill>
                </w14:textFill>
              </w:rPr>
              <w:t>限值要求</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w:t>
            </w:r>
          </w:p>
          <w:p w14:paraId="33318901">
            <w:pPr>
              <w:widowControl w:val="0"/>
              <w:numPr>
                <w:ilvl w:val="0"/>
                <w:numId w:val="0"/>
              </w:numPr>
              <w:adjustRightInd w:val="0"/>
              <w:snapToGrid w:val="0"/>
              <w:spacing w:after="0" w:line="360" w:lineRule="auto"/>
              <w:ind w:firstLine="472" w:firstLineChars="200"/>
              <w:jc w:val="both"/>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24"/>
                <w:szCs w:val="24"/>
                <w:lang w:val="en-US" w:eastAsia="zh-CN" w:bidi="ar-SA"/>
                <w14:textFill>
                  <w14:solidFill>
                    <w14:schemeClr w14:val="tx1"/>
                  </w14:solidFill>
                </w14:textFill>
              </w:rPr>
              <w:t>（2）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无组织废气</w:t>
            </w:r>
          </w:p>
          <w:p w14:paraId="2C41B19D">
            <w:pPr>
              <w:widowControl w:val="0"/>
              <w:numPr>
                <w:ilvl w:val="0"/>
                <w:numId w:val="0"/>
              </w:numPr>
              <w:adjustRightInd w:val="0"/>
              <w:snapToGrid w:val="0"/>
              <w:spacing w:after="0" w:line="360" w:lineRule="auto"/>
              <w:ind w:firstLine="472" w:firstLineChars="200"/>
              <w:jc w:val="both"/>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项目无组织废气监测结果详见表7-2。</w:t>
            </w:r>
          </w:p>
          <w:p w14:paraId="11CA4F4C">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表7-2  无组织废气检测结果一览表   单位：mg/m</w:t>
            </w:r>
            <w:r>
              <w:rPr>
                <w:rFonts w:hint="eastAsia" w:ascii="Times New Roman" w:hAnsi="Times New Roman" w:cs="Times New Roman" w:eastAsiaTheme="minorEastAsia"/>
                <w:b/>
                <w:bCs/>
                <w:sz w:val="21"/>
                <w:szCs w:val="21"/>
                <w:u w:val="none"/>
                <w:vertAlign w:val="superscript"/>
                <w:lang w:val="en-US" w:eastAsia="zh-CN"/>
              </w:rPr>
              <w:t>3</w:t>
            </w:r>
          </w:p>
          <w:tbl>
            <w:tblPr>
              <w:tblStyle w:val="10"/>
              <w:tblW w:w="4998"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1264"/>
              <w:gridCol w:w="1306"/>
              <w:gridCol w:w="937"/>
              <w:gridCol w:w="1320"/>
              <w:gridCol w:w="1320"/>
              <w:gridCol w:w="1174"/>
              <w:gridCol w:w="1384"/>
            </w:tblGrid>
            <w:tr w14:paraId="49970C2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FFFFFF"/>
                  <w:vAlign w:val="center"/>
                </w:tcPr>
                <w:p w14:paraId="2C5B88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监测时间</w:t>
                  </w:r>
                </w:p>
              </w:tc>
              <w:tc>
                <w:tcPr>
                  <w:tcW w:w="1288" w:type="pct"/>
                  <w:gridSpan w:val="2"/>
                  <w:vMerge w:val="restart"/>
                  <w:tcBorders>
                    <w:tl2br w:val="nil"/>
                    <w:tr2bl w:val="nil"/>
                  </w:tcBorders>
                  <w:shd w:val="clear" w:color="auto" w:fill="FFFFFF"/>
                  <w:vAlign w:val="center"/>
                </w:tcPr>
                <w:p w14:paraId="7244975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监测点位及频次</w:t>
                  </w:r>
                </w:p>
              </w:tc>
              <w:tc>
                <w:tcPr>
                  <w:tcW w:w="2985" w:type="pct"/>
                  <w:gridSpan w:val="4"/>
                  <w:tcBorders>
                    <w:tl2br w:val="nil"/>
                    <w:tr2bl w:val="nil"/>
                  </w:tcBorders>
                  <w:shd w:val="clear" w:color="auto" w:fill="FFFFFF"/>
                  <w:vAlign w:val="center"/>
                </w:tcPr>
                <w:p w14:paraId="06BA39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w:t>
                  </w:r>
                </w:p>
              </w:tc>
            </w:tr>
            <w:tr w14:paraId="014A064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FFFFFF"/>
                  <w:vAlign w:val="center"/>
                </w:tcPr>
                <w:p w14:paraId="0530C7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288" w:type="pct"/>
                  <w:gridSpan w:val="2"/>
                  <w:vMerge w:val="continue"/>
                  <w:tcBorders>
                    <w:tl2br w:val="nil"/>
                    <w:tr2bl w:val="nil"/>
                  </w:tcBorders>
                  <w:shd w:val="clear" w:color="auto" w:fill="FFFFFF"/>
                  <w:vAlign w:val="center"/>
                </w:tcPr>
                <w:p w14:paraId="54CFA9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8" w:type="pct"/>
                  <w:tcBorders>
                    <w:tl2br w:val="nil"/>
                    <w:tr2bl w:val="nil"/>
                  </w:tcBorders>
                  <w:shd w:val="clear" w:color="auto" w:fill="FFFFFF"/>
                  <w:vAlign w:val="center"/>
                </w:tcPr>
                <w:p w14:paraId="6769AF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非甲烷总烃</w:t>
                  </w:r>
                </w:p>
              </w:tc>
              <w:tc>
                <w:tcPr>
                  <w:tcW w:w="758" w:type="pct"/>
                  <w:tcBorders>
                    <w:tl2br w:val="nil"/>
                    <w:tr2bl w:val="nil"/>
                  </w:tcBorders>
                  <w:shd w:val="clear" w:color="auto" w:fill="FFFFFF"/>
                  <w:vAlign w:val="center"/>
                </w:tcPr>
                <w:p w14:paraId="0FC079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颗粒物</w:t>
                  </w:r>
                </w:p>
              </w:tc>
              <w:tc>
                <w:tcPr>
                  <w:tcW w:w="674" w:type="pct"/>
                  <w:tcBorders>
                    <w:tl2br w:val="nil"/>
                    <w:tr2bl w:val="nil"/>
                  </w:tcBorders>
                  <w:shd w:val="clear" w:color="auto" w:fill="FFFFFF"/>
                  <w:vAlign w:val="center"/>
                </w:tcPr>
                <w:p w14:paraId="521B6DA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硫酸雾</w:t>
                  </w:r>
                </w:p>
              </w:tc>
              <w:tc>
                <w:tcPr>
                  <w:tcW w:w="794" w:type="pct"/>
                  <w:tcBorders>
                    <w:tl2br w:val="nil"/>
                    <w:tr2bl w:val="nil"/>
                  </w:tcBorders>
                  <w:shd w:val="clear" w:color="auto" w:fill="FFFFFF"/>
                  <w:vAlign w:val="center"/>
                </w:tcPr>
                <w:p w14:paraId="42E1D42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铅</w:t>
                  </w:r>
                </w:p>
              </w:tc>
            </w:tr>
            <w:tr w14:paraId="288723D0">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auto"/>
                  <w:vAlign w:val="center"/>
                </w:tcPr>
                <w:p w14:paraId="04FF0D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750" w:type="pct"/>
                  <w:vMerge w:val="restart"/>
                  <w:tcBorders>
                    <w:tl2br w:val="nil"/>
                    <w:tr2bl w:val="nil"/>
                  </w:tcBorders>
                  <w:shd w:val="clear" w:color="auto" w:fill="auto"/>
                  <w:vAlign w:val="center"/>
                </w:tcPr>
                <w:p w14:paraId="45DF38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1#厂界上风向10m处</w:t>
                  </w:r>
                </w:p>
              </w:tc>
              <w:tc>
                <w:tcPr>
                  <w:tcW w:w="538" w:type="pct"/>
                  <w:tcBorders>
                    <w:tl2br w:val="nil"/>
                    <w:tr2bl w:val="nil"/>
                  </w:tcBorders>
                  <w:shd w:val="clear" w:color="auto" w:fill="auto"/>
                  <w:vAlign w:val="center"/>
                </w:tcPr>
                <w:p w14:paraId="7BBA67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0ED602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w:t>
                  </w:r>
                </w:p>
              </w:tc>
              <w:tc>
                <w:tcPr>
                  <w:tcW w:w="758" w:type="pct"/>
                  <w:tcBorders>
                    <w:tl2br w:val="nil"/>
                    <w:tr2bl w:val="nil"/>
                  </w:tcBorders>
                  <w:shd w:val="clear" w:color="auto" w:fill="auto"/>
                  <w:vAlign w:val="center"/>
                </w:tcPr>
                <w:p w14:paraId="58A85F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0.122</w:t>
                  </w:r>
                </w:p>
              </w:tc>
              <w:tc>
                <w:tcPr>
                  <w:tcW w:w="674" w:type="pct"/>
                  <w:tcBorders>
                    <w:tl2br w:val="nil"/>
                    <w:tr2bl w:val="nil"/>
                  </w:tcBorders>
                  <w:shd w:val="clear" w:color="auto" w:fill="auto"/>
                  <w:vAlign w:val="center"/>
                </w:tcPr>
                <w:p w14:paraId="0D91FB1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252E5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2F7FD7D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40D639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24EAA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CDE7C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64F7AB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0.11</w:t>
                  </w:r>
                </w:p>
              </w:tc>
              <w:tc>
                <w:tcPr>
                  <w:tcW w:w="758" w:type="pct"/>
                  <w:tcBorders>
                    <w:tl2br w:val="nil"/>
                    <w:tr2bl w:val="nil"/>
                  </w:tcBorders>
                  <w:shd w:val="clear" w:color="auto" w:fill="auto"/>
                  <w:vAlign w:val="center"/>
                </w:tcPr>
                <w:p w14:paraId="602D8A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0.135</w:t>
                  </w:r>
                </w:p>
              </w:tc>
              <w:tc>
                <w:tcPr>
                  <w:tcW w:w="674" w:type="pct"/>
                  <w:tcBorders>
                    <w:tl2br w:val="nil"/>
                    <w:tr2bl w:val="nil"/>
                  </w:tcBorders>
                  <w:shd w:val="clear" w:color="auto" w:fill="auto"/>
                  <w:vAlign w:val="center"/>
                </w:tcPr>
                <w:p w14:paraId="2350FA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25871E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662C41C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7DC921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7BD40E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6E65B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4E36BE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0.11</w:t>
                  </w:r>
                </w:p>
              </w:tc>
              <w:tc>
                <w:tcPr>
                  <w:tcW w:w="758" w:type="pct"/>
                  <w:tcBorders>
                    <w:tl2br w:val="nil"/>
                    <w:tr2bl w:val="nil"/>
                  </w:tcBorders>
                  <w:shd w:val="clear" w:color="auto" w:fill="auto"/>
                  <w:vAlign w:val="center"/>
                </w:tcPr>
                <w:p w14:paraId="6952D4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0.125</w:t>
                  </w:r>
                </w:p>
              </w:tc>
              <w:tc>
                <w:tcPr>
                  <w:tcW w:w="674" w:type="pct"/>
                  <w:tcBorders>
                    <w:tl2br w:val="nil"/>
                    <w:tr2bl w:val="nil"/>
                  </w:tcBorders>
                  <w:shd w:val="clear" w:color="auto" w:fill="auto"/>
                  <w:vAlign w:val="center"/>
                </w:tcPr>
                <w:p w14:paraId="0D74EC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98686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133715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5B29E3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2C307F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2#厂界下风向10m处</w:t>
                  </w:r>
                </w:p>
              </w:tc>
              <w:tc>
                <w:tcPr>
                  <w:tcW w:w="538" w:type="pct"/>
                  <w:tcBorders>
                    <w:tl2br w:val="nil"/>
                    <w:tr2bl w:val="nil"/>
                  </w:tcBorders>
                  <w:shd w:val="clear" w:color="auto" w:fill="auto"/>
                  <w:vAlign w:val="center"/>
                </w:tcPr>
                <w:p w14:paraId="3AC416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1320" w:type="dxa"/>
                  <w:tcBorders>
                    <w:tl2br w:val="nil"/>
                    <w:tr2bl w:val="nil"/>
                  </w:tcBorders>
                  <w:shd w:val="clear" w:color="auto" w:fill="auto"/>
                  <w:vAlign w:val="center"/>
                </w:tcPr>
                <w:p w14:paraId="0751C9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c>
                <w:tcPr>
                  <w:tcW w:w="1320" w:type="dxa"/>
                  <w:tcBorders>
                    <w:tl2br w:val="nil"/>
                    <w:tr2bl w:val="nil"/>
                  </w:tcBorders>
                  <w:shd w:val="clear" w:color="auto" w:fill="auto"/>
                  <w:vAlign w:val="center"/>
                </w:tcPr>
                <w:p w14:paraId="5078C3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0.221</w:t>
                  </w:r>
                </w:p>
              </w:tc>
              <w:tc>
                <w:tcPr>
                  <w:tcW w:w="674" w:type="pct"/>
                  <w:tcBorders>
                    <w:tl2br w:val="nil"/>
                    <w:tr2bl w:val="nil"/>
                  </w:tcBorders>
                  <w:shd w:val="clear" w:color="auto" w:fill="auto"/>
                  <w:vAlign w:val="center"/>
                </w:tcPr>
                <w:p w14:paraId="57055E1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61DA7F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3DAF839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630AE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DE99D3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6AC48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1320" w:type="dxa"/>
                  <w:tcBorders>
                    <w:tl2br w:val="nil"/>
                    <w:tr2bl w:val="nil"/>
                  </w:tcBorders>
                  <w:shd w:val="clear" w:color="auto" w:fill="auto"/>
                  <w:vAlign w:val="center"/>
                </w:tcPr>
                <w:p w14:paraId="653D53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1320" w:type="dxa"/>
                  <w:tcBorders>
                    <w:tl2br w:val="nil"/>
                    <w:tr2bl w:val="nil"/>
                  </w:tcBorders>
                  <w:shd w:val="clear" w:color="auto" w:fill="auto"/>
                  <w:vAlign w:val="center"/>
                </w:tcPr>
                <w:p w14:paraId="49DF6A7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0.215</w:t>
                  </w:r>
                </w:p>
              </w:tc>
              <w:tc>
                <w:tcPr>
                  <w:tcW w:w="674" w:type="pct"/>
                  <w:tcBorders>
                    <w:tl2br w:val="nil"/>
                    <w:tr2bl w:val="nil"/>
                  </w:tcBorders>
                  <w:shd w:val="clear" w:color="auto" w:fill="auto"/>
                  <w:vAlign w:val="center"/>
                </w:tcPr>
                <w:p w14:paraId="3129677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B1A61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F32967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7AC5B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531FE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89B010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1320" w:type="dxa"/>
                  <w:tcBorders>
                    <w:tl2br w:val="nil"/>
                    <w:tr2bl w:val="nil"/>
                  </w:tcBorders>
                  <w:shd w:val="clear" w:color="auto" w:fill="auto"/>
                  <w:vAlign w:val="center"/>
                </w:tcPr>
                <w:p w14:paraId="0C7B4E4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1320" w:type="dxa"/>
                  <w:tcBorders>
                    <w:tl2br w:val="nil"/>
                    <w:tr2bl w:val="nil"/>
                  </w:tcBorders>
                  <w:shd w:val="clear" w:color="auto" w:fill="auto"/>
                  <w:vAlign w:val="center"/>
                </w:tcPr>
                <w:p w14:paraId="7701793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0.223</w:t>
                  </w:r>
                </w:p>
              </w:tc>
              <w:tc>
                <w:tcPr>
                  <w:tcW w:w="674" w:type="pct"/>
                  <w:tcBorders>
                    <w:tl2br w:val="nil"/>
                    <w:tr2bl w:val="nil"/>
                  </w:tcBorders>
                  <w:shd w:val="clear" w:color="auto" w:fill="auto"/>
                  <w:vAlign w:val="center"/>
                </w:tcPr>
                <w:p w14:paraId="788C23D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153C37E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61F6C54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52C447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3AFF727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3#厂界下风向10m处</w:t>
                  </w:r>
                </w:p>
              </w:tc>
              <w:tc>
                <w:tcPr>
                  <w:tcW w:w="538" w:type="pct"/>
                  <w:tcBorders>
                    <w:tl2br w:val="nil"/>
                    <w:tr2bl w:val="nil"/>
                  </w:tcBorders>
                  <w:shd w:val="clear" w:color="auto" w:fill="auto"/>
                  <w:vAlign w:val="center"/>
                </w:tcPr>
                <w:p w14:paraId="6E7678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22EE2F0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0.20</w:t>
                  </w:r>
                </w:p>
              </w:tc>
              <w:tc>
                <w:tcPr>
                  <w:tcW w:w="758" w:type="pct"/>
                  <w:tcBorders>
                    <w:tl2br w:val="nil"/>
                    <w:tr2bl w:val="nil"/>
                  </w:tcBorders>
                  <w:shd w:val="clear" w:color="auto" w:fill="auto"/>
                  <w:vAlign w:val="center"/>
                </w:tcPr>
                <w:p w14:paraId="611CAB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0.217</w:t>
                  </w:r>
                </w:p>
              </w:tc>
              <w:tc>
                <w:tcPr>
                  <w:tcW w:w="674" w:type="pct"/>
                  <w:tcBorders>
                    <w:tl2br w:val="nil"/>
                    <w:tr2bl w:val="nil"/>
                  </w:tcBorders>
                  <w:shd w:val="clear" w:color="auto" w:fill="auto"/>
                  <w:vAlign w:val="center"/>
                </w:tcPr>
                <w:p w14:paraId="7618797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04755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96D1B0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E8F977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CF0F3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A01474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2D3705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0.21</w:t>
                  </w:r>
                </w:p>
              </w:tc>
              <w:tc>
                <w:tcPr>
                  <w:tcW w:w="758" w:type="pct"/>
                  <w:tcBorders>
                    <w:tl2br w:val="nil"/>
                    <w:tr2bl w:val="nil"/>
                  </w:tcBorders>
                  <w:shd w:val="clear" w:color="auto" w:fill="auto"/>
                  <w:vAlign w:val="center"/>
                </w:tcPr>
                <w:p w14:paraId="5C7E9AE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0.215</w:t>
                  </w:r>
                </w:p>
              </w:tc>
              <w:tc>
                <w:tcPr>
                  <w:tcW w:w="674" w:type="pct"/>
                  <w:tcBorders>
                    <w:tl2br w:val="nil"/>
                    <w:tr2bl w:val="nil"/>
                  </w:tcBorders>
                  <w:shd w:val="clear" w:color="auto" w:fill="auto"/>
                  <w:vAlign w:val="center"/>
                </w:tcPr>
                <w:p w14:paraId="7FB2FC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743FE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87CDC6F">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69E5E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25FD3C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CE20A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3E795A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0.22</w:t>
                  </w:r>
                </w:p>
              </w:tc>
              <w:tc>
                <w:tcPr>
                  <w:tcW w:w="758" w:type="pct"/>
                  <w:tcBorders>
                    <w:tl2br w:val="nil"/>
                    <w:tr2bl w:val="nil"/>
                  </w:tcBorders>
                  <w:shd w:val="clear" w:color="auto" w:fill="auto"/>
                  <w:vAlign w:val="center"/>
                </w:tcPr>
                <w:p w14:paraId="68D19C5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0.232</w:t>
                  </w:r>
                </w:p>
              </w:tc>
              <w:tc>
                <w:tcPr>
                  <w:tcW w:w="674" w:type="pct"/>
                  <w:tcBorders>
                    <w:tl2br w:val="nil"/>
                    <w:tr2bl w:val="nil"/>
                  </w:tcBorders>
                  <w:shd w:val="clear" w:color="auto" w:fill="auto"/>
                  <w:vAlign w:val="center"/>
                </w:tcPr>
                <w:p w14:paraId="03EE059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F68F2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BB0BB1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09786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3A1AB6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4#厂界下风向10m处</w:t>
                  </w:r>
                </w:p>
              </w:tc>
              <w:tc>
                <w:tcPr>
                  <w:tcW w:w="538" w:type="pct"/>
                  <w:tcBorders>
                    <w:tl2br w:val="nil"/>
                    <w:tr2bl w:val="nil"/>
                  </w:tcBorders>
                  <w:shd w:val="clear" w:color="auto" w:fill="auto"/>
                  <w:vAlign w:val="center"/>
                </w:tcPr>
                <w:p w14:paraId="1FE0A7A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59F5FBA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16438A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0.232</w:t>
                  </w:r>
                </w:p>
              </w:tc>
              <w:tc>
                <w:tcPr>
                  <w:tcW w:w="674" w:type="pct"/>
                  <w:tcBorders>
                    <w:tl2br w:val="nil"/>
                    <w:tr2bl w:val="nil"/>
                  </w:tcBorders>
                  <w:shd w:val="clear" w:color="auto" w:fill="auto"/>
                  <w:vAlign w:val="center"/>
                </w:tcPr>
                <w:p w14:paraId="4C381E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153B0B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E980B2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3A3A8C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78F88A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A3FD1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2F27C9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7949AD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0.215</w:t>
                  </w:r>
                </w:p>
              </w:tc>
              <w:tc>
                <w:tcPr>
                  <w:tcW w:w="674" w:type="pct"/>
                  <w:tcBorders>
                    <w:tl2br w:val="nil"/>
                    <w:tr2bl w:val="nil"/>
                  </w:tcBorders>
                  <w:shd w:val="clear" w:color="auto" w:fill="auto"/>
                  <w:vAlign w:val="center"/>
                </w:tcPr>
                <w:p w14:paraId="22F05F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44422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52A411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689CFB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3AF1D2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B9D89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2ACF5B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42957EE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0.217</w:t>
                  </w:r>
                </w:p>
              </w:tc>
              <w:tc>
                <w:tcPr>
                  <w:tcW w:w="674" w:type="pct"/>
                  <w:tcBorders>
                    <w:tl2br w:val="nil"/>
                    <w:tr2bl w:val="nil"/>
                  </w:tcBorders>
                  <w:shd w:val="clear" w:color="auto" w:fill="auto"/>
                  <w:vAlign w:val="center"/>
                </w:tcPr>
                <w:p w14:paraId="1D350A0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A6C34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CA50A2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DBA68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030D1D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5#厂区内部车间外</w:t>
                  </w:r>
                </w:p>
              </w:tc>
              <w:tc>
                <w:tcPr>
                  <w:tcW w:w="538" w:type="pct"/>
                  <w:tcBorders>
                    <w:tl2br w:val="nil"/>
                    <w:tr2bl w:val="nil"/>
                  </w:tcBorders>
                  <w:shd w:val="clear" w:color="auto" w:fill="auto"/>
                  <w:vAlign w:val="center"/>
                </w:tcPr>
                <w:p w14:paraId="65BE2E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71C8145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noWrap/>
                  <w:vAlign w:val="center"/>
                </w:tcPr>
                <w:p w14:paraId="1957E26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096256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014031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r w14:paraId="0DFEF1C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405E9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F6A195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6519CF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35AAB61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noWrap/>
                  <w:vAlign w:val="center"/>
                </w:tcPr>
                <w:p w14:paraId="7211FD5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5EF5895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5C56387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r w14:paraId="086169C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C4585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21994A1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6C684F2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6DDD4BF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noWrap/>
                  <w:vAlign w:val="center"/>
                </w:tcPr>
                <w:p w14:paraId="7F8DA84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1665CC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04D501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r w14:paraId="2CA2200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restart"/>
                  <w:tcBorders>
                    <w:tl2br w:val="nil"/>
                    <w:tr2bl w:val="nil"/>
                  </w:tcBorders>
                  <w:shd w:val="clear" w:color="auto" w:fill="auto"/>
                  <w:vAlign w:val="center"/>
                </w:tcPr>
                <w:p w14:paraId="3A81280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750" w:type="pct"/>
                  <w:vMerge w:val="restart"/>
                  <w:tcBorders>
                    <w:tl2br w:val="nil"/>
                    <w:tr2bl w:val="nil"/>
                  </w:tcBorders>
                  <w:shd w:val="clear" w:color="auto" w:fill="auto"/>
                  <w:vAlign w:val="center"/>
                </w:tcPr>
                <w:p w14:paraId="1F0F436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1#厂界上风向10m处</w:t>
                  </w:r>
                </w:p>
              </w:tc>
              <w:tc>
                <w:tcPr>
                  <w:tcW w:w="538" w:type="pct"/>
                  <w:tcBorders>
                    <w:tl2br w:val="nil"/>
                    <w:tr2bl w:val="nil"/>
                  </w:tcBorders>
                  <w:shd w:val="clear" w:color="auto" w:fill="auto"/>
                  <w:vAlign w:val="center"/>
                </w:tcPr>
                <w:p w14:paraId="635107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38BE08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758" w:type="pct"/>
                  <w:tcBorders>
                    <w:tl2br w:val="nil"/>
                    <w:tr2bl w:val="nil"/>
                  </w:tcBorders>
                  <w:shd w:val="clear" w:color="auto" w:fill="auto"/>
                  <w:vAlign w:val="center"/>
                </w:tcPr>
                <w:p w14:paraId="6659254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0.125</w:t>
                  </w:r>
                </w:p>
              </w:tc>
              <w:tc>
                <w:tcPr>
                  <w:tcW w:w="674" w:type="pct"/>
                  <w:tcBorders>
                    <w:tl2br w:val="nil"/>
                    <w:tr2bl w:val="nil"/>
                  </w:tcBorders>
                  <w:shd w:val="clear" w:color="auto" w:fill="auto"/>
                  <w:vAlign w:val="center"/>
                </w:tcPr>
                <w:p w14:paraId="5D0924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84A5B9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177815C1">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E4666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924D1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C9724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7990E7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0.16</w:t>
                  </w:r>
                </w:p>
              </w:tc>
              <w:tc>
                <w:tcPr>
                  <w:tcW w:w="758" w:type="pct"/>
                  <w:tcBorders>
                    <w:tl2br w:val="nil"/>
                    <w:tr2bl w:val="nil"/>
                  </w:tcBorders>
                  <w:shd w:val="clear" w:color="auto" w:fill="auto"/>
                  <w:vAlign w:val="center"/>
                </w:tcPr>
                <w:p w14:paraId="2A9585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0.123</w:t>
                  </w:r>
                </w:p>
              </w:tc>
              <w:tc>
                <w:tcPr>
                  <w:tcW w:w="674" w:type="pct"/>
                  <w:tcBorders>
                    <w:tl2br w:val="nil"/>
                    <w:tr2bl w:val="nil"/>
                  </w:tcBorders>
                  <w:shd w:val="clear" w:color="auto" w:fill="auto"/>
                  <w:vAlign w:val="center"/>
                </w:tcPr>
                <w:p w14:paraId="6D2E46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8055AF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4DA214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F9BABF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C18C69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38BDAE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2E02E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0.12</w:t>
                  </w:r>
                </w:p>
              </w:tc>
              <w:tc>
                <w:tcPr>
                  <w:tcW w:w="758" w:type="pct"/>
                  <w:tcBorders>
                    <w:tl2br w:val="nil"/>
                    <w:tr2bl w:val="nil"/>
                  </w:tcBorders>
                  <w:shd w:val="clear" w:color="auto" w:fill="auto"/>
                  <w:vAlign w:val="center"/>
                </w:tcPr>
                <w:p w14:paraId="58B4EC7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0.133</w:t>
                  </w:r>
                </w:p>
              </w:tc>
              <w:tc>
                <w:tcPr>
                  <w:tcW w:w="674" w:type="pct"/>
                  <w:tcBorders>
                    <w:tl2br w:val="nil"/>
                    <w:tr2bl w:val="nil"/>
                  </w:tcBorders>
                  <w:shd w:val="clear" w:color="auto" w:fill="auto"/>
                  <w:vAlign w:val="center"/>
                </w:tcPr>
                <w:p w14:paraId="456F692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5804AD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02FF2821">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82A1ED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29CF1D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2#厂界下风向10m处</w:t>
                  </w:r>
                </w:p>
              </w:tc>
              <w:tc>
                <w:tcPr>
                  <w:tcW w:w="538" w:type="pct"/>
                  <w:tcBorders>
                    <w:tl2br w:val="nil"/>
                    <w:tr2bl w:val="nil"/>
                  </w:tcBorders>
                  <w:shd w:val="clear" w:color="auto" w:fill="auto"/>
                  <w:vAlign w:val="center"/>
                </w:tcPr>
                <w:p w14:paraId="1CE69B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315F06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vAlign w:val="center"/>
                </w:tcPr>
                <w:p w14:paraId="65D7A53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0.223</w:t>
                  </w:r>
                </w:p>
              </w:tc>
              <w:tc>
                <w:tcPr>
                  <w:tcW w:w="674" w:type="pct"/>
                  <w:tcBorders>
                    <w:tl2br w:val="nil"/>
                    <w:tr2bl w:val="nil"/>
                  </w:tcBorders>
                  <w:shd w:val="clear" w:color="auto" w:fill="auto"/>
                  <w:vAlign w:val="center"/>
                </w:tcPr>
                <w:p w14:paraId="5496C1D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950FF0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21F7F65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96F4F1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5954093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9BAA3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7C8B2A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0FA1B5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0.215</w:t>
                  </w:r>
                </w:p>
              </w:tc>
              <w:tc>
                <w:tcPr>
                  <w:tcW w:w="674" w:type="pct"/>
                  <w:tcBorders>
                    <w:tl2br w:val="nil"/>
                    <w:tr2bl w:val="nil"/>
                  </w:tcBorders>
                  <w:shd w:val="clear" w:color="auto" w:fill="auto"/>
                  <w:vAlign w:val="center"/>
                </w:tcPr>
                <w:p w14:paraId="36B8E4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34060A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3E6488D">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A9084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311E3FB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050375D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F8D65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67AE53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286E1E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9EF8D2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CD0A64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07294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7BB3FE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3#厂界下风向10m处</w:t>
                  </w:r>
                </w:p>
              </w:tc>
              <w:tc>
                <w:tcPr>
                  <w:tcW w:w="538" w:type="pct"/>
                  <w:tcBorders>
                    <w:tl2br w:val="nil"/>
                    <w:tr2bl w:val="nil"/>
                  </w:tcBorders>
                  <w:shd w:val="clear" w:color="auto" w:fill="auto"/>
                  <w:vAlign w:val="center"/>
                </w:tcPr>
                <w:p w14:paraId="068A1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5B24540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71FBD72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0.203</w:t>
                  </w:r>
                </w:p>
              </w:tc>
              <w:tc>
                <w:tcPr>
                  <w:tcW w:w="674" w:type="pct"/>
                  <w:tcBorders>
                    <w:tl2br w:val="nil"/>
                    <w:tr2bl w:val="nil"/>
                  </w:tcBorders>
                  <w:shd w:val="clear" w:color="auto" w:fill="auto"/>
                  <w:vAlign w:val="center"/>
                </w:tcPr>
                <w:p w14:paraId="2997A3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47A908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076094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56CDBF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07C1F3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413C69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42C5379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1D8C76A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0.205</w:t>
                  </w:r>
                </w:p>
              </w:tc>
              <w:tc>
                <w:tcPr>
                  <w:tcW w:w="674" w:type="pct"/>
                  <w:tcBorders>
                    <w:tl2br w:val="nil"/>
                    <w:tr2bl w:val="nil"/>
                  </w:tcBorders>
                  <w:shd w:val="clear" w:color="auto" w:fill="auto"/>
                  <w:vAlign w:val="center"/>
                </w:tcPr>
                <w:p w14:paraId="6AD1FC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3B2D663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707495C4">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78C905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1E0D3A7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75C374E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2928A4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vAlign w:val="center"/>
                </w:tcPr>
                <w:p w14:paraId="308C8F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3D3655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7E09663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463B038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BFAEB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01F7809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4#厂界下风向10m处</w:t>
                  </w:r>
                </w:p>
              </w:tc>
              <w:tc>
                <w:tcPr>
                  <w:tcW w:w="538" w:type="pct"/>
                  <w:tcBorders>
                    <w:tl2br w:val="nil"/>
                    <w:tr2bl w:val="nil"/>
                  </w:tcBorders>
                  <w:shd w:val="clear" w:color="auto" w:fill="auto"/>
                  <w:vAlign w:val="center"/>
                </w:tcPr>
                <w:p w14:paraId="0C864CF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0FCDA0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c>
                <w:tcPr>
                  <w:tcW w:w="758" w:type="pct"/>
                  <w:tcBorders>
                    <w:tl2br w:val="nil"/>
                    <w:tr2bl w:val="nil"/>
                  </w:tcBorders>
                  <w:shd w:val="clear" w:color="auto" w:fill="auto"/>
                  <w:vAlign w:val="center"/>
                </w:tcPr>
                <w:p w14:paraId="640DFF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0.172</w:t>
                  </w:r>
                </w:p>
              </w:tc>
              <w:tc>
                <w:tcPr>
                  <w:tcW w:w="674" w:type="pct"/>
                  <w:tcBorders>
                    <w:tl2br w:val="nil"/>
                    <w:tr2bl w:val="nil"/>
                  </w:tcBorders>
                  <w:shd w:val="clear" w:color="auto" w:fill="auto"/>
                  <w:vAlign w:val="center"/>
                </w:tcPr>
                <w:p w14:paraId="6C8CC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666C14A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2297C76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630DAF2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7DA8FF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44603F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1513EA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758" w:type="pct"/>
                  <w:tcBorders>
                    <w:tl2br w:val="nil"/>
                    <w:tr2bl w:val="nil"/>
                  </w:tcBorders>
                  <w:shd w:val="clear" w:color="auto" w:fill="auto"/>
                  <w:vAlign w:val="center"/>
                </w:tcPr>
                <w:p w14:paraId="3793D92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0.175</w:t>
                  </w:r>
                </w:p>
              </w:tc>
              <w:tc>
                <w:tcPr>
                  <w:tcW w:w="674" w:type="pct"/>
                  <w:tcBorders>
                    <w:tl2br w:val="nil"/>
                    <w:tr2bl w:val="nil"/>
                  </w:tcBorders>
                  <w:shd w:val="clear" w:color="auto" w:fill="auto"/>
                  <w:vAlign w:val="center"/>
                </w:tcPr>
                <w:p w14:paraId="5FBF92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1F08FF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58B74CC2">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1F41BF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484D84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261E73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0871B9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0.25</w:t>
                  </w:r>
                </w:p>
              </w:tc>
              <w:tc>
                <w:tcPr>
                  <w:tcW w:w="758" w:type="pct"/>
                  <w:tcBorders>
                    <w:tl2br w:val="nil"/>
                    <w:tr2bl w:val="nil"/>
                  </w:tcBorders>
                  <w:shd w:val="clear" w:color="auto" w:fill="auto"/>
                  <w:vAlign w:val="center"/>
                </w:tcPr>
                <w:p w14:paraId="21572E8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0.212</w:t>
                  </w:r>
                </w:p>
              </w:tc>
              <w:tc>
                <w:tcPr>
                  <w:tcW w:w="674" w:type="pct"/>
                  <w:tcBorders>
                    <w:tl2br w:val="nil"/>
                    <w:tr2bl w:val="nil"/>
                  </w:tcBorders>
                  <w:shd w:val="clear" w:color="auto" w:fill="auto"/>
                  <w:vAlign w:val="center"/>
                </w:tcPr>
                <w:p w14:paraId="14025EF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c>
                <w:tcPr>
                  <w:tcW w:w="794" w:type="pct"/>
                  <w:tcBorders>
                    <w:tl2br w:val="nil"/>
                    <w:tr2bl w:val="nil"/>
                  </w:tcBorders>
                  <w:shd w:val="clear" w:color="auto" w:fill="auto"/>
                  <w:vAlign w:val="center"/>
                </w:tcPr>
                <w:p w14:paraId="05BC94D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ND</w:t>
                  </w:r>
                </w:p>
              </w:tc>
            </w:tr>
            <w:tr w14:paraId="3F7AC43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042F1E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restart"/>
                  <w:tcBorders>
                    <w:tl2br w:val="nil"/>
                    <w:tr2bl w:val="nil"/>
                  </w:tcBorders>
                  <w:shd w:val="clear" w:color="auto" w:fill="auto"/>
                  <w:vAlign w:val="center"/>
                </w:tcPr>
                <w:p w14:paraId="65D0D06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5#厂区内部车间外</w:t>
                  </w:r>
                </w:p>
              </w:tc>
              <w:tc>
                <w:tcPr>
                  <w:tcW w:w="538" w:type="pct"/>
                  <w:tcBorders>
                    <w:tl2br w:val="nil"/>
                    <w:tr2bl w:val="nil"/>
                  </w:tcBorders>
                  <w:shd w:val="clear" w:color="auto" w:fill="auto"/>
                  <w:vAlign w:val="center"/>
                </w:tcPr>
                <w:p w14:paraId="1316DE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第一次</w:t>
                  </w:r>
                </w:p>
              </w:tc>
              <w:tc>
                <w:tcPr>
                  <w:tcW w:w="758" w:type="pct"/>
                  <w:tcBorders>
                    <w:tl2br w:val="nil"/>
                    <w:tr2bl w:val="nil"/>
                  </w:tcBorders>
                  <w:shd w:val="clear" w:color="auto" w:fill="auto"/>
                  <w:vAlign w:val="center"/>
                </w:tcPr>
                <w:p w14:paraId="1130508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758" w:type="pct"/>
                  <w:tcBorders>
                    <w:tl2br w:val="nil"/>
                    <w:tr2bl w:val="nil"/>
                  </w:tcBorders>
                  <w:shd w:val="clear" w:color="auto" w:fill="auto"/>
                  <w:noWrap/>
                  <w:vAlign w:val="center"/>
                </w:tcPr>
                <w:p w14:paraId="1D0E33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019EA1C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414AD6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r w14:paraId="4B916778">
              <w:tblPrEx>
                <w:shd w:val="clear" w:color="auto" w:fill="auto"/>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45B35B7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023FC1D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E8220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第二次</w:t>
                  </w:r>
                </w:p>
              </w:tc>
              <w:tc>
                <w:tcPr>
                  <w:tcW w:w="758" w:type="pct"/>
                  <w:tcBorders>
                    <w:tl2br w:val="nil"/>
                    <w:tr2bl w:val="nil"/>
                  </w:tcBorders>
                  <w:shd w:val="clear" w:color="auto" w:fill="auto"/>
                  <w:vAlign w:val="center"/>
                </w:tcPr>
                <w:p w14:paraId="5F566FD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noWrap/>
                  <w:vAlign w:val="center"/>
                </w:tcPr>
                <w:p w14:paraId="2EEFBA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4CE8F46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669749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r w14:paraId="45C3311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40" w:hRule="atLeast"/>
              </w:trPr>
              <w:tc>
                <w:tcPr>
                  <w:tcW w:w="726" w:type="pct"/>
                  <w:vMerge w:val="continue"/>
                  <w:tcBorders>
                    <w:tl2br w:val="nil"/>
                    <w:tr2bl w:val="nil"/>
                  </w:tcBorders>
                  <w:shd w:val="clear" w:color="auto" w:fill="auto"/>
                  <w:vAlign w:val="center"/>
                </w:tcPr>
                <w:p w14:paraId="2349BA6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750" w:type="pct"/>
                  <w:vMerge w:val="continue"/>
                  <w:tcBorders>
                    <w:tl2br w:val="nil"/>
                    <w:tr2bl w:val="nil"/>
                  </w:tcBorders>
                  <w:shd w:val="clear" w:color="auto" w:fill="auto"/>
                  <w:vAlign w:val="center"/>
                </w:tcPr>
                <w:p w14:paraId="6C04864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538" w:type="pct"/>
                  <w:tcBorders>
                    <w:tl2br w:val="nil"/>
                    <w:tr2bl w:val="nil"/>
                  </w:tcBorders>
                  <w:shd w:val="clear" w:color="auto" w:fill="auto"/>
                  <w:vAlign w:val="center"/>
                </w:tcPr>
                <w:p w14:paraId="593A00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第三次</w:t>
                  </w:r>
                </w:p>
              </w:tc>
              <w:tc>
                <w:tcPr>
                  <w:tcW w:w="758" w:type="pct"/>
                  <w:tcBorders>
                    <w:tl2br w:val="nil"/>
                    <w:tr2bl w:val="nil"/>
                  </w:tcBorders>
                  <w:shd w:val="clear" w:color="auto" w:fill="auto"/>
                  <w:vAlign w:val="center"/>
                </w:tcPr>
                <w:p w14:paraId="7D0E12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758" w:type="pct"/>
                  <w:tcBorders>
                    <w:tl2br w:val="nil"/>
                    <w:tr2bl w:val="nil"/>
                  </w:tcBorders>
                  <w:shd w:val="clear" w:color="auto" w:fill="auto"/>
                  <w:noWrap/>
                  <w:vAlign w:val="center"/>
                </w:tcPr>
                <w:p w14:paraId="22D58A8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674" w:type="pct"/>
                  <w:tcBorders>
                    <w:tl2br w:val="nil"/>
                    <w:tr2bl w:val="nil"/>
                  </w:tcBorders>
                  <w:shd w:val="clear" w:color="auto" w:fill="auto"/>
                  <w:noWrap/>
                  <w:vAlign w:val="center"/>
                </w:tcPr>
                <w:p w14:paraId="74540D6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c>
                <w:tcPr>
                  <w:tcW w:w="794" w:type="pct"/>
                  <w:tcBorders>
                    <w:tl2br w:val="nil"/>
                    <w:tr2bl w:val="nil"/>
                  </w:tcBorders>
                  <w:shd w:val="clear" w:color="auto" w:fill="auto"/>
                  <w:noWrap/>
                  <w:vAlign w:val="center"/>
                </w:tcPr>
                <w:p w14:paraId="45E7F7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rPr>
                    <w:t>/</w:t>
                  </w:r>
                </w:p>
              </w:tc>
            </w:tr>
          </w:tbl>
          <w:p w14:paraId="5302EFDD">
            <w:pPr>
              <w:spacing w:after="0" w:line="360" w:lineRule="auto"/>
              <w:ind w:firstLine="480" w:firstLineChars="20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由上表可知，厂界无组织废气中颗粒物最大排放浓度为0.2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硫酸雾、铅及其化合物均未检出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，满足《大气污染物综合排放标准》（GB16297-1996）中无组织排放标准要求</w:t>
            </w:r>
            <w:r>
              <w:rPr>
                <w:rFonts w:hint="default" w:ascii="Times New Roman" w:hAnsi="Times New Roman" w:eastAsia="宋体" w:cs="Times New Roman"/>
                <w:color w:val="000000" w:themeColor="text1"/>
                <w:sz w:val="24"/>
                <w:szCs w:val="24"/>
                <w:lang w:val="zh-CN"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厂区内部车间外非甲烷总烃最大排放浓度为0.2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，满足《挥发性有机物无组织排放控制标准》（GB37822-2019）中特别排放限值要求。</w:t>
            </w:r>
          </w:p>
          <w:p w14:paraId="5453E8D4">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2、废水</w:t>
            </w:r>
          </w:p>
          <w:p w14:paraId="00A7C9DC">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本次验收对厂区废水总排口中各污染物进行监测，监测结果见表7-3。</w:t>
            </w:r>
          </w:p>
          <w:p w14:paraId="3B44647D">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 xml:space="preserve">表7-3   废水中各污染物监测结果一览表   单位:mg/L </w:t>
            </w:r>
            <w:r>
              <w:rPr>
                <w:rFonts w:hint="eastAsia" w:ascii="Times New Roman" w:cs="Times New Roman" w:eastAsiaTheme="minorEastAsia"/>
                <w:b/>
                <w:bCs/>
                <w:sz w:val="21"/>
                <w:szCs w:val="21"/>
                <w:u w:val="none"/>
                <w:lang w:val="en-US" w:eastAsia="zh-CN"/>
              </w:rPr>
              <w:t xml:space="preserve">  </w:t>
            </w:r>
            <w:r>
              <w:rPr>
                <w:rFonts w:hint="eastAsia" w:ascii="Times New Roman" w:hAnsi="Times New Roman" w:cs="Times New Roman" w:eastAsiaTheme="minorEastAsia"/>
                <w:b/>
                <w:bCs/>
                <w:sz w:val="21"/>
                <w:szCs w:val="21"/>
                <w:u w:val="none"/>
                <w:lang w:val="en-US" w:eastAsia="zh-CN"/>
              </w:rPr>
              <w:t>(pH:无量纲)</w:t>
            </w:r>
          </w:p>
          <w:tbl>
            <w:tblPr>
              <w:tblStyle w:val="10"/>
              <w:tblW w:w="4998" w:type="pct"/>
              <w:tblInd w:w="0" w:type="dxa"/>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1263"/>
              <w:gridCol w:w="1613"/>
              <w:gridCol w:w="1607"/>
              <w:gridCol w:w="1052"/>
              <w:gridCol w:w="1052"/>
              <w:gridCol w:w="1052"/>
              <w:gridCol w:w="1066"/>
            </w:tblGrid>
            <w:tr w14:paraId="0EB0A36F">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276E07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监测时间</w:t>
                  </w:r>
                </w:p>
              </w:tc>
              <w:tc>
                <w:tcPr>
                  <w:tcW w:w="1849" w:type="pct"/>
                  <w:gridSpan w:val="2"/>
                  <w:vMerge w:val="restart"/>
                  <w:tcBorders>
                    <w:tl2br w:val="nil"/>
                    <w:tr2bl w:val="nil"/>
                  </w:tcBorders>
                  <w:shd w:val="clear" w:color="auto" w:fill="auto"/>
                  <w:vAlign w:val="center"/>
                </w:tcPr>
                <w:p w14:paraId="4DF51C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监测点位及项目</w:t>
                  </w:r>
                </w:p>
              </w:tc>
              <w:tc>
                <w:tcPr>
                  <w:tcW w:w="2424" w:type="pct"/>
                  <w:gridSpan w:val="4"/>
                  <w:vMerge w:val="restart"/>
                  <w:tcBorders>
                    <w:tl2br w:val="nil"/>
                    <w:tr2bl w:val="nil"/>
                  </w:tcBorders>
                  <w:shd w:val="clear" w:color="auto" w:fill="auto"/>
                  <w:vAlign w:val="center"/>
                </w:tcPr>
                <w:p w14:paraId="29AB21F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w:t>
                  </w:r>
                </w:p>
              </w:tc>
            </w:tr>
            <w:tr w14:paraId="4C9E242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517FC77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49" w:type="pct"/>
                  <w:gridSpan w:val="2"/>
                  <w:vMerge w:val="continue"/>
                  <w:tcBorders>
                    <w:tl2br w:val="nil"/>
                    <w:tr2bl w:val="nil"/>
                  </w:tcBorders>
                  <w:shd w:val="clear" w:color="auto" w:fill="auto"/>
                  <w:vAlign w:val="center"/>
                </w:tcPr>
                <w:p w14:paraId="000304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2424" w:type="pct"/>
                  <w:gridSpan w:val="4"/>
                  <w:vMerge w:val="continue"/>
                  <w:tcBorders>
                    <w:tl2br w:val="nil"/>
                    <w:tr2bl w:val="nil"/>
                  </w:tcBorders>
                  <w:shd w:val="clear" w:color="auto" w:fill="auto"/>
                  <w:vAlign w:val="center"/>
                </w:tcPr>
                <w:p w14:paraId="45451F2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r>
            <w:tr w14:paraId="3922A805">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381979F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926" w:type="pct"/>
                  <w:vMerge w:val="restart"/>
                  <w:tcBorders>
                    <w:tl2br w:val="nil"/>
                    <w:tr2bl w:val="nil"/>
                  </w:tcBorders>
                  <w:shd w:val="clear" w:color="auto" w:fill="auto"/>
                  <w:vAlign w:val="center"/>
                </w:tcPr>
                <w:p w14:paraId="57239FB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1#厂区污水总排口</w:t>
                  </w:r>
                </w:p>
              </w:tc>
              <w:tc>
                <w:tcPr>
                  <w:tcW w:w="923" w:type="pct"/>
                  <w:tcBorders>
                    <w:tl2br w:val="nil"/>
                    <w:tr2bl w:val="nil"/>
                  </w:tcBorders>
                  <w:shd w:val="clear" w:color="auto" w:fill="auto"/>
                  <w:vAlign w:val="center"/>
                </w:tcPr>
                <w:p w14:paraId="198F84B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p>
              </w:tc>
              <w:tc>
                <w:tcPr>
                  <w:tcW w:w="604" w:type="pct"/>
                  <w:tcBorders>
                    <w:tl2br w:val="nil"/>
                    <w:tr2bl w:val="nil"/>
                  </w:tcBorders>
                  <w:shd w:val="clear" w:color="auto" w:fill="auto"/>
                  <w:vAlign w:val="center"/>
                </w:tcPr>
                <w:p w14:paraId="6B7B57B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04" w:type="pct"/>
                  <w:tcBorders>
                    <w:tl2br w:val="nil"/>
                    <w:tr2bl w:val="nil"/>
                  </w:tcBorders>
                  <w:shd w:val="clear" w:color="auto" w:fill="auto"/>
                  <w:vAlign w:val="center"/>
                </w:tcPr>
                <w:p w14:paraId="48964D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04" w:type="pct"/>
                  <w:tcBorders>
                    <w:tl2br w:val="nil"/>
                    <w:tr2bl w:val="nil"/>
                  </w:tcBorders>
                  <w:shd w:val="clear" w:color="auto" w:fill="auto"/>
                  <w:vAlign w:val="center"/>
                </w:tcPr>
                <w:p w14:paraId="7567181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c>
                <w:tcPr>
                  <w:tcW w:w="611" w:type="pct"/>
                  <w:tcBorders>
                    <w:tl2br w:val="nil"/>
                    <w:tr2bl w:val="nil"/>
                  </w:tcBorders>
                  <w:shd w:val="clear" w:color="auto" w:fill="auto"/>
                  <w:vAlign w:val="center"/>
                </w:tcPr>
                <w:p w14:paraId="6901EF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r>
            <w:tr w14:paraId="7C41EBB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99" w:hRule="atLeast"/>
              </w:trPr>
              <w:tc>
                <w:tcPr>
                  <w:tcW w:w="725" w:type="pct"/>
                  <w:vMerge w:val="continue"/>
                  <w:tcBorders>
                    <w:tl2br w:val="nil"/>
                    <w:tr2bl w:val="nil"/>
                  </w:tcBorders>
                  <w:shd w:val="clear" w:color="auto" w:fill="auto"/>
                  <w:vAlign w:val="center"/>
                </w:tcPr>
                <w:p w14:paraId="3AAEE7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515FD20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393D34F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NH</w:t>
                  </w:r>
                  <w:r>
                    <w:rPr>
                      <w:rFonts w:hint="eastAsia" w:ascii="Times New Roman" w:hAnsi="Times New Roman" w:eastAsia="宋体" w:cs="Times New Roman"/>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-H</w:t>
                  </w:r>
                </w:p>
              </w:tc>
              <w:tc>
                <w:tcPr>
                  <w:tcW w:w="604" w:type="pct"/>
                  <w:tcBorders>
                    <w:tl2br w:val="nil"/>
                    <w:tr2bl w:val="nil"/>
                  </w:tcBorders>
                  <w:shd w:val="clear" w:color="auto" w:fill="auto"/>
                  <w:vAlign w:val="center"/>
                </w:tcPr>
                <w:p w14:paraId="74CA55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6.53</w:t>
                  </w:r>
                </w:p>
              </w:tc>
              <w:tc>
                <w:tcPr>
                  <w:tcW w:w="604" w:type="pct"/>
                  <w:tcBorders>
                    <w:tl2br w:val="nil"/>
                    <w:tr2bl w:val="nil"/>
                  </w:tcBorders>
                  <w:shd w:val="clear" w:color="auto" w:fill="auto"/>
                  <w:vAlign w:val="center"/>
                </w:tcPr>
                <w:p w14:paraId="3E4787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6.52</w:t>
                  </w:r>
                </w:p>
              </w:tc>
              <w:tc>
                <w:tcPr>
                  <w:tcW w:w="604" w:type="pct"/>
                  <w:tcBorders>
                    <w:tl2br w:val="nil"/>
                    <w:tr2bl w:val="nil"/>
                  </w:tcBorders>
                  <w:shd w:val="clear" w:color="auto" w:fill="auto"/>
                  <w:vAlign w:val="center"/>
                </w:tcPr>
                <w:p w14:paraId="3E5C698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7.12</w:t>
                  </w:r>
                </w:p>
              </w:tc>
              <w:tc>
                <w:tcPr>
                  <w:tcW w:w="611" w:type="pct"/>
                  <w:tcBorders>
                    <w:tl2br w:val="nil"/>
                    <w:tr2bl w:val="nil"/>
                  </w:tcBorders>
                  <w:shd w:val="clear" w:color="auto" w:fill="auto"/>
                  <w:vAlign w:val="center"/>
                </w:tcPr>
                <w:p w14:paraId="310FB7E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7.17</w:t>
                  </w:r>
                </w:p>
              </w:tc>
            </w:tr>
            <w:tr w14:paraId="692E6F19">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42E754B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6AF549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739580A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COD</w:t>
                  </w:r>
                </w:p>
              </w:tc>
              <w:tc>
                <w:tcPr>
                  <w:tcW w:w="604" w:type="pct"/>
                  <w:tcBorders>
                    <w:tl2br w:val="nil"/>
                    <w:tr2bl w:val="nil"/>
                  </w:tcBorders>
                  <w:shd w:val="clear" w:color="auto" w:fill="auto"/>
                  <w:vAlign w:val="center"/>
                </w:tcPr>
                <w:p w14:paraId="238870B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133</w:t>
                  </w:r>
                </w:p>
              </w:tc>
              <w:tc>
                <w:tcPr>
                  <w:tcW w:w="604" w:type="pct"/>
                  <w:tcBorders>
                    <w:tl2br w:val="nil"/>
                    <w:tr2bl w:val="nil"/>
                  </w:tcBorders>
                  <w:shd w:val="clear" w:color="auto" w:fill="auto"/>
                  <w:vAlign w:val="center"/>
                </w:tcPr>
                <w:p w14:paraId="6A1FE07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132</w:t>
                  </w:r>
                </w:p>
              </w:tc>
              <w:tc>
                <w:tcPr>
                  <w:tcW w:w="604" w:type="pct"/>
                  <w:tcBorders>
                    <w:tl2br w:val="nil"/>
                    <w:tr2bl w:val="nil"/>
                  </w:tcBorders>
                  <w:shd w:val="clear" w:color="auto" w:fill="auto"/>
                  <w:vAlign w:val="center"/>
                </w:tcPr>
                <w:p w14:paraId="5862E96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611" w:type="pct"/>
                  <w:tcBorders>
                    <w:tl2br w:val="nil"/>
                    <w:tr2bl w:val="nil"/>
                  </w:tcBorders>
                  <w:shd w:val="clear" w:color="auto" w:fill="auto"/>
                  <w:vAlign w:val="center"/>
                </w:tcPr>
                <w:p w14:paraId="4CDE355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141</w:t>
                  </w:r>
                </w:p>
              </w:tc>
            </w:tr>
            <w:tr w14:paraId="7E6A640A">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6DAE5B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51838DD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0812755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SS</w:t>
                  </w:r>
                </w:p>
              </w:tc>
              <w:tc>
                <w:tcPr>
                  <w:tcW w:w="604" w:type="pct"/>
                  <w:tcBorders>
                    <w:tl2br w:val="nil"/>
                    <w:tr2bl w:val="nil"/>
                  </w:tcBorders>
                  <w:shd w:val="clear" w:color="auto" w:fill="auto"/>
                  <w:vAlign w:val="center"/>
                </w:tcPr>
                <w:p w14:paraId="55D021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18</w:t>
                  </w:r>
                </w:p>
              </w:tc>
              <w:tc>
                <w:tcPr>
                  <w:tcW w:w="604" w:type="pct"/>
                  <w:tcBorders>
                    <w:tl2br w:val="nil"/>
                    <w:tr2bl w:val="nil"/>
                  </w:tcBorders>
                  <w:shd w:val="clear" w:color="auto" w:fill="auto"/>
                  <w:vAlign w:val="center"/>
                </w:tcPr>
                <w:p w14:paraId="46D172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19</w:t>
                  </w:r>
                </w:p>
              </w:tc>
              <w:tc>
                <w:tcPr>
                  <w:tcW w:w="604" w:type="pct"/>
                  <w:tcBorders>
                    <w:tl2br w:val="nil"/>
                    <w:tr2bl w:val="nil"/>
                  </w:tcBorders>
                  <w:shd w:val="clear" w:color="auto" w:fill="auto"/>
                  <w:vAlign w:val="center"/>
                </w:tcPr>
                <w:p w14:paraId="7C48CE8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611" w:type="pct"/>
                  <w:tcBorders>
                    <w:tl2br w:val="nil"/>
                    <w:tr2bl w:val="nil"/>
                  </w:tcBorders>
                  <w:shd w:val="clear" w:color="auto" w:fill="auto"/>
                  <w:vAlign w:val="center"/>
                </w:tcPr>
                <w:p w14:paraId="32D990F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r>
            <w:tr w14:paraId="402093B7">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649E6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0A0DDF7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0773D5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604" w:type="pct"/>
                  <w:tcBorders>
                    <w:tl2br w:val="nil"/>
                    <w:tr2bl w:val="nil"/>
                  </w:tcBorders>
                  <w:shd w:val="clear" w:color="auto" w:fill="auto"/>
                  <w:vAlign w:val="center"/>
                </w:tcPr>
                <w:p w14:paraId="48E9EB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0.22</w:t>
                  </w:r>
                </w:p>
              </w:tc>
              <w:tc>
                <w:tcPr>
                  <w:tcW w:w="604" w:type="pct"/>
                  <w:tcBorders>
                    <w:tl2br w:val="nil"/>
                    <w:tr2bl w:val="nil"/>
                  </w:tcBorders>
                  <w:shd w:val="clear" w:color="auto" w:fill="auto"/>
                  <w:vAlign w:val="center"/>
                </w:tcPr>
                <w:p w14:paraId="5E88771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0.23</w:t>
                  </w:r>
                </w:p>
              </w:tc>
              <w:tc>
                <w:tcPr>
                  <w:tcW w:w="604" w:type="pct"/>
                  <w:tcBorders>
                    <w:tl2br w:val="nil"/>
                    <w:tr2bl w:val="nil"/>
                  </w:tcBorders>
                  <w:shd w:val="clear" w:color="auto" w:fill="auto"/>
                  <w:vAlign w:val="center"/>
                </w:tcPr>
                <w:p w14:paraId="787985E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c>
                <w:tcPr>
                  <w:tcW w:w="611" w:type="pct"/>
                  <w:tcBorders>
                    <w:tl2br w:val="nil"/>
                    <w:tr2bl w:val="nil"/>
                  </w:tcBorders>
                  <w:shd w:val="clear" w:color="auto" w:fill="auto"/>
                  <w:vAlign w:val="center"/>
                </w:tcPr>
                <w:p w14:paraId="59032D4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r>
            <w:tr w14:paraId="6C1E6EDE">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71F879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09895E3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2E4EEB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p>
              </w:tc>
              <w:tc>
                <w:tcPr>
                  <w:tcW w:w="604" w:type="pct"/>
                  <w:tcBorders>
                    <w:tl2br w:val="nil"/>
                    <w:tr2bl w:val="nil"/>
                  </w:tcBorders>
                  <w:shd w:val="clear" w:color="auto" w:fill="auto"/>
                  <w:vAlign w:val="center"/>
                </w:tcPr>
                <w:p w14:paraId="500FD2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604" w:type="pct"/>
                  <w:tcBorders>
                    <w:tl2br w:val="nil"/>
                    <w:tr2bl w:val="nil"/>
                  </w:tcBorders>
                  <w:shd w:val="clear" w:color="auto" w:fill="auto"/>
                  <w:vAlign w:val="center"/>
                </w:tcPr>
                <w:p w14:paraId="3D9BF8C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11.2</w:t>
                  </w:r>
                </w:p>
              </w:tc>
              <w:tc>
                <w:tcPr>
                  <w:tcW w:w="604" w:type="pct"/>
                  <w:tcBorders>
                    <w:tl2br w:val="nil"/>
                    <w:tr2bl w:val="nil"/>
                  </w:tcBorders>
                  <w:shd w:val="clear" w:color="auto" w:fill="auto"/>
                  <w:vAlign w:val="center"/>
                </w:tcPr>
                <w:p w14:paraId="1968D8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11.6</w:t>
                  </w:r>
                </w:p>
              </w:tc>
              <w:tc>
                <w:tcPr>
                  <w:tcW w:w="611" w:type="pct"/>
                  <w:tcBorders>
                    <w:tl2br w:val="nil"/>
                    <w:tr2bl w:val="nil"/>
                  </w:tcBorders>
                  <w:shd w:val="clear" w:color="auto" w:fill="auto"/>
                  <w:vAlign w:val="center"/>
                </w:tcPr>
                <w:p w14:paraId="4534BAC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11.7</w:t>
                  </w:r>
                </w:p>
              </w:tc>
            </w:tr>
            <w:tr w14:paraId="0EFA0FE0">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restart"/>
                  <w:tcBorders>
                    <w:tl2br w:val="nil"/>
                    <w:tr2bl w:val="nil"/>
                  </w:tcBorders>
                  <w:shd w:val="clear" w:color="auto" w:fill="auto"/>
                  <w:vAlign w:val="center"/>
                </w:tcPr>
                <w:p w14:paraId="51AEF69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926" w:type="pct"/>
                  <w:vMerge w:val="restart"/>
                  <w:tcBorders>
                    <w:tl2br w:val="nil"/>
                    <w:tr2bl w:val="nil"/>
                  </w:tcBorders>
                  <w:shd w:val="clear" w:color="auto" w:fill="auto"/>
                  <w:vAlign w:val="center"/>
                </w:tcPr>
                <w:p w14:paraId="3969B56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1#厂区污水总排口</w:t>
                  </w:r>
                </w:p>
              </w:tc>
              <w:tc>
                <w:tcPr>
                  <w:tcW w:w="923" w:type="pct"/>
                  <w:tcBorders>
                    <w:tl2br w:val="nil"/>
                    <w:tr2bl w:val="nil"/>
                  </w:tcBorders>
                  <w:shd w:val="clear" w:color="auto" w:fill="auto"/>
                  <w:vAlign w:val="center"/>
                </w:tcPr>
                <w:p w14:paraId="2377418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pH</w:t>
                  </w:r>
                </w:p>
              </w:tc>
              <w:tc>
                <w:tcPr>
                  <w:tcW w:w="604" w:type="pct"/>
                  <w:tcBorders>
                    <w:tl2br w:val="nil"/>
                    <w:tr2bl w:val="nil"/>
                  </w:tcBorders>
                  <w:shd w:val="clear" w:color="auto" w:fill="auto"/>
                  <w:vAlign w:val="center"/>
                </w:tcPr>
                <w:p w14:paraId="2881C8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7.5</w:t>
                  </w:r>
                </w:p>
              </w:tc>
              <w:tc>
                <w:tcPr>
                  <w:tcW w:w="604" w:type="pct"/>
                  <w:tcBorders>
                    <w:tl2br w:val="nil"/>
                    <w:tr2bl w:val="nil"/>
                  </w:tcBorders>
                  <w:shd w:val="clear" w:color="auto" w:fill="auto"/>
                  <w:vAlign w:val="center"/>
                </w:tcPr>
                <w:p w14:paraId="0F295AB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7.4</w:t>
                  </w:r>
                </w:p>
              </w:tc>
              <w:tc>
                <w:tcPr>
                  <w:tcW w:w="604" w:type="pct"/>
                  <w:tcBorders>
                    <w:tl2br w:val="nil"/>
                    <w:tr2bl w:val="nil"/>
                  </w:tcBorders>
                  <w:shd w:val="clear" w:color="auto" w:fill="auto"/>
                  <w:vAlign w:val="center"/>
                </w:tcPr>
                <w:p w14:paraId="6750377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c>
                <w:tcPr>
                  <w:tcW w:w="611" w:type="pct"/>
                  <w:tcBorders>
                    <w:tl2br w:val="nil"/>
                    <w:tr2bl w:val="nil"/>
                  </w:tcBorders>
                  <w:shd w:val="clear" w:color="auto" w:fill="auto"/>
                  <w:vAlign w:val="center"/>
                </w:tcPr>
                <w:p w14:paraId="6CDA3D5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7.3</w:t>
                  </w:r>
                </w:p>
              </w:tc>
            </w:tr>
            <w:tr w14:paraId="7984F71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99" w:hRule="atLeast"/>
              </w:trPr>
              <w:tc>
                <w:tcPr>
                  <w:tcW w:w="725" w:type="pct"/>
                  <w:vMerge w:val="continue"/>
                  <w:tcBorders>
                    <w:tl2br w:val="nil"/>
                    <w:tr2bl w:val="nil"/>
                  </w:tcBorders>
                  <w:shd w:val="clear" w:color="auto" w:fill="auto"/>
                  <w:vAlign w:val="center"/>
                </w:tcPr>
                <w:p w14:paraId="760D174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7F522EE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5FE14A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NH</w:t>
                  </w:r>
                  <w:r>
                    <w:rPr>
                      <w:rFonts w:hint="eastAsia" w:ascii="Times New Roman" w:hAnsi="Times New Roman" w:eastAsia="宋体" w:cs="Times New Roman"/>
                      <w:color w:val="000000" w:themeColor="text1"/>
                      <w:sz w:val="21"/>
                      <w:szCs w:val="21"/>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-H</w:t>
                  </w:r>
                </w:p>
              </w:tc>
              <w:tc>
                <w:tcPr>
                  <w:tcW w:w="604" w:type="pct"/>
                  <w:tcBorders>
                    <w:tl2br w:val="nil"/>
                    <w:tr2bl w:val="nil"/>
                  </w:tcBorders>
                  <w:shd w:val="clear" w:color="auto" w:fill="auto"/>
                  <w:vAlign w:val="center"/>
                </w:tcPr>
                <w:p w14:paraId="6AD23D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6.51</w:t>
                  </w:r>
                </w:p>
              </w:tc>
              <w:tc>
                <w:tcPr>
                  <w:tcW w:w="604" w:type="pct"/>
                  <w:tcBorders>
                    <w:tl2br w:val="nil"/>
                    <w:tr2bl w:val="nil"/>
                  </w:tcBorders>
                  <w:shd w:val="clear" w:color="auto" w:fill="auto"/>
                  <w:vAlign w:val="center"/>
                </w:tcPr>
                <w:p w14:paraId="3E7430F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7.12</w:t>
                  </w:r>
                </w:p>
              </w:tc>
              <w:tc>
                <w:tcPr>
                  <w:tcW w:w="604" w:type="pct"/>
                  <w:tcBorders>
                    <w:tl2br w:val="nil"/>
                    <w:tr2bl w:val="nil"/>
                  </w:tcBorders>
                  <w:shd w:val="clear" w:color="auto" w:fill="auto"/>
                  <w:vAlign w:val="center"/>
                </w:tcPr>
                <w:p w14:paraId="14F5534A">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7.14</w:t>
                  </w:r>
                </w:p>
              </w:tc>
              <w:tc>
                <w:tcPr>
                  <w:tcW w:w="611" w:type="pct"/>
                  <w:tcBorders>
                    <w:tl2br w:val="nil"/>
                    <w:tr2bl w:val="nil"/>
                  </w:tcBorders>
                  <w:shd w:val="clear" w:color="auto" w:fill="auto"/>
                  <w:vAlign w:val="center"/>
                </w:tcPr>
                <w:p w14:paraId="4A2217B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7.15</w:t>
                  </w:r>
                </w:p>
              </w:tc>
            </w:tr>
            <w:tr w14:paraId="59131F5C">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25E8CDD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2F82E56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33D9F32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COD</w:t>
                  </w:r>
                </w:p>
              </w:tc>
              <w:tc>
                <w:tcPr>
                  <w:tcW w:w="604" w:type="pct"/>
                  <w:tcBorders>
                    <w:tl2br w:val="nil"/>
                    <w:tr2bl w:val="nil"/>
                  </w:tcBorders>
                  <w:shd w:val="clear" w:color="auto" w:fill="auto"/>
                  <w:vAlign w:val="center"/>
                </w:tcPr>
                <w:p w14:paraId="1B08D0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135</w:t>
                  </w:r>
                </w:p>
              </w:tc>
              <w:tc>
                <w:tcPr>
                  <w:tcW w:w="604" w:type="pct"/>
                  <w:tcBorders>
                    <w:tl2br w:val="nil"/>
                    <w:tr2bl w:val="nil"/>
                  </w:tcBorders>
                  <w:shd w:val="clear" w:color="auto" w:fill="auto"/>
                  <w:vAlign w:val="center"/>
                </w:tcPr>
                <w:p w14:paraId="415728E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142</w:t>
                  </w:r>
                </w:p>
              </w:tc>
              <w:tc>
                <w:tcPr>
                  <w:tcW w:w="604" w:type="pct"/>
                  <w:tcBorders>
                    <w:tl2br w:val="nil"/>
                    <w:tr2bl w:val="nil"/>
                  </w:tcBorders>
                  <w:shd w:val="clear" w:color="auto" w:fill="auto"/>
                  <w:vAlign w:val="center"/>
                </w:tcPr>
                <w:p w14:paraId="7B1C8E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131</w:t>
                  </w:r>
                </w:p>
              </w:tc>
              <w:tc>
                <w:tcPr>
                  <w:tcW w:w="611" w:type="pct"/>
                  <w:tcBorders>
                    <w:tl2br w:val="nil"/>
                    <w:tr2bl w:val="nil"/>
                  </w:tcBorders>
                  <w:shd w:val="clear" w:color="auto" w:fill="auto"/>
                  <w:vAlign w:val="center"/>
                </w:tcPr>
                <w:p w14:paraId="20835B4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142</w:t>
                  </w:r>
                </w:p>
              </w:tc>
            </w:tr>
            <w:tr w14:paraId="6F805E46">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6CA3045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26FED62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3661ED1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SS</w:t>
                  </w:r>
                </w:p>
              </w:tc>
              <w:tc>
                <w:tcPr>
                  <w:tcW w:w="604" w:type="pct"/>
                  <w:tcBorders>
                    <w:tl2br w:val="nil"/>
                    <w:tr2bl w:val="nil"/>
                  </w:tcBorders>
                  <w:shd w:val="clear" w:color="auto" w:fill="auto"/>
                  <w:vAlign w:val="center"/>
                </w:tcPr>
                <w:p w14:paraId="0170BA3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w:t>
                  </w:r>
                </w:p>
              </w:tc>
              <w:tc>
                <w:tcPr>
                  <w:tcW w:w="604" w:type="pct"/>
                  <w:tcBorders>
                    <w:tl2br w:val="nil"/>
                    <w:tr2bl w:val="nil"/>
                  </w:tcBorders>
                  <w:shd w:val="clear" w:color="auto" w:fill="auto"/>
                  <w:vAlign w:val="center"/>
                </w:tcPr>
                <w:p w14:paraId="0D02782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19</w:t>
                  </w:r>
                </w:p>
              </w:tc>
              <w:tc>
                <w:tcPr>
                  <w:tcW w:w="604" w:type="pct"/>
                  <w:tcBorders>
                    <w:tl2br w:val="nil"/>
                    <w:tr2bl w:val="nil"/>
                  </w:tcBorders>
                  <w:shd w:val="clear" w:color="auto" w:fill="auto"/>
                  <w:vAlign w:val="center"/>
                </w:tcPr>
                <w:p w14:paraId="0DB0C0A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18</w:t>
                  </w:r>
                </w:p>
              </w:tc>
              <w:tc>
                <w:tcPr>
                  <w:tcW w:w="611" w:type="pct"/>
                  <w:tcBorders>
                    <w:tl2br w:val="nil"/>
                    <w:tr2bl w:val="nil"/>
                  </w:tcBorders>
                  <w:shd w:val="clear" w:color="auto" w:fill="auto"/>
                  <w:vAlign w:val="center"/>
                </w:tcPr>
                <w:p w14:paraId="60F465C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21</w:t>
                  </w:r>
                </w:p>
              </w:tc>
            </w:tr>
            <w:tr w14:paraId="0AAC4D58">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440C5C2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1A2E196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6FD6D63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石油类</w:t>
                  </w:r>
                </w:p>
              </w:tc>
              <w:tc>
                <w:tcPr>
                  <w:tcW w:w="604" w:type="pct"/>
                  <w:tcBorders>
                    <w:tl2br w:val="nil"/>
                    <w:tr2bl w:val="nil"/>
                  </w:tcBorders>
                  <w:shd w:val="clear" w:color="auto" w:fill="auto"/>
                  <w:vAlign w:val="center"/>
                </w:tcPr>
                <w:p w14:paraId="13EECCB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0.21</w:t>
                  </w:r>
                </w:p>
              </w:tc>
              <w:tc>
                <w:tcPr>
                  <w:tcW w:w="604" w:type="pct"/>
                  <w:tcBorders>
                    <w:tl2br w:val="nil"/>
                    <w:tr2bl w:val="nil"/>
                  </w:tcBorders>
                  <w:shd w:val="clear" w:color="auto" w:fill="auto"/>
                  <w:vAlign w:val="center"/>
                </w:tcPr>
                <w:p w14:paraId="3D40A5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0.17</w:t>
                  </w:r>
                </w:p>
              </w:tc>
              <w:tc>
                <w:tcPr>
                  <w:tcW w:w="604" w:type="pct"/>
                  <w:tcBorders>
                    <w:tl2br w:val="nil"/>
                    <w:tr2bl w:val="nil"/>
                  </w:tcBorders>
                  <w:shd w:val="clear" w:color="auto" w:fill="auto"/>
                  <w:vAlign w:val="center"/>
                </w:tcPr>
                <w:p w14:paraId="4CEBA19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c>
                <w:tcPr>
                  <w:tcW w:w="611" w:type="pct"/>
                  <w:tcBorders>
                    <w:tl2br w:val="nil"/>
                    <w:tr2bl w:val="nil"/>
                  </w:tcBorders>
                  <w:shd w:val="clear" w:color="auto" w:fill="auto"/>
                  <w:vAlign w:val="center"/>
                </w:tcPr>
                <w:p w14:paraId="7173CCD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0.18</w:t>
                  </w:r>
                </w:p>
              </w:tc>
            </w:tr>
            <w:tr w14:paraId="084AB64B">
              <w:tblPrEx>
                <w:tblBorders>
                  <w:top w:val="single" w:color="000000" w:sz="12" w:space="0"/>
                  <w:left w:val="none" w:color="auto" w:sz="0" w:space="0"/>
                  <w:bottom w:val="single" w:color="000000" w:sz="12" w:space="0"/>
                  <w:right w:val="none" w:color="auto" w:sz="0"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327" w:hRule="atLeast"/>
              </w:trPr>
              <w:tc>
                <w:tcPr>
                  <w:tcW w:w="725" w:type="pct"/>
                  <w:vMerge w:val="continue"/>
                  <w:tcBorders>
                    <w:tl2br w:val="nil"/>
                    <w:tr2bl w:val="nil"/>
                  </w:tcBorders>
                  <w:shd w:val="clear" w:color="auto" w:fill="auto"/>
                  <w:vAlign w:val="center"/>
                </w:tcPr>
                <w:p w14:paraId="278E181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6" w:type="pct"/>
                  <w:vMerge w:val="continue"/>
                  <w:tcBorders>
                    <w:tl2br w:val="nil"/>
                    <w:tr2bl w:val="nil"/>
                  </w:tcBorders>
                  <w:shd w:val="clear" w:color="auto" w:fill="auto"/>
                  <w:vAlign w:val="center"/>
                </w:tcPr>
                <w:p w14:paraId="478179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923" w:type="pct"/>
                  <w:tcBorders>
                    <w:tl2br w:val="nil"/>
                    <w:tr2bl w:val="nil"/>
                  </w:tcBorders>
                  <w:shd w:val="clear" w:color="auto" w:fill="auto"/>
                  <w:vAlign w:val="center"/>
                </w:tcPr>
                <w:p w14:paraId="3902193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BOD</w:t>
                  </w:r>
                  <w:r>
                    <w:rPr>
                      <w:rFonts w:hint="eastAsia" w:ascii="Times New Roman" w:hAnsi="Times New Roman" w:eastAsia="宋体" w:cs="Times New Roman"/>
                      <w:sz w:val="21"/>
                      <w:szCs w:val="21"/>
                      <w:vertAlign w:val="subscript"/>
                      <w:lang w:val="en-US" w:eastAsia="zh-CN"/>
                    </w:rPr>
                    <w:t>5</w:t>
                  </w:r>
                </w:p>
              </w:tc>
              <w:tc>
                <w:tcPr>
                  <w:tcW w:w="604" w:type="pct"/>
                  <w:tcBorders>
                    <w:tl2br w:val="nil"/>
                    <w:tr2bl w:val="nil"/>
                  </w:tcBorders>
                  <w:shd w:val="clear" w:color="auto" w:fill="auto"/>
                  <w:vAlign w:val="center"/>
                </w:tcPr>
                <w:p w14:paraId="2B0ABCB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14.3</w:t>
                  </w:r>
                </w:p>
              </w:tc>
              <w:tc>
                <w:tcPr>
                  <w:tcW w:w="604" w:type="pct"/>
                  <w:tcBorders>
                    <w:tl2br w:val="nil"/>
                    <w:tr2bl w:val="nil"/>
                  </w:tcBorders>
                  <w:shd w:val="clear" w:color="auto" w:fill="auto"/>
                  <w:vAlign w:val="center"/>
                </w:tcPr>
                <w:p w14:paraId="4B874C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15.5</w:t>
                  </w:r>
                </w:p>
              </w:tc>
              <w:tc>
                <w:tcPr>
                  <w:tcW w:w="604" w:type="pct"/>
                  <w:tcBorders>
                    <w:tl2br w:val="nil"/>
                    <w:tr2bl w:val="nil"/>
                  </w:tcBorders>
                  <w:shd w:val="clear" w:color="auto" w:fill="auto"/>
                  <w:vAlign w:val="center"/>
                </w:tcPr>
                <w:p w14:paraId="7552472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15.1</w:t>
                  </w:r>
                </w:p>
              </w:tc>
              <w:tc>
                <w:tcPr>
                  <w:tcW w:w="611" w:type="pct"/>
                  <w:tcBorders>
                    <w:tl2br w:val="nil"/>
                    <w:tr2bl w:val="nil"/>
                  </w:tcBorders>
                  <w:shd w:val="clear" w:color="auto" w:fill="auto"/>
                  <w:vAlign w:val="center"/>
                </w:tcPr>
                <w:p w14:paraId="3E56C76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14.2</w:t>
                  </w:r>
                </w:p>
              </w:tc>
            </w:tr>
          </w:tbl>
          <w:p w14:paraId="29DCF869">
            <w:pPr>
              <w:spacing w:after="0"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根据上述监测结果：验收监测期间，本项目废水污染物最大排放浓度为COD：142mg/L；BOD</w:t>
            </w:r>
            <w:r>
              <w:rPr>
                <w:rFonts w:hint="eastAsia" w:ascii="Times New Roman" w:hAnsi="Times New Roman" w:eastAsia="宋体" w:cs="Times New Roman"/>
                <w:color w:val="000000" w:themeColor="text1"/>
                <w:sz w:val="24"/>
                <w:szCs w:val="24"/>
                <w:vertAlign w:val="subscript"/>
                <w:lang w:val="en-US" w:eastAsia="zh-CN"/>
                <w14:textFill>
                  <w14:solidFill>
                    <w14:schemeClr w14:val="tx1"/>
                  </w14:solidFill>
                </w14:textFill>
              </w:rPr>
              <w:t>5</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：15.5mg/L；SS：21mg/L；NH</w:t>
            </w:r>
            <w:r>
              <w:rPr>
                <w:rFonts w:hint="eastAsia" w:ascii="Times New Roman" w:hAnsi="Times New Roman" w:eastAsia="宋体" w:cs="Times New Roman"/>
                <w:color w:val="000000" w:themeColor="text1"/>
                <w:sz w:val="24"/>
                <w:szCs w:val="24"/>
                <w:vertAlign w:val="subscript"/>
                <w:lang w:val="en-US" w:eastAsia="zh-CN"/>
                <w14:textFill>
                  <w14:solidFill>
                    <w14:schemeClr w14:val="tx1"/>
                  </w14:solidFill>
                </w14:textFill>
              </w:rPr>
              <w:t>3</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-H：7.17mg/L；石油类：0.23mg/L，满足《污水综合排放标准》（GB8978-1996）中三级排放标准要求。</w:t>
            </w:r>
          </w:p>
          <w:p w14:paraId="317BA655">
            <w:pPr>
              <w:widowControl w:val="0"/>
              <w:numPr>
                <w:ilvl w:val="0"/>
                <w:numId w:val="0"/>
              </w:numPr>
              <w:adjustRightInd w:val="0"/>
              <w:snapToGrid w:val="0"/>
              <w:spacing w:after="0" w:line="360" w:lineRule="auto"/>
              <w:ind w:firstLine="482" w:firstLineChars="200"/>
              <w:jc w:val="both"/>
              <w:rPr>
                <w:rFonts w:hint="eastAsia"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3、噪声</w:t>
            </w:r>
          </w:p>
          <w:p w14:paraId="70B167E7">
            <w:pPr>
              <w:widowControl w:val="0"/>
              <w:numPr>
                <w:ilvl w:val="0"/>
                <w:numId w:val="0"/>
              </w:numPr>
              <w:adjustRightInd w:val="0"/>
              <w:snapToGrid w:val="0"/>
              <w:spacing w:after="0" w:line="360" w:lineRule="auto"/>
              <w:ind w:firstLine="480" w:firstLineChars="200"/>
              <w:jc w:val="both"/>
              <w:rPr>
                <w:rFonts w:hint="eastAsia" w:ascii="Times New Roman" w:hAnsi="Times New Roman" w:eastAsia="宋体" w:cs="Times New Roman"/>
                <w:b w:val="0"/>
                <w:bCs w:val="0"/>
                <w:color w:val="auto"/>
                <w:kern w:val="2"/>
                <w:sz w:val="24"/>
                <w:szCs w:val="24"/>
                <w:lang w:val="en-US" w:eastAsia="zh-CN" w:bidi="ar-SA"/>
              </w:rPr>
            </w:pPr>
            <w:r>
              <w:rPr>
                <w:rFonts w:hint="eastAsia" w:ascii="Times New Roman" w:hAnsi="Times New Roman" w:eastAsia="宋体" w:cs="Times New Roman"/>
                <w:b w:val="0"/>
                <w:bCs w:val="0"/>
                <w:color w:val="auto"/>
                <w:kern w:val="2"/>
                <w:sz w:val="24"/>
                <w:szCs w:val="24"/>
                <w:lang w:val="en-US" w:eastAsia="zh-CN" w:bidi="ar-SA"/>
              </w:rPr>
              <w:t>本次验收对厂界噪声进行监测，监测结果见表7-4。</w:t>
            </w:r>
          </w:p>
          <w:p w14:paraId="3531215F">
            <w:pPr>
              <w:pStyle w:val="13"/>
              <w:spacing w:line="240" w:lineRule="auto"/>
              <w:jc w:val="center"/>
              <w:rPr>
                <w:rFonts w:hint="eastAsia" w:ascii="Times New Roman" w:hAnsi="Times New Roman" w:cs="Times New Roman" w:eastAsiaTheme="minorEastAsia"/>
                <w:b/>
                <w:bCs/>
                <w:sz w:val="21"/>
                <w:szCs w:val="21"/>
                <w:u w:val="none"/>
                <w:lang w:val="en-US" w:eastAsia="zh-CN"/>
              </w:rPr>
            </w:pPr>
            <w:r>
              <w:rPr>
                <w:rFonts w:hint="eastAsia" w:ascii="Times New Roman" w:hAnsi="Times New Roman" w:cs="Times New Roman" w:eastAsiaTheme="minorEastAsia"/>
                <w:b/>
                <w:bCs/>
                <w:sz w:val="21"/>
                <w:szCs w:val="21"/>
                <w:u w:val="none"/>
                <w:lang w:val="en-US" w:eastAsia="zh-CN"/>
              </w:rPr>
              <w:t>表7-4  厂界环境噪声监测结果     单位：dB（A）</w:t>
            </w:r>
          </w:p>
          <w:tbl>
            <w:tblPr>
              <w:tblStyle w:val="10"/>
              <w:tblW w:w="4990" w:type="pct"/>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59"/>
              <w:gridCol w:w="3187"/>
              <w:gridCol w:w="2020"/>
              <w:gridCol w:w="2025"/>
            </w:tblGrid>
            <w:tr w14:paraId="471082C8">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37F2410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监测日期</w:t>
                  </w:r>
                </w:p>
              </w:tc>
              <w:tc>
                <w:tcPr>
                  <w:tcW w:w="1833" w:type="pct"/>
                  <w:vMerge w:val="restart"/>
                  <w:tcBorders>
                    <w:tl2br w:val="nil"/>
                    <w:tr2bl w:val="nil"/>
                  </w:tcBorders>
                  <w:vAlign w:val="center"/>
                </w:tcPr>
                <w:p w14:paraId="2DFD420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监测点位</w:t>
                  </w:r>
                </w:p>
              </w:tc>
              <w:tc>
                <w:tcPr>
                  <w:tcW w:w="2327" w:type="pct"/>
                  <w:gridSpan w:val="2"/>
                  <w:tcBorders>
                    <w:tl2br w:val="nil"/>
                    <w:tr2bl w:val="nil"/>
                  </w:tcBorders>
                  <w:vAlign w:val="center"/>
                </w:tcPr>
                <w:p w14:paraId="6072BD3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检测结果dB(A)</w:t>
                  </w:r>
                </w:p>
              </w:tc>
            </w:tr>
            <w:tr w14:paraId="587010BE">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699D4F4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vMerge w:val="continue"/>
                  <w:tcBorders>
                    <w:tl2br w:val="nil"/>
                    <w:tr2bl w:val="nil"/>
                  </w:tcBorders>
                  <w:vAlign w:val="center"/>
                </w:tcPr>
                <w:p w14:paraId="04098C76">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162" w:type="pct"/>
                  <w:tcBorders>
                    <w:tl2br w:val="nil"/>
                    <w:tr2bl w:val="nil"/>
                  </w:tcBorders>
                  <w:vAlign w:val="center"/>
                </w:tcPr>
                <w:p w14:paraId="71D7F2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昼间</w:t>
                  </w:r>
                </w:p>
              </w:tc>
              <w:tc>
                <w:tcPr>
                  <w:tcW w:w="1164" w:type="pct"/>
                  <w:tcBorders>
                    <w:tl2br w:val="nil"/>
                    <w:tr2bl w:val="nil"/>
                  </w:tcBorders>
                  <w:vAlign w:val="center"/>
                </w:tcPr>
                <w:p w14:paraId="45519FA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夜间</w:t>
                  </w:r>
                </w:p>
              </w:tc>
            </w:tr>
            <w:tr w14:paraId="12099E79">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0C29B2D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2025.11.7</w:t>
                  </w:r>
                </w:p>
              </w:tc>
              <w:tc>
                <w:tcPr>
                  <w:tcW w:w="1833" w:type="pct"/>
                  <w:tcBorders>
                    <w:tl2br w:val="nil"/>
                    <w:tr2bl w:val="nil"/>
                  </w:tcBorders>
                  <w:vAlign w:val="center"/>
                </w:tcPr>
                <w:p w14:paraId="43BDD4D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1#厂界东侧1m</w:t>
                  </w:r>
                </w:p>
              </w:tc>
              <w:tc>
                <w:tcPr>
                  <w:tcW w:w="1162" w:type="pct"/>
                  <w:tcBorders>
                    <w:tl2br w:val="nil"/>
                    <w:tr2bl w:val="nil"/>
                  </w:tcBorders>
                  <w:shd w:val="clear" w:color="auto" w:fill="auto"/>
                  <w:vAlign w:val="center"/>
                </w:tcPr>
                <w:p w14:paraId="392E58C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1164" w:type="pct"/>
                  <w:tcBorders>
                    <w:tl2br w:val="nil"/>
                    <w:tr2bl w:val="nil"/>
                  </w:tcBorders>
                  <w:shd w:val="clear" w:color="auto" w:fill="auto"/>
                  <w:vAlign w:val="center"/>
                </w:tcPr>
                <w:p w14:paraId="4966BCF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w:t>
                  </w:r>
                </w:p>
              </w:tc>
            </w:tr>
            <w:tr w14:paraId="559E7CD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46C4CDD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4BEE489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2#厂界南侧1m</w:t>
                  </w:r>
                </w:p>
              </w:tc>
              <w:tc>
                <w:tcPr>
                  <w:tcW w:w="1162" w:type="pct"/>
                  <w:tcBorders>
                    <w:tl2br w:val="nil"/>
                    <w:tr2bl w:val="nil"/>
                  </w:tcBorders>
                  <w:shd w:val="clear" w:color="auto" w:fill="auto"/>
                  <w:vAlign w:val="center"/>
                </w:tcPr>
                <w:p w14:paraId="29CDED8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color w:val="000000" w:themeColor="text1"/>
                      <w:sz w:val="21"/>
                      <w:szCs w:val="21"/>
                      <w:lang w:val="en-US" w:eastAsia="zh-CN"/>
                      <w14:textFill>
                        <w14:solidFill>
                          <w14:schemeClr w14:val="tx1"/>
                        </w14:solidFill>
                      </w14:textFill>
                    </w:rPr>
                    <w:t>50</w:t>
                  </w:r>
                </w:p>
              </w:tc>
              <w:tc>
                <w:tcPr>
                  <w:tcW w:w="1164" w:type="pct"/>
                  <w:tcBorders>
                    <w:tl2br w:val="nil"/>
                    <w:tr2bl w:val="nil"/>
                  </w:tcBorders>
                  <w:shd w:val="clear" w:color="auto" w:fill="auto"/>
                  <w:vAlign w:val="center"/>
                </w:tcPr>
                <w:p w14:paraId="47994C4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w:t>
                  </w:r>
                </w:p>
              </w:tc>
            </w:tr>
            <w:tr w14:paraId="7789F337">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0C089D3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7E96B0D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3#厂界西侧1m</w:t>
                  </w:r>
                </w:p>
              </w:tc>
              <w:tc>
                <w:tcPr>
                  <w:tcW w:w="1162" w:type="pct"/>
                  <w:tcBorders>
                    <w:tl2br w:val="nil"/>
                    <w:tr2bl w:val="nil"/>
                  </w:tcBorders>
                  <w:shd w:val="clear" w:color="auto" w:fill="auto"/>
                  <w:vAlign w:val="center"/>
                </w:tcPr>
                <w:p w14:paraId="716BD45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50</w:t>
                  </w:r>
                </w:p>
              </w:tc>
              <w:tc>
                <w:tcPr>
                  <w:tcW w:w="1164" w:type="pct"/>
                  <w:tcBorders>
                    <w:tl2br w:val="nil"/>
                    <w:tr2bl w:val="nil"/>
                  </w:tcBorders>
                  <w:shd w:val="clear" w:color="auto" w:fill="auto"/>
                  <w:vAlign w:val="center"/>
                </w:tcPr>
                <w:p w14:paraId="2B6898C1">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39</w:t>
                  </w:r>
                </w:p>
              </w:tc>
            </w:tr>
            <w:tr w14:paraId="15C21DA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26BAF64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07E0ADE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4#厂界北侧1m</w:t>
                  </w:r>
                </w:p>
              </w:tc>
              <w:tc>
                <w:tcPr>
                  <w:tcW w:w="1162" w:type="pct"/>
                  <w:tcBorders>
                    <w:tl2br w:val="nil"/>
                    <w:tr2bl w:val="nil"/>
                  </w:tcBorders>
                  <w:shd w:val="clear" w:color="auto" w:fill="auto"/>
                  <w:vAlign w:val="center"/>
                </w:tcPr>
                <w:p w14:paraId="6024D7B2">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1164" w:type="pct"/>
                  <w:tcBorders>
                    <w:tl2br w:val="nil"/>
                    <w:tr2bl w:val="nil"/>
                  </w:tcBorders>
                  <w:shd w:val="clear" w:color="auto" w:fill="auto"/>
                  <w:vAlign w:val="center"/>
                </w:tcPr>
                <w:p w14:paraId="3F054033">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1EC6424A">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restart"/>
                  <w:tcBorders>
                    <w:tl2br w:val="nil"/>
                    <w:tr2bl w:val="nil"/>
                  </w:tcBorders>
                  <w:vAlign w:val="center"/>
                </w:tcPr>
                <w:p w14:paraId="002DD050">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2025.11.8</w:t>
                  </w:r>
                </w:p>
              </w:tc>
              <w:tc>
                <w:tcPr>
                  <w:tcW w:w="1833" w:type="pct"/>
                  <w:tcBorders>
                    <w:tl2br w:val="nil"/>
                    <w:tr2bl w:val="nil"/>
                  </w:tcBorders>
                  <w:vAlign w:val="center"/>
                </w:tcPr>
                <w:p w14:paraId="3E40BA8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1#厂界东侧1m</w:t>
                  </w:r>
                </w:p>
              </w:tc>
              <w:tc>
                <w:tcPr>
                  <w:tcW w:w="1162" w:type="pct"/>
                  <w:tcBorders>
                    <w:tl2br w:val="nil"/>
                    <w:tr2bl w:val="nil"/>
                  </w:tcBorders>
                  <w:shd w:val="clear" w:color="auto" w:fill="auto"/>
                  <w:vAlign w:val="center"/>
                </w:tcPr>
                <w:p w14:paraId="5EFC705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52</w:t>
                  </w:r>
                </w:p>
              </w:tc>
              <w:tc>
                <w:tcPr>
                  <w:tcW w:w="1164" w:type="pct"/>
                  <w:tcBorders>
                    <w:tl2br w:val="nil"/>
                    <w:tr2bl w:val="nil"/>
                  </w:tcBorders>
                  <w:shd w:val="clear" w:color="auto" w:fill="auto"/>
                  <w:vAlign w:val="center"/>
                </w:tcPr>
                <w:p w14:paraId="48AF1F6B">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4B769622">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4983E3C7">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652512BD">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2#厂界南侧1m</w:t>
                  </w:r>
                </w:p>
              </w:tc>
              <w:tc>
                <w:tcPr>
                  <w:tcW w:w="1162" w:type="pct"/>
                  <w:tcBorders>
                    <w:tl2br w:val="nil"/>
                    <w:tr2bl w:val="nil"/>
                  </w:tcBorders>
                  <w:shd w:val="clear" w:color="auto" w:fill="auto"/>
                  <w:vAlign w:val="center"/>
                </w:tcPr>
                <w:p w14:paraId="6B83AB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53</w:t>
                  </w:r>
                </w:p>
              </w:tc>
              <w:tc>
                <w:tcPr>
                  <w:tcW w:w="1164" w:type="pct"/>
                  <w:tcBorders>
                    <w:tl2br w:val="nil"/>
                    <w:tr2bl w:val="nil"/>
                  </w:tcBorders>
                  <w:shd w:val="clear" w:color="auto" w:fill="auto"/>
                  <w:vAlign w:val="center"/>
                </w:tcPr>
                <w:p w14:paraId="20BADC1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39</w:t>
                  </w:r>
                </w:p>
              </w:tc>
            </w:tr>
            <w:tr w14:paraId="4654712B">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278C0F4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06A11805">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3#厂界西侧1m</w:t>
                  </w:r>
                </w:p>
              </w:tc>
              <w:tc>
                <w:tcPr>
                  <w:tcW w:w="1162" w:type="pct"/>
                  <w:tcBorders>
                    <w:tl2br w:val="nil"/>
                    <w:tr2bl w:val="nil"/>
                  </w:tcBorders>
                  <w:shd w:val="clear" w:color="auto" w:fill="auto"/>
                  <w:vAlign w:val="center"/>
                </w:tcPr>
                <w:p w14:paraId="76D02AE4">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1164" w:type="pct"/>
                  <w:tcBorders>
                    <w:tl2br w:val="nil"/>
                    <w:tr2bl w:val="nil"/>
                  </w:tcBorders>
                  <w:shd w:val="clear" w:color="auto" w:fill="auto"/>
                  <w:vAlign w:val="center"/>
                </w:tcPr>
                <w:p w14:paraId="0809879C">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40</w:t>
                  </w:r>
                </w:p>
              </w:tc>
            </w:tr>
            <w:tr w14:paraId="021994D6">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exact"/>
              </w:trPr>
              <w:tc>
                <w:tcPr>
                  <w:tcW w:w="839" w:type="pct"/>
                  <w:vMerge w:val="continue"/>
                  <w:tcBorders>
                    <w:tl2br w:val="nil"/>
                    <w:tr2bl w:val="nil"/>
                  </w:tcBorders>
                  <w:vAlign w:val="center"/>
                </w:tcPr>
                <w:p w14:paraId="7A8189A9">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p>
              </w:tc>
              <w:tc>
                <w:tcPr>
                  <w:tcW w:w="1833" w:type="pct"/>
                  <w:tcBorders>
                    <w:tl2br w:val="nil"/>
                    <w:tr2bl w:val="nil"/>
                  </w:tcBorders>
                  <w:vAlign w:val="center"/>
                </w:tcPr>
                <w:p w14:paraId="3AB1B008">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4#厂界北侧1m</w:t>
                  </w:r>
                </w:p>
              </w:tc>
              <w:tc>
                <w:tcPr>
                  <w:tcW w:w="1162" w:type="pct"/>
                  <w:tcBorders>
                    <w:tl2br w:val="nil"/>
                    <w:tr2bl w:val="nil"/>
                  </w:tcBorders>
                  <w:shd w:val="clear" w:color="auto" w:fill="auto"/>
                  <w:vAlign w:val="center"/>
                </w:tcPr>
                <w:p w14:paraId="335669EF">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51</w:t>
                  </w:r>
                </w:p>
              </w:tc>
              <w:tc>
                <w:tcPr>
                  <w:tcW w:w="1164" w:type="pct"/>
                  <w:tcBorders>
                    <w:tl2br w:val="nil"/>
                    <w:tr2bl w:val="nil"/>
                  </w:tcBorders>
                  <w:shd w:val="clear" w:color="auto" w:fill="auto"/>
                  <w:vAlign w:val="center"/>
                </w:tcPr>
                <w:p w14:paraId="2535311E">
                  <w:pPr>
                    <w:keepNext w:val="0"/>
                    <w:keepLines w:val="0"/>
                    <w:pageBreakBefore w:val="0"/>
                    <w:widowControl/>
                    <w:kinsoku/>
                    <w:wordWrap/>
                    <w:overflowPunct/>
                    <w:topLinePunct w:val="0"/>
                    <w:autoSpaceDE/>
                    <w:autoSpaceDN/>
                    <w:bidi w:val="0"/>
                    <w:adjustRightInd w:val="0"/>
                    <w:snapToGrid w:val="0"/>
                    <w:spacing w:after="0" w:line="240" w:lineRule="auto"/>
                    <w:ind w:left="0" w:left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38</w:t>
                  </w:r>
                </w:p>
              </w:tc>
            </w:tr>
          </w:tbl>
          <w:p w14:paraId="20B954A5">
            <w:pPr>
              <w:spacing w:after="0" w:line="360" w:lineRule="auto"/>
              <w:ind w:firstLine="480" w:firstLineChars="200"/>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根据上述监测结果：验收监测期间，</w:t>
            </w:r>
            <w:bookmarkStart w:id="20" w:name="_GoBack"/>
            <w:r>
              <w:rPr>
                <w:rFonts w:hint="eastAsia" w:ascii="Times New Roman" w:hAnsi="Times New Roman" w:eastAsia="宋体" w:cs="Times New Roman"/>
                <w:color w:val="000000" w:themeColor="text1"/>
                <w:sz w:val="24"/>
                <w:szCs w:val="24"/>
                <w:lang w:val="en-US" w:eastAsia="zh-CN"/>
                <w14:textFill>
                  <w14:solidFill>
                    <w14:schemeClr w14:val="tx1"/>
                  </w14:solidFill>
                </w14:textFill>
              </w:rPr>
              <w:t>厂界昼间噪声最大值为53dB（A），夜间噪声最大值为40dB（A），厂界四周噪声可满足《工业企业厂界环境噪声排放标准》（GB12348-2008）中2类标准要求。</w:t>
            </w:r>
            <w:bookmarkEnd w:id="20"/>
          </w:p>
          <w:p w14:paraId="6DAA06F4">
            <w:pPr>
              <w:pStyle w:val="9"/>
              <w:rPr>
                <w:rFonts w:hint="default"/>
                <w:lang w:val="en-US" w:eastAsia="zh-CN"/>
              </w:rPr>
            </w:pPr>
          </w:p>
        </w:tc>
      </w:tr>
    </w:tbl>
    <w:p w14:paraId="3294F2A0">
      <w:pPr>
        <w:pStyle w:val="24"/>
        <w:ind w:left="0" w:leftChars="0" w:firstLine="0" w:firstLineChars="0"/>
        <w:outlineLvl w:val="9"/>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03F8D9E8">
      <w:pPr>
        <w:spacing w:after="0" w:line="360" w:lineRule="auto"/>
        <w:outlineLvl w:val="0"/>
        <w:rPr>
          <w:rFonts w:hint="default"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b/>
          <w:color w:val="000000"/>
          <w:sz w:val="24"/>
          <w:szCs w:val="24"/>
        </w:rPr>
        <w:t>表八</w:t>
      </w:r>
      <w:r>
        <w:rPr>
          <w:rFonts w:hint="eastAsia" w:asciiTheme="minorEastAsia" w:hAnsiTheme="minorEastAsia" w:eastAsiaTheme="minorEastAsia" w:cstheme="minorEastAsia"/>
          <w:b/>
          <w:color w:val="000000"/>
          <w:sz w:val="24"/>
          <w:szCs w:val="24"/>
          <w:lang w:val="en-US" w:eastAsia="zh-CN"/>
        </w:rPr>
        <w:t xml:space="preserve">  验收监测结论</w:t>
      </w:r>
    </w:p>
    <w:tbl>
      <w:tblPr>
        <w:tblStyle w:val="10"/>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20688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2" w:hRule="atLeast"/>
          <w:jc w:val="center"/>
        </w:trPr>
        <w:tc>
          <w:tcPr>
            <w:tcW w:w="8880" w:type="dxa"/>
          </w:tcPr>
          <w:p w14:paraId="78BE27BD">
            <w:pPr>
              <w:spacing w:after="0"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验收监测结论：</w:t>
            </w:r>
          </w:p>
          <w:p w14:paraId="35ED9874">
            <w:pPr>
              <w:spacing w:after="0" w:line="360" w:lineRule="auto"/>
              <w:ind w:firstLine="480" w:firstLineChars="200"/>
              <w:rPr>
                <w:rFonts w:hint="default" w:ascii="Times New Roman" w:hAnsi="Times New Roman" w:eastAsia="宋体" w:cs="Times New Roman"/>
                <w:color w:val="000000" w:themeColor="text1"/>
                <w:sz w:val="24"/>
                <w:szCs w:val="24"/>
                <w14:textFill>
                  <w14:solidFill>
                    <w14:schemeClr w14:val="tx1"/>
                  </w14:solidFill>
                </w14:textFill>
              </w:rPr>
            </w:pPr>
            <w:bookmarkStart w:id="19" w:name="_Toc20878"/>
            <w:r>
              <w:rPr>
                <w:rFonts w:hint="eastAsia" w:ascii="宋体" w:hAnsi="宋体" w:eastAsia="宋体" w:cs="宋体"/>
                <w:color w:val="000000" w:themeColor="text1"/>
                <w:sz w:val="24"/>
                <w:szCs w:val="24"/>
                <w:lang w:eastAsia="zh-CN"/>
                <w14:textFill>
                  <w14:solidFill>
                    <w14:schemeClr w14:val="tx1"/>
                  </w14:solidFill>
                </w14:textFill>
              </w:rPr>
              <w:t>长春名玺报废汽车回收拆解有限公司</w:t>
            </w:r>
            <w:r>
              <w:rPr>
                <w:rFonts w:hint="default" w:ascii="Times New Roman" w:hAnsi="Times New Roman" w:eastAsia="宋体" w:cs="Times New Roman"/>
                <w:color w:val="000000" w:themeColor="text1"/>
                <w:sz w:val="24"/>
                <w:szCs w:val="24"/>
                <w14:textFill>
                  <w14:solidFill>
                    <w14:schemeClr w14:val="tx1"/>
                  </w14:solidFill>
                </w14:textFill>
              </w:rPr>
              <w:t>于202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highlight w:val="none"/>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进行了现场咨询和调查，经认真分析研究，确定了本项目竣工环保验收监测的点位、因子、频次和环境管理检查的内容。202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7</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1</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日</w:t>
            </w:r>
            <w:r>
              <w:rPr>
                <w:rFonts w:hint="default" w:ascii="Times New Roman" w:hAnsi="Times New Roman" w:eastAsia="宋体" w:cs="Times New Roman"/>
                <w:color w:val="000000" w:themeColor="text1"/>
                <w:sz w:val="24"/>
                <w:szCs w:val="24"/>
                <w14:textFill>
                  <w14:solidFill>
                    <w14:schemeClr w14:val="tx1"/>
                  </w14:solidFill>
                </w14:textFill>
              </w:rPr>
              <w:t>委托</w:t>
            </w:r>
            <w:r>
              <w:rPr>
                <w:rFonts w:hint="eastAsia" w:ascii="宋体" w:hAnsi="宋体" w:eastAsia="宋体" w:cs="宋体"/>
                <w:color w:val="000000" w:themeColor="text1"/>
                <w:sz w:val="24"/>
                <w:szCs w:val="24"/>
                <w:lang w:val="en-US" w:eastAsia="zh-CN"/>
                <w14:textFill>
                  <w14:solidFill>
                    <w14:schemeClr w14:val="tx1"/>
                  </w14:solidFill>
                </w14:textFill>
              </w:rPr>
              <w:t>吉林省中孚检测技术服务有限公司</w:t>
            </w:r>
            <w:r>
              <w:rPr>
                <w:rFonts w:hint="default" w:ascii="Times New Roman" w:hAnsi="Times New Roman" w:eastAsia="宋体" w:cs="Times New Roman"/>
                <w:color w:val="000000" w:themeColor="text1"/>
                <w:sz w:val="24"/>
                <w:szCs w:val="24"/>
                <w14:textFill>
                  <w14:solidFill>
                    <w14:schemeClr w14:val="tx1"/>
                  </w14:solidFill>
                </w14:textFill>
              </w:rPr>
              <w:t>进行了现场取样监测。通过对该建设项目环境保护工作的执行情况进行的全面检查，并根据验收检查和监测结果编制了本报告。验收结论如下：</w:t>
            </w:r>
          </w:p>
          <w:p w14:paraId="1CA2FE7E">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1、废水</w:t>
            </w:r>
          </w:p>
          <w:p w14:paraId="2869B878">
            <w:pPr>
              <w:spacing w:after="0" w:line="360" w:lineRule="auto"/>
              <w:ind w:firstLine="480" w:firstLineChars="200"/>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本项目产生的废水主要包括职工生活污水、地面清洁废水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以及</w:t>
            </w:r>
            <w:r>
              <w:rPr>
                <w:rFonts w:hint="default" w:ascii="Times New Roman" w:hAnsi="Times New Roman" w:eastAsia="宋体" w:cs="Times New Roman"/>
                <w:color w:val="000000" w:themeColor="text1"/>
                <w:sz w:val="24"/>
                <w:szCs w:val="24"/>
                <w14:textFill>
                  <w14:solidFill>
                    <w14:schemeClr w14:val="tx1"/>
                  </w14:solidFill>
                </w14:textFill>
              </w:rPr>
              <w:t>贮存区域的初期雨水。厂区实现雨污分流，地面清洁废水与贮存区域的初期雨水</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排入</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75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初期雨水池中，</w:t>
            </w:r>
            <w:r>
              <w:rPr>
                <w:rFonts w:hint="default" w:ascii="Times New Roman" w:hAnsi="Times New Roman" w:eastAsia="宋体" w:cs="Times New Roman"/>
                <w:color w:val="000000" w:themeColor="text1"/>
                <w:sz w:val="24"/>
                <w:szCs w:val="24"/>
                <w14:textFill>
                  <w14:solidFill>
                    <w14:schemeClr w14:val="tx1"/>
                  </w14:solidFill>
                </w14:textFill>
              </w:rPr>
              <w:t>经</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隔油+沉淀</w:t>
            </w:r>
            <w:r>
              <w:rPr>
                <w:rFonts w:hint="default" w:ascii="Times New Roman" w:hAnsi="Times New Roman" w:eastAsia="宋体" w:cs="Times New Roman"/>
                <w:color w:val="000000" w:themeColor="text1"/>
                <w:sz w:val="24"/>
                <w:szCs w:val="24"/>
                <w14:textFill>
                  <w14:solidFill>
                    <w14:schemeClr w14:val="tx1"/>
                  </w14:solidFill>
                </w14:textFill>
              </w:rPr>
              <w:t>处理后，与生活污水一起排入市政</w:t>
            </w:r>
            <w:r>
              <w:rPr>
                <w:rFonts w:hint="default" w:ascii="Times New Roman" w:hAnsi="Times New Roman" w:eastAsia="宋体" w:cs="Times New Roman"/>
                <w:color w:val="000000" w:themeColor="text1"/>
                <w:sz w:val="24"/>
                <w:szCs w:val="24"/>
                <w:lang w:eastAsia="zh-CN"/>
                <w14:textFill>
                  <w14:solidFill>
                    <w14:schemeClr w14:val="tx1"/>
                  </w14:solidFill>
                </w14:textFill>
              </w:rPr>
              <w:t>污水管网</w:t>
            </w:r>
            <w:r>
              <w:rPr>
                <w:rFonts w:hint="default" w:ascii="Times New Roman" w:hAnsi="Times New Roman" w:eastAsia="宋体" w:cs="Times New Roman"/>
                <w:sz w:val="24"/>
                <w:szCs w:val="24"/>
                <w:lang w:val="en-US" w:eastAsia="zh-CN"/>
              </w:rPr>
              <w:t>。经检测结果可知，</w:t>
            </w:r>
            <w:r>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t>废水满足</w:t>
            </w:r>
            <w:r>
              <w:rPr>
                <w:rFonts w:hint="default" w:ascii="Times New Roman" w:hAnsi="Times New Roman" w:eastAsia="宋体" w:cs="Times New Roman"/>
                <w:color w:val="000000" w:themeColor="text1"/>
                <w:sz w:val="24"/>
                <w:szCs w:val="24"/>
                <w14:textFill>
                  <w14:solidFill>
                    <w14:schemeClr w14:val="tx1"/>
                  </w14:solidFill>
                </w14:textFill>
              </w:rPr>
              <w:t>《污水综合排放标准》（GB8978-1996）中三级标准</w:t>
            </w:r>
            <w:r>
              <w:rPr>
                <w:rFonts w:hint="default" w:ascii="Times New Roman" w:hAnsi="Times New Roman" w:eastAsia="宋体" w:cs="Times New Roman"/>
                <w:b w:val="0"/>
                <w:bCs w:val="0"/>
                <w:color w:val="000000" w:themeColor="text1"/>
                <w:kern w:val="2"/>
                <w:sz w:val="24"/>
                <w:szCs w:val="24"/>
                <w:u w:val="none"/>
                <w:lang w:val="zh-CN" w:eastAsia="zh-CN"/>
                <w14:textFill>
                  <w14:solidFill>
                    <w14:schemeClr w14:val="tx1"/>
                  </w14:solidFill>
                </w14:textFill>
              </w:rPr>
              <w:t>要求</w:t>
            </w:r>
            <w:r>
              <w:rPr>
                <w:rFonts w:hint="default" w:ascii="Times New Roman" w:hAnsi="Times New Roman" w:eastAsia="宋体" w:cs="Times New Roman"/>
                <w:b w:val="0"/>
                <w:bCs w:val="0"/>
                <w:color w:val="000000" w:themeColor="text1"/>
                <w:kern w:val="2"/>
                <w:sz w:val="24"/>
                <w:szCs w:val="24"/>
                <w:u w:val="none"/>
                <w:lang w:val="en-US" w:eastAsia="zh-CN"/>
                <w14:textFill>
                  <w14:solidFill>
                    <w14:schemeClr w14:val="tx1"/>
                  </w14:solidFill>
                </w14:textFill>
              </w:rPr>
              <w:t>。</w:t>
            </w:r>
          </w:p>
          <w:p w14:paraId="3824378F">
            <w:pPr>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2、废气</w:t>
            </w:r>
          </w:p>
          <w:p w14:paraId="5A6C754F">
            <w:pPr>
              <w:spacing w:after="0" w:line="360" w:lineRule="auto"/>
              <w:ind w:firstLine="480" w:firstLineChars="200"/>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color w:val="auto"/>
                <w:kern w:val="2"/>
                <w:sz w:val="24"/>
                <w:szCs w:val="24"/>
                <w:lang w:val="en-US" w:eastAsia="zh-CN"/>
              </w:rPr>
              <w:t>本项目产生的废气主要为拆解预处理、废油液抽取工序产生的有机废气、精拆、等离子切割、打包、压块等工</w:t>
            </w:r>
            <w:r>
              <w:rPr>
                <w:rFonts w:hint="eastAsia" w:ascii="Times New Roman" w:hAnsi="Times New Roman" w:eastAsia="宋体" w:cs="Times New Roman"/>
                <w:color w:val="auto"/>
                <w:kern w:val="2"/>
                <w:sz w:val="24"/>
                <w:szCs w:val="24"/>
                <w:lang w:val="en-US" w:eastAsia="zh-CN"/>
              </w:rPr>
              <w:t>序产生的颗粒物以及危废暂存间产生的废气。</w:t>
            </w:r>
            <w:r>
              <w:rPr>
                <w:rFonts w:hint="eastAsia" w:ascii="Times New Roman" w:hAnsi="Times New Roman" w:eastAsia="宋体" w:cs="Times New Roman"/>
                <w:color w:val="000000"/>
                <w:kern w:val="0"/>
                <w:sz w:val="24"/>
                <w:szCs w:val="24"/>
                <w:u w:val="none"/>
                <w:lang w:val="en-US" w:eastAsia="zh-CN"/>
              </w:rPr>
              <w:t>精拆、剪切、切割、打包压块过程产生的颗粒物经集气罩进行收集（收集效率80%）；拆解预处理、废油液抽取工序产生的有机废气非甲烷总烃经集气罩收集；危废暂存间产生的有机废气通过负压收集（收集效率90%）；危废暂存间内破损铅蓄电池产生的硫酸雾、铅及其化合物经负压收集（收集效率90%）+防酸滤铅网处理（处理效率80%），一并经车间外一套袋式除尘设备（处理效率95%）+二级活性炭吸附装置（处理效率80%）处理后，通过15m高排气筒DA001排放</w:t>
            </w:r>
            <w:r>
              <w:rPr>
                <w:rFonts w:hint="eastAsia" w:ascii="Times New Roman" w:hAnsi="Times New Roman" w:eastAsia="宋体" w:cs="Times New Roman"/>
                <w:color w:val="auto"/>
                <w:kern w:val="2"/>
                <w:sz w:val="24"/>
                <w:szCs w:val="24"/>
                <w:lang w:val="en-US" w:eastAsia="zh-CN"/>
              </w:rPr>
              <w:t>。</w:t>
            </w:r>
          </w:p>
          <w:p w14:paraId="5D4B5DAE">
            <w:pPr>
              <w:spacing w:after="0" w:line="360" w:lineRule="auto"/>
              <w:ind w:firstLine="480" w:firstLineChars="200"/>
              <w:jc w:val="both"/>
              <w:rPr>
                <w:rFonts w:hint="default" w:ascii="Times New Roman" w:hAnsi="Times New Roman" w:eastAsia="宋体" w:cs="Times New Roman"/>
                <w:color w:val="FF0000"/>
                <w:sz w:val="24"/>
                <w:szCs w:val="24"/>
                <w:lang w:val="en-US" w:eastAsia="zh-CN"/>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经检测结果可知，</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有组织废气中非甲烷总烃最大排放浓度为5.</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18</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，排放速率为0.02</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4</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kg/h；颗粒物最大排放浓度为23.</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1</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pacing w:val="-2"/>
                <w:kern w:val="2"/>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，排放速率为0.11</w:t>
            </w:r>
            <w:r>
              <w:rPr>
                <w:rFonts w:hint="eastAsia" w:ascii="Times New Roman" w:hAnsi="Times New Roman" w:eastAsia="宋体" w:cs="Times New Roman"/>
                <w:color w:val="000000" w:themeColor="text1"/>
                <w:spacing w:val="-2"/>
                <w:kern w:val="2"/>
                <w:sz w:val="24"/>
                <w:szCs w:val="24"/>
                <w:lang w:val="en-US" w:eastAsia="zh-CN"/>
                <w14:textFill>
                  <w14:solidFill>
                    <w14:schemeClr w14:val="tx1"/>
                  </w14:solidFill>
                </w14:textFill>
              </w:rPr>
              <w:t>0</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kg/h；硫酸雾、铅及其化合物均未检出，满足《大气污染物综合排放标准》（GB16297-1996）中二级标准</w:t>
            </w:r>
            <w:r>
              <w:rPr>
                <w:rFonts w:hint="default" w:ascii="Times New Roman" w:hAnsi="Times New Roman" w:eastAsia="宋体" w:cs="Times New Roman"/>
                <w:color w:val="000000" w:themeColor="text1"/>
                <w:spacing w:val="-2"/>
                <w:kern w:val="2"/>
                <w:sz w:val="24"/>
                <w:szCs w:val="24"/>
                <w:lang w:val="zh-CN" w:eastAsia="zh-CN"/>
                <w14:textFill>
                  <w14:solidFill>
                    <w14:schemeClr w14:val="tx1"/>
                  </w14:solidFill>
                </w14:textFill>
              </w:rPr>
              <w:t>限值要求</w:t>
            </w:r>
            <w:r>
              <w:rPr>
                <w:rFonts w:hint="default" w:ascii="Times New Roman" w:hAnsi="Times New Roman" w:eastAsia="宋体" w:cs="Times New Roman"/>
                <w:color w:val="000000" w:themeColor="text1"/>
                <w:spacing w:val="-2"/>
                <w:kern w:val="2"/>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厂界无组织废气中颗粒物最大排放浓度为0.2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32</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硫酸雾、铅及其化合物均未检出</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，满足《大气污染物综合排放标准》（GB16297-1996）中无组织排放标准要求</w:t>
            </w:r>
            <w:r>
              <w:rPr>
                <w:rFonts w:hint="default" w:ascii="Times New Roman" w:hAnsi="Times New Roman" w:eastAsia="宋体" w:cs="Times New Roman"/>
                <w:color w:val="000000" w:themeColor="text1"/>
                <w:sz w:val="24"/>
                <w:szCs w:val="24"/>
                <w:lang w:val="zh-CN" w:eastAsia="zh-CN"/>
                <w14:textFill>
                  <w14:solidFill>
                    <w14:schemeClr w14:val="tx1"/>
                  </w14:solidFill>
                </w14:textFill>
              </w:rPr>
              <w:t>；</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厂区内部车间外非甲烷总烃最大排放浓度为0.2</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mg/m</w:t>
            </w:r>
            <w:r>
              <w:rPr>
                <w:rFonts w:hint="default" w:ascii="Times New Roman" w:hAnsi="Times New Roman" w:eastAsia="宋体" w:cs="Times New Roman"/>
                <w:color w:val="000000" w:themeColor="text1"/>
                <w:sz w:val="24"/>
                <w:szCs w:val="24"/>
                <w:vertAlign w:val="superscript"/>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，满足《挥发性有机物无组织排放控制标准》（GB37822-2019）中特别排放限值要求。</w:t>
            </w:r>
          </w:p>
          <w:p w14:paraId="1DCED5B0">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3、噪声</w:t>
            </w:r>
          </w:p>
          <w:p w14:paraId="78D08132">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color w:val="000000" w:themeColor="text1"/>
                <w:sz w:val="24"/>
                <w:szCs w:val="24"/>
                <w14:textFill>
                  <w14:solidFill>
                    <w14:schemeClr w14:val="tx1"/>
                  </w14:solidFill>
                </w14:textFill>
              </w:rPr>
              <w:t>验收监测期间，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厂界昼间噪声最大值为53dB（A），夜间噪声最大值为40dB（A），厂界四周噪声可满足《工业企业厂界环境噪声排放标准》（GB12348-2008）中2类标准要求。</w:t>
            </w:r>
          </w:p>
          <w:p w14:paraId="0158AFC3">
            <w:pPr>
              <w:spacing w:after="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4、固体废物</w:t>
            </w:r>
          </w:p>
          <w:p w14:paraId="2FAF954E">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本项目固体废物包括一般固体废物、危险废物和生活垃圾。</w:t>
            </w:r>
          </w:p>
          <w:p w14:paraId="23A95B47">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一般固体废物：</w:t>
            </w:r>
            <w:r>
              <w:rPr>
                <w:rFonts w:hint="eastAsia" w:ascii="Times New Roman" w:hAnsi="Times New Roman" w:eastAsia="宋体" w:cs="Times New Roman"/>
                <w:b w:val="0"/>
                <w:bCs w:val="0"/>
                <w:i w:val="0"/>
                <w:iCs w:val="0"/>
                <w:color w:val="auto"/>
                <w:kern w:val="2"/>
                <w:sz w:val="24"/>
                <w:szCs w:val="24"/>
                <w:u w:val="none" w:color="auto"/>
                <w:lang w:val="en-US" w:eastAsia="zh-CN" w:bidi="ar-SA"/>
              </w:rPr>
              <w:t>废制冷剂、废安全气囊（引爆后）、废旧动力蓄电池、废弃车用电子零部件、海绵及座椅材料、内饰材料、安全带及相关纺织品、轻质物料、不可利用</w:t>
            </w:r>
            <w:r>
              <w:rPr>
                <w:rFonts w:hint="eastAsia" w:ascii="Times New Roman" w:hAnsi="Times New Roman" w:eastAsia="宋体" w:cs="Times New Roman"/>
                <w:b w:val="0"/>
                <w:bCs w:val="0"/>
                <w:i w:val="0"/>
                <w:iCs w:val="0"/>
                <w:color w:val="000000"/>
                <w:kern w:val="2"/>
                <w:sz w:val="24"/>
                <w:szCs w:val="24"/>
                <w:u w:val="none" w:color="auto"/>
                <w:lang w:val="en-US" w:eastAsia="zh-CN" w:bidi="ar-SA"/>
              </w:rPr>
              <w:t>废物（包含拆解过程中产生的无法分离回收利用的碎橡胶、碎塑料、碎玻璃以及其它不可利用垃圾等）、布袋除尘器收集粉尘及废布袋</w:t>
            </w:r>
            <w:r>
              <w:rPr>
                <w:rFonts w:hint="eastAsia" w:ascii="Times New Roman" w:hAnsi="Times New Roman" w:eastAsia="宋体" w:cs="Times New Roman"/>
                <w:color w:val="auto"/>
                <w:kern w:val="2"/>
                <w:sz w:val="24"/>
                <w:szCs w:val="20"/>
                <w:lang w:val="en-US" w:eastAsia="zh-CN"/>
              </w:rPr>
              <w:t>；</w:t>
            </w:r>
          </w:p>
          <w:p w14:paraId="663EDF01">
            <w:pPr>
              <w:widowControl w:val="0"/>
              <w:adjustRightInd/>
              <w:snapToGrid/>
              <w:spacing w:after="0" w:line="360" w:lineRule="auto"/>
              <w:ind w:firstLine="480" w:firstLineChars="200"/>
              <w:jc w:val="both"/>
              <w:rPr>
                <w:rFonts w:hint="default"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危险废物：主要包括废有机溶剂与含有机溶剂废物、废矿物油与含矿物油废物、废尾气催化剂、废电路板、含汞废物、废铅酸蓄电池、浮油、浮渣和油泥、废活性炭、废防酸滤铅网、发生铅蓄电池破损时产生的铅尘、沾染油污的手套、抹布。</w:t>
            </w:r>
          </w:p>
          <w:p w14:paraId="4D6CC092">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本项目产生的废制冷剂采用密闭专用容器收集，暂存于一般工业固体废物贮存区，定期交由具有相应资质的单位利用和处置；废旧动力蓄电池暂存于动力蓄电池贮存区内，定期交售给新能源汽车生产企业建立的动力蓄电池回收服务网点，或符合国家对动力蓄电池梯次利用管理有关要求的梯次利用企业，或者从事废旧动力蓄电池综合利用的企业处置；废弃车用电子零部件分类收集暂存于一般工业固体废物贮存区，定期交由具有相应废弃电器产品处理资格企业、电子废物拆解利用处置单位名录内企业处置；废安全气囊（引爆后）、海绵及座椅材料、内饰材料、安全带及相关纺织品及轻质物料分类收集暂存于一般工业固体废物贮存区，定期交由相应处理能力或经营范围的单位利用和处置；不可利用废物、布袋除尘器收集粉尘袋装，暂存于一般工业固体废物贮存区，定期交由环卫部门统一处理；废布袋定期更换，由厂家回收处理。职工生活垃圾暂存于垃圾箱内，定期交由环卫部门统一处理。废有机溶剂与含有机溶剂废物（风窗玻璃清洗液、防冻液和动力电池冷却液等）、废矿物油与含矿物油废物（汽油、柴油、发动机机油、液压油、润滑油、机油过滤器等）、废尾气催化剂、废电路板、含汞废物、废铅酸蓄电池、浮油、浮渣和油泥、废活性炭、废防酸滤铅网、发生铅蓄电池破损时产生的铅尘及沾染油污的手套和抹布分类收集，暂存于危险废物贮存库，定期交由持有相应类别危险废物经营许可证的单位处理。不会造成二次污染。</w:t>
            </w:r>
          </w:p>
          <w:p w14:paraId="0689359B">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5、综合验收结论</w:t>
            </w:r>
          </w:p>
          <w:p w14:paraId="39FD68B7">
            <w:pPr>
              <w:widowControl w:val="0"/>
              <w:adjustRightInd/>
              <w:snapToGrid/>
              <w:spacing w:after="0" w:line="360" w:lineRule="auto"/>
              <w:ind w:firstLine="480" w:firstLineChars="200"/>
              <w:jc w:val="both"/>
              <w:rPr>
                <w:rFonts w:hint="eastAsia" w:ascii="Times New Roman" w:hAnsi="Times New Roman" w:eastAsia="宋体" w:cs="Times New Roman"/>
                <w:color w:val="auto"/>
                <w:kern w:val="2"/>
                <w:sz w:val="24"/>
                <w:szCs w:val="20"/>
                <w:lang w:val="en-US" w:eastAsia="zh-CN"/>
              </w:rPr>
            </w:pPr>
            <w:r>
              <w:rPr>
                <w:rFonts w:hint="eastAsia" w:ascii="Times New Roman" w:hAnsi="Times New Roman" w:eastAsia="宋体" w:cs="Times New Roman"/>
                <w:color w:val="auto"/>
                <w:kern w:val="2"/>
                <w:sz w:val="24"/>
                <w:szCs w:val="20"/>
                <w:lang w:val="en-US" w:eastAsia="zh-CN"/>
              </w:rPr>
              <w:t>经现场踏勘，</w:t>
            </w:r>
            <w:r>
              <w:rPr>
                <w:rFonts w:hint="eastAsia" w:ascii="宋体" w:hAnsi="宋体" w:eastAsia="宋体" w:cs="宋体"/>
                <w:sz w:val="24"/>
                <w:szCs w:val="24"/>
                <w:lang w:eastAsia="zh-CN"/>
              </w:rPr>
              <w:t>长春名玺报废汽车回收拆解有限公司建设项目</w:t>
            </w:r>
            <w:r>
              <w:rPr>
                <w:rFonts w:hint="eastAsia" w:ascii="Times New Roman" w:hAnsi="Times New Roman" w:eastAsia="宋体" w:cs="Times New Roman"/>
                <w:color w:val="auto"/>
                <w:kern w:val="2"/>
                <w:sz w:val="24"/>
                <w:szCs w:val="20"/>
                <w:lang w:val="en-US" w:eastAsia="zh-CN"/>
              </w:rPr>
              <w:t>落实了《关于</w:t>
            </w:r>
            <w:r>
              <w:rPr>
                <w:rFonts w:hint="eastAsia" w:ascii="宋体" w:hAnsi="宋体" w:eastAsia="宋体" w:cs="宋体"/>
                <w:sz w:val="24"/>
                <w:szCs w:val="24"/>
                <w:lang w:eastAsia="zh-CN"/>
              </w:rPr>
              <w:t>长春名玺报废汽车回收拆解有限公司建设项目</w:t>
            </w:r>
            <w:r>
              <w:rPr>
                <w:rFonts w:hint="eastAsia" w:ascii="Times New Roman" w:hAnsi="Times New Roman" w:eastAsia="宋体" w:cs="Times New Roman"/>
                <w:color w:val="auto"/>
                <w:kern w:val="2"/>
                <w:sz w:val="24"/>
                <w:szCs w:val="20"/>
                <w:lang w:val="en-US" w:eastAsia="zh-CN"/>
              </w:rPr>
              <w:t>环境影响评价报告表的批复》（长环建（表）〔2025〕11号）中的相关要求，执行了国家建设项目“三同时”等环保管理规定。环保工作由专门人员负责，制定了环保规章制度，执行情况较好，环保档案较齐全，环境保护设施运行正常。</w:t>
            </w:r>
          </w:p>
          <w:p w14:paraId="3E2EA5B9">
            <w:pPr>
              <w:widowControl w:val="0"/>
              <w:adjustRightInd/>
              <w:snapToGrid/>
              <w:spacing w:after="0" w:line="360" w:lineRule="auto"/>
              <w:ind w:firstLine="480" w:firstLineChars="200"/>
              <w:jc w:val="both"/>
              <w:rPr>
                <w:rFonts w:asciiTheme="minorEastAsia" w:hAnsiTheme="minorEastAsia" w:eastAsiaTheme="minorEastAsia" w:cstheme="minorEastAsia"/>
                <w:color w:val="000000"/>
                <w:kern w:val="2"/>
                <w:sz w:val="15"/>
                <w:szCs w:val="15"/>
              </w:rPr>
            </w:pPr>
            <w:r>
              <w:rPr>
                <w:rFonts w:hint="eastAsia" w:ascii="Times New Roman" w:hAnsi="Times New Roman" w:eastAsia="宋体" w:cs="Times New Roman"/>
                <w:color w:val="auto"/>
                <w:kern w:val="2"/>
                <w:sz w:val="24"/>
                <w:szCs w:val="20"/>
                <w:lang w:val="en-US" w:eastAsia="zh-CN"/>
              </w:rPr>
              <w:t>本项目各项污染防治措施均已落实，各项污染物监测结果均满足相关标准要求，具备竣工环保验收条件。</w:t>
            </w:r>
            <w:bookmarkEnd w:id="19"/>
          </w:p>
        </w:tc>
      </w:tr>
    </w:tbl>
    <w:p w14:paraId="45E26A3A"/>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昆仑仿宋">
    <w:altName w:val="仿宋"/>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377B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C17AB7">
                          <w:pPr>
                            <w:pStyle w:val="6"/>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AC17AB7">
                    <w:pPr>
                      <w:pStyle w:val="6"/>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683E30"/>
    <w:rsid w:val="00172E78"/>
    <w:rsid w:val="03451AAA"/>
    <w:rsid w:val="04A0202B"/>
    <w:rsid w:val="0A065192"/>
    <w:rsid w:val="0AE660AA"/>
    <w:rsid w:val="10044A9B"/>
    <w:rsid w:val="101E6836"/>
    <w:rsid w:val="12D2165B"/>
    <w:rsid w:val="13A97E33"/>
    <w:rsid w:val="13FB74C0"/>
    <w:rsid w:val="144F1B59"/>
    <w:rsid w:val="14E30398"/>
    <w:rsid w:val="19F63BBB"/>
    <w:rsid w:val="1DA90A2F"/>
    <w:rsid w:val="1F590731"/>
    <w:rsid w:val="20711CD8"/>
    <w:rsid w:val="211B39F2"/>
    <w:rsid w:val="24606F6E"/>
    <w:rsid w:val="269A4D60"/>
    <w:rsid w:val="27AB3D22"/>
    <w:rsid w:val="27BF77CD"/>
    <w:rsid w:val="2AFE2ED0"/>
    <w:rsid w:val="307153DD"/>
    <w:rsid w:val="34B561E0"/>
    <w:rsid w:val="35245113"/>
    <w:rsid w:val="35412913"/>
    <w:rsid w:val="35691A8E"/>
    <w:rsid w:val="364517E5"/>
    <w:rsid w:val="3E03183E"/>
    <w:rsid w:val="3F702BA8"/>
    <w:rsid w:val="41410DFB"/>
    <w:rsid w:val="4352109E"/>
    <w:rsid w:val="438D7C61"/>
    <w:rsid w:val="4DD03C33"/>
    <w:rsid w:val="4F343D4D"/>
    <w:rsid w:val="5032028D"/>
    <w:rsid w:val="53560E04"/>
    <w:rsid w:val="542B01C4"/>
    <w:rsid w:val="5D177188"/>
    <w:rsid w:val="60082DB8"/>
    <w:rsid w:val="6518584B"/>
    <w:rsid w:val="65B55790"/>
    <w:rsid w:val="669E73E8"/>
    <w:rsid w:val="66A97C74"/>
    <w:rsid w:val="69683E30"/>
    <w:rsid w:val="6C095D7A"/>
    <w:rsid w:val="6C825E12"/>
    <w:rsid w:val="6C9879C6"/>
    <w:rsid w:val="7064403B"/>
    <w:rsid w:val="709A7A5C"/>
    <w:rsid w:val="79F26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qFormat="1" w:unhideWhenUsed="0" w:uiPriority="99"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2"/>
      <w:szCs w:val="32"/>
      <w:lang w:val="en-US" w:eastAsia="en-US" w:bidi="ar-SA"/>
    </w:rPr>
  </w:style>
  <w:style w:type="paragraph" w:styleId="4">
    <w:name w:val="Plain Text"/>
    <w:basedOn w:val="1"/>
    <w:next w:val="1"/>
    <w:qFormat/>
    <w:uiPriority w:val="0"/>
    <w:rPr>
      <w:rFonts w:ascii="宋体" w:hAnsi="Courier New"/>
      <w:kern w:val="11"/>
    </w:rPr>
  </w:style>
  <w:style w:type="paragraph" w:styleId="5">
    <w:name w:val="Balloon Text"/>
    <w:basedOn w:val="1"/>
    <w:qFormat/>
    <w:uiPriority w:val="0"/>
    <w:rPr>
      <w:kern w:val="0"/>
      <w:sz w:val="18"/>
      <w:szCs w:val="20"/>
    </w:rPr>
  </w:style>
  <w:style w:type="paragraph" w:styleId="6">
    <w:name w:val="footer"/>
    <w:basedOn w:val="1"/>
    <w:qFormat/>
    <w:uiPriority w:val="0"/>
    <w:pPr>
      <w:tabs>
        <w:tab w:val="center" w:pos="4153"/>
        <w:tab w:val="right" w:pos="8306"/>
      </w:tabs>
    </w:pPr>
    <w:rPr>
      <w:sz w:val="18"/>
      <w:szCs w:val="18"/>
    </w:rPr>
  </w:style>
  <w:style w:type="paragraph" w:styleId="7">
    <w:name w:val="index heading"/>
    <w:basedOn w:val="1"/>
    <w:next w:val="8"/>
    <w:qFormat/>
    <w:uiPriority w:val="99"/>
    <w:rPr>
      <w:szCs w:val="20"/>
    </w:rPr>
  </w:style>
  <w:style w:type="paragraph" w:styleId="8">
    <w:name w:val="index 1"/>
    <w:basedOn w:val="1"/>
    <w:next w:val="1"/>
    <w:unhideWhenUsed/>
    <w:qFormat/>
    <w:uiPriority w:val="0"/>
  </w:style>
  <w:style w:type="paragraph" w:styleId="9">
    <w:name w:val="toc 2"/>
    <w:basedOn w:val="1"/>
    <w:next w:val="1"/>
    <w:semiHidden/>
    <w:qFormat/>
    <w:uiPriority w:val="0"/>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3">
    <w:name w:val="表格"/>
    <w:basedOn w:val="14"/>
    <w:next w:val="1"/>
    <w:qFormat/>
    <w:uiPriority w:val="0"/>
    <w:pPr>
      <w:spacing w:before="40" w:after="40"/>
    </w:pPr>
    <w:rPr>
      <w:rFonts w:hint="eastAsia" w:ascii="昆仑仿宋" w:hAnsi="Times New Roman" w:eastAsia="昆仑仿宋"/>
      <w:sz w:val="24"/>
      <w:szCs w:val="20"/>
    </w:rPr>
  </w:style>
  <w:style w:type="paragraph" w:customStyle="1" w:styleId="14">
    <w:name w:val="表头"/>
    <w:basedOn w:val="15"/>
    <w:next w:val="4"/>
    <w:qFormat/>
    <w:uiPriority w:val="0"/>
    <w:pPr>
      <w:adjustRightInd w:val="0"/>
      <w:spacing w:before="80" w:after="80"/>
      <w:ind w:firstLine="0"/>
      <w:jc w:val="center"/>
      <w:textAlignment w:val="baseline"/>
    </w:pPr>
    <w:rPr>
      <w:rFonts w:ascii="仿宋_GB2312" w:hAnsi="宋体" w:eastAsia="仿宋_GB2312" w:cs="Times New Roman"/>
      <w:kern w:val="0"/>
      <w:szCs w:val="20"/>
    </w:rPr>
  </w:style>
  <w:style w:type="paragraph" w:customStyle="1" w:styleId="15">
    <w:name w:val="内容"/>
    <w:basedOn w:val="1"/>
    <w:qFormat/>
    <w:uiPriority w:val="0"/>
    <w:pPr>
      <w:spacing w:line="360" w:lineRule="auto"/>
      <w:ind w:firstLine="454"/>
    </w:pPr>
    <w:rPr>
      <w:sz w:val="24"/>
    </w:rPr>
  </w:style>
  <w:style w:type="paragraph" w:customStyle="1" w:styleId="16">
    <w:name w:val="晓丹"/>
    <w:basedOn w:val="5"/>
    <w:qFormat/>
    <w:uiPriority w:val="99"/>
  </w:style>
  <w:style w:type="character" w:customStyle="1" w:styleId="17">
    <w:name w:val="font01"/>
    <w:basedOn w:val="12"/>
    <w:qFormat/>
    <w:uiPriority w:val="0"/>
    <w:rPr>
      <w:rFonts w:hint="eastAsia" w:ascii="宋体" w:hAnsi="宋体" w:eastAsia="宋体" w:cs="宋体"/>
      <w:color w:val="000000"/>
      <w:sz w:val="21"/>
      <w:szCs w:val="21"/>
      <w:u w:val="none"/>
    </w:rPr>
  </w:style>
  <w:style w:type="paragraph" w:customStyle="1" w:styleId="18">
    <w:name w:val="博士论文正文"/>
    <w:basedOn w:val="1"/>
    <w:qFormat/>
    <w:uiPriority w:val="0"/>
    <w:pPr>
      <w:snapToGrid w:val="0"/>
      <w:spacing w:before="20" w:beforeLines="20" w:after="20" w:afterLines="20" w:line="360" w:lineRule="auto"/>
      <w:ind w:firstLine="200" w:firstLineChars="200"/>
      <w:contextualSpacing/>
    </w:pPr>
    <w:rPr>
      <w:sz w:val="24"/>
      <w:szCs w:val="24"/>
    </w:rPr>
  </w:style>
  <w:style w:type="paragraph" w:customStyle="1" w:styleId="19">
    <w:name w:val="锅炉正文"/>
    <w:basedOn w:val="1"/>
    <w:qFormat/>
    <w:uiPriority w:val="99"/>
    <w:pPr>
      <w:spacing w:line="360" w:lineRule="auto"/>
      <w:ind w:firstLine="490" w:firstLineChars="204"/>
    </w:pPr>
    <w:rPr>
      <w:rFonts w:ascii="宋体" w:hAnsi="宋体"/>
      <w:kern w:val="0"/>
    </w:rPr>
  </w:style>
  <w:style w:type="paragraph" w:customStyle="1" w:styleId="20">
    <w:name w:val="Default"/>
    <w:basedOn w:val="21"/>
    <w:next w:val="22"/>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1">
    <w:name w:val="纯文本1"/>
    <w:basedOn w:val="1"/>
    <w:qFormat/>
    <w:uiPriority w:val="0"/>
    <w:pPr>
      <w:adjustRightInd w:val="0"/>
    </w:pPr>
    <w:rPr>
      <w:rFonts w:hAnsi="Courier New"/>
      <w:szCs w:val="20"/>
    </w:rPr>
  </w:style>
  <w:style w:type="paragraph" w:customStyle="1" w:styleId="22">
    <w:name w:val="样式1"/>
    <w:basedOn w:val="7"/>
    <w:next w:val="1"/>
    <w:qFormat/>
    <w:uiPriority w:val="0"/>
    <w:pPr>
      <w:spacing w:before="60" w:line="460" w:lineRule="exact"/>
      <w:ind w:firstLine="454"/>
    </w:pPr>
    <w:rPr>
      <w:sz w:val="24"/>
      <w:szCs w:val="20"/>
    </w:rPr>
  </w:style>
  <w:style w:type="paragraph" w:customStyle="1" w:styleId="23">
    <w:name w:val="表格表头"/>
    <w:qFormat/>
    <w:uiPriority w:val="0"/>
    <w:pPr>
      <w:jc w:val="center"/>
    </w:pPr>
    <w:rPr>
      <w:rFonts w:ascii="Times New Roman" w:hAnsi="Times New Roman" w:eastAsia="宋体" w:cs="Times New Roman"/>
      <w:b/>
      <w:sz w:val="21"/>
      <w:u w:val="single"/>
      <w:lang w:val="en-US" w:eastAsia="zh-CN" w:bidi="ar-SA"/>
    </w:rPr>
  </w:style>
  <w:style w:type="paragraph" w:customStyle="1" w:styleId="24">
    <w:name w:val="样式 正文11 + 首行缩进:  2 字符"/>
    <w:basedOn w:val="25"/>
    <w:qFormat/>
    <w:uiPriority w:val="0"/>
    <w:pPr>
      <w:spacing w:line="500" w:lineRule="exact"/>
      <w:ind w:firstLine="560"/>
    </w:pPr>
    <w:rPr>
      <w:rFonts w:ascii="宋体" w:hAnsi="宋体" w:cs="宋体"/>
      <w:color w:val="FF0000"/>
      <w:sz w:val="28"/>
      <w:szCs w:val="20"/>
    </w:rPr>
  </w:style>
  <w:style w:type="paragraph" w:customStyle="1" w:styleId="25">
    <w:name w:val="O.K.1"/>
    <w:basedOn w:val="2"/>
    <w:qFormat/>
    <w:uiPriority w:val="0"/>
    <w:pPr>
      <w:ind w:firstLine="482"/>
    </w:pPr>
  </w:style>
  <w:style w:type="paragraph" w:customStyle="1" w:styleId="26">
    <w:name w:val="Table Text"/>
    <w:basedOn w:val="1"/>
    <w:semiHidden/>
    <w:qFormat/>
    <w:uiPriority w:val="0"/>
    <w:rPr>
      <w:rFonts w:ascii="宋体" w:hAnsi="宋体" w:eastAsia="宋体" w:cs="宋体"/>
      <w:sz w:val="22"/>
      <w:lang w:eastAsia="en-US"/>
    </w:rPr>
  </w:style>
  <w:style w:type="table" w:customStyle="1" w:styleId="27">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407</Words>
  <Characters>450</Characters>
  <Lines>0</Lines>
  <Paragraphs>0</Paragraphs>
  <TotalTime>1</TotalTime>
  <ScaleCrop>false</ScaleCrop>
  <LinksUpToDate>false</LinksUpToDate>
  <CharactersWithSpaces>492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2025-12-25T09:49:00Z</dcterms:created>
  <dc:creator>隰悄。</dc:creator>
  <cp:lastModifiedBy>隰悄。</cp:lastModifiedBy>
  <dcterms:modified xsi:type="dcterms:W3CDTF">2026-01-12T09:20:41Z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4FB5DB54CC94462791E6E67A96F9CF4C_11</vt:lpwstr>
  </property>
  <property fmtid="{D5CDD505-2E9C-101B-9397-08002B2CF9AE}" pid="4" name="KSOTemplateDocerSaveRecord">
    <vt:lpwstr>eyJoZGlkIjoiMDg3YTllNGFhMTJjZGU4YThkYmZlNDlkMDk4Y2YzMDMiLCJ1c2VySWQiOiIyNDA2Mzg4OTEifQ==</vt:lpwstr>
  </property>
</Properties>
</file>